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left"/>
        <w:rPr>
          <w:rFonts w:hint="eastAsia" w:ascii="黑体" w:hAnsi="黑体" w:eastAsia="黑体" w:cs="黑体"/>
          <w:color w:val="000000"/>
          <w:kern w:val="0"/>
          <w:sz w:val="32"/>
          <w:szCs w:val="32"/>
          <w:highlight w:val="none"/>
          <w:lang w:val="en-US" w:eastAsia="zh-CN" w:bidi="ar"/>
        </w:rPr>
      </w:pPr>
      <w:r>
        <w:rPr>
          <w:rFonts w:hint="eastAsia" w:ascii="黑体" w:hAnsi="黑体" w:eastAsia="黑体" w:cs="黑体"/>
          <w:color w:val="000000"/>
          <w:kern w:val="0"/>
          <w:sz w:val="32"/>
          <w:szCs w:val="32"/>
          <w:highlight w:val="none"/>
          <w:lang w:eastAsia="zh-CN" w:bidi="ar"/>
        </w:rPr>
        <w:t>附件</w:t>
      </w:r>
      <w:r>
        <w:rPr>
          <w:rFonts w:hint="eastAsia" w:ascii="黑体" w:hAnsi="黑体" w:eastAsia="黑体" w:cs="黑体"/>
          <w:color w:val="000000"/>
          <w:kern w:val="0"/>
          <w:sz w:val="32"/>
          <w:szCs w:val="32"/>
          <w:highlight w:val="none"/>
          <w:lang w:val="en-US" w:eastAsia="zh-CN" w:bidi="ar"/>
        </w:rPr>
        <w:t>3</w:t>
      </w:r>
    </w:p>
    <w:p>
      <w:pPr>
        <w:widowControl/>
        <w:ind w:firstLine="1040"/>
        <w:jc w:val="left"/>
        <w:rPr>
          <w:rFonts w:cs="Times New Roman"/>
          <w:color w:val="000000"/>
          <w:kern w:val="0"/>
          <w:sz w:val="52"/>
          <w:szCs w:val="52"/>
          <w:highlight w:val="none"/>
          <w:lang w:bidi="ar"/>
        </w:rPr>
      </w:pPr>
    </w:p>
    <w:p>
      <w:pPr>
        <w:widowControl/>
        <w:ind w:firstLine="1040"/>
        <w:jc w:val="left"/>
        <w:rPr>
          <w:rFonts w:cs="Times New Roman"/>
          <w:color w:val="000000"/>
          <w:kern w:val="0"/>
          <w:sz w:val="52"/>
          <w:szCs w:val="52"/>
          <w:highlight w:val="none"/>
          <w:lang w:bidi="ar"/>
        </w:rPr>
      </w:pPr>
    </w:p>
    <w:p>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t>二手物品交易</w:t>
      </w:r>
    </w:p>
    <w:p>
      <w:pPr>
        <w:adjustRightInd w:val="0"/>
        <w:snapToGrid w:val="0"/>
        <w:ind w:firstLine="0" w:firstLineChars="0"/>
        <w:jc w:val="center"/>
        <w:rPr>
          <w:rFonts w:ascii="Times New Roman" w:hAnsi="Times New Roman" w:eastAsia="方正小标宋简体" w:cs="Times New Roman"/>
          <w:color w:val="000000" w:themeColor="text1"/>
          <w:sz w:val="50"/>
          <w:szCs w:val="50"/>
          <w:highlight w:val="none"/>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14:textFill>
            <w14:solidFill>
              <w14:schemeClr w14:val="tx1"/>
            </w14:solidFill>
          </w14:textFill>
        </w:rPr>
        <w:t>（试行）</w:t>
      </w:r>
    </w:p>
    <w:p>
      <w:pPr>
        <w:widowControl/>
        <w:ind w:firstLine="0" w:firstLineChars="0"/>
        <w:jc w:val="center"/>
        <w:rPr>
          <w:rFonts w:ascii="Times New Roman" w:hAnsi="Times New Roman" w:cs="Times New Roman"/>
          <w:color w:val="000000"/>
          <w:kern w:val="0"/>
          <w:sz w:val="36"/>
          <w:szCs w:val="36"/>
          <w:highlight w:val="none"/>
          <w:lang w:eastAsia="zh-Hans"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pStyle w:val="52"/>
        <w:spacing w:before="0" w:beforeLines="0" w:after="0" w:afterLines="0" w:line="240" w:lineRule="auto"/>
        <w:rPr>
          <w:rFonts w:hint="eastAsia" w:ascii="Times New Roman" w:hAnsi="Times New Roman" w:eastAsia="楷体" w:cs="楷体"/>
          <w:sz w:val="32"/>
          <w:szCs w:val="32"/>
          <w:highlight w:val="none"/>
        </w:rPr>
      </w:pPr>
    </w:p>
    <w:p>
      <w:pPr>
        <w:pStyle w:val="52"/>
        <w:spacing w:before="0" w:beforeLines="0" w:after="0" w:afterLines="0" w:line="240" w:lineRule="auto"/>
        <w:rPr>
          <w:rFonts w:ascii="Times New Roman" w:hAnsi="Times New Roman" w:eastAsia="楷体"/>
          <w:sz w:val="32"/>
          <w:szCs w:val="32"/>
          <w:highlight w:val="none"/>
        </w:rPr>
      </w:pPr>
    </w:p>
    <w:p>
      <w:pPr>
        <w:pStyle w:val="52"/>
        <w:spacing w:before="0" w:beforeLines="0" w:after="0" w:afterLines="0" w:line="240" w:lineRule="auto"/>
        <w:rPr>
          <w:rFonts w:ascii="Times New Roman" w:hAnsi="Times New Roman" w:eastAsia="楷体"/>
          <w:sz w:val="32"/>
          <w:szCs w:val="32"/>
          <w:highlight w:val="none"/>
        </w:rPr>
      </w:pPr>
    </w:p>
    <w:p>
      <w:pPr>
        <w:pStyle w:val="52"/>
        <w:spacing w:before="0" w:beforeLines="0" w:after="0" w:afterLines="0" w:line="240" w:lineRule="auto"/>
        <w:rPr>
          <w:rFonts w:ascii="Times New Roman" w:hAnsi="Times New Roman" w:eastAsia="楷体"/>
          <w:sz w:val="32"/>
          <w:szCs w:val="32"/>
          <w:highlight w:val="none"/>
        </w:rPr>
      </w:pPr>
    </w:p>
    <w:p>
      <w:pPr>
        <w:pStyle w:val="52"/>
        <w:spacing w:before="0" w:beforeLines="0" w:after="0" w:afterLines="0" w:line="240" w:lineRule="auto"/>
        <w:rPr>
          <w:rFonts w:ascii="Times New Roman" w:hAnsi="Times New Roman" w:eastAsia="宋体"/>
          <w:sz w:val="32"/>
          <w:highlight w:val="none"/>
        </w:rPr>
      </w:pPr>
      <w:r>
        <w:rPr>
          <w:rFonts w:ascii="Times New Roman" w:hAnsi="Times New Roman" w:eastAsia="楷体"/>
          <w:sz w:val="32"/>
          <w:szCs w:val="32"/>
          <w:highlight w:val="none"/>
        </w:rPr>
        <w:t>202</w:t>
      </w:r>
      <w:r>
        <w:rPr>
          <w:rFonts w:hint="eastAsia" w:eastAsia="楷体"/>
          <w:sz w:val="32"/>
          <w:szCs w:val="32"/>
          <w:highlight w:val="none"/>
          <w:lang w:val="en-US" w:eastAsia="zh-CN"/>
        </w:rPr>
        <w:t>6</w:t>
      </w:r>
      <w:r>
        <w:rPr>
          <w:rFonts w:ascii="Times New Roman" w:hAnsi="Times New Roman" w:eastAsia="楷体"/>
          <w:sz w:val="32"/>
          <w:szCs w:val="32"/>
          <w:highlight w:val="none"/>
        </w:rPr>
        <w:t>年</w:t>
      </w:r>
      <w:r>
        <w:rPr>
          <w:rFonts w:hint="eastAsia" w:eastAsia="楷体"/>
          <w:sz w:val="32"/>
          <w:szCs w:val="32"/>
          <w:highlight w:val="none"/>
          <w:lang w:val="en-US" w:eastAsia="zh-CN"/>
        </w:rPr>
        <w:t>6</w:t>
      </w:r>
      <w:bookmarkStart w:id="109" w:name="_GoBack"/>
      <w:bookmarkEnd w:id="109"/>
      <w:r>
        <w:rPr>
          <w:rFonts w:ascii="Times New Roman" w:hAnsi="Times New Roman" w:eastAsia="楷体"/>
          <w:sz w:val="32"/>
          <w:szCs w:val="32"/>
          <w:highlight w:val="none"/>
        </w:rPr>
        <w:t>月</w:t>
      </w:r>
    </w:p>
    <w:p>
      <w:pPr>
        <w:tabs>
          <w:tab w:val="left" w:pos="1270"/>
        </w:tabs>
        <w:ind w:firstLine="0" w:firstLineChars="0"/>
        <w:rPr>
          <w:rFonts w:ascii="Times New Roman" w:hAnsi="Times New Roman" w:eastAsia="黑体" w:cs="Times New Roman"/>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color w:val="auto"/>
          <w:sz w:val="28"/>
          <w:szCs w:val="28"/>
          <w:highlight w:val="none"/>
          <w:lang w:val="en-US" w:eastAsia="zh-CN"/>
        </w:rPr>
        <w:id w:val="147463571"/>
        <w15:color w:val="DBDBDB"/>
        <w:docPartObj>
          <w:docPartGallery w:val="Table of Contents"/>
          <w:docPartUnique/>
        </w:docPartObj>
      </w:sdtPr>
      <w:sdtEndPr>
        <w:rPr>
          <w:rFonts w:hint="eastAsia" w:ascii="Times New Roman" w:hAnsi="Times New Roman" w:eastAsia="宋体" w:cs="Times New Roman"/>
          <w:color w:val="auto"/>
          <w:kern w:val="2"/>
          <w:sz w:val="21"/>
          <w:szCs w:val="33"/>
          <w:highlight w:val="none"/>
          <w:lang w:val="en-US" w:eastAsia="zh-CN" w:bidi="ar-SA"/>
        </w:rPr>
      </w:sdtEndPr>
      <w:sdtContent>
        <w:p>
          <w:pPr>
            <w:pStyle w:val="63"/>
            <w:keepNext/>
            <w:keepLines/>
            <w:pageBreakBefore w:val="0"/>
            <w:widowControl/>
            <w:kinsoku/>
            <w:wordWrap/>
            <w:overflowPunct/>
            <w:topLinePunct w:val="0"/>
            <w:autoSpaceDE/>
            <w:autoSpaceDN/>
            <w:bidi w:val="0"/>
            <w:adjustRightInd/>
            <w:snapToGrid/>
            <w:spacing w:line="260" w:lineRule="auto"/>
            <w:jc w:val="center"/>
            <w:textAlignment w:val="auto"/>
            <w:rPr>
              <w:rFonts w:hint="eastAsia" w:ascii="Times New Roman" w:hAnsi="Times New Roman" w:eastAsia="仿宋_GB2312"/>
              <w:color w:val="auto"/>
              <w:sz w:val="28"/>
              <w:szCs w:val="28"/>
              <w:highlight w:val="none"/>
              <w:lang w:val="zh-CN"/>
            </w:rPr>
          </w:pPr>
          <w:r>
            <w:rPr>
              <w:rFonts w:hint="eastAsia" w:ascii="黑体" w:hAnsi="黑体" w:eastAsia="黑体" w:cs="黑体"/>
              <w:color w:val="auto"/>
              <w:sz w:val="28"/>
              <w:szCs w:val="28"/>
              <w:highlight w:val="none"/>
              <w:lang w:val="zh-CN"/>
            </w:rPr>
            <w:t>目</w:t>
          </w:r>
          <w:r>
            <w:rPr>
              <w:rFonts w:hint="eastAsia" w:ascii="黑体" w:hAnsi="黑体" w:eastAsia="黑体" w:cs="黑体"/>
              <w:color w:val="auto"/>
              <w:sz w:val="28"/>
              <w:szCs w:val="28"/>
              <w:highlight w:val="none"/>
              <w:lang w:val="en-US" w:eastAsia="zh-CN"/>
            </w:rPr>
            <w:t xml:space="preserve">  </w:t>
          </w:r>
          <w:r>
            <w:rPr>
              <w:rFonts w:hint="eastAsia" w:ascii="黑体" w:hAnsi="黑体" w:eastAsia="黑体" w:cs="黑体"/>
              <w:color w:val="auto"/>
              <w:sz w:val="28"/>
              <w:szCs w:val="28"/>
              <w:highlight w:val="none"/>
              <w:lang w:val="zh-CN"/>
            </w:rPr>
            <w:t>录</w:t>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TOC \o "1-2" \h \u </w:instrText>
          </w:r>
          <w:r>
            <w:rPr>
              <w:highlight w:val="none"/>
            </w:rPr>
            <w:fldChar w:fldCharType="separate"/>
          </w:r>
          <w:r>
            <w:rPr>
              <w:highlight w:val="none"/>
            </w:rPr>
            <w:fldChar w:fldCharType="begin"/>
          </w:r>
          <w:r>
            <w:rPr>
              <w:highlight w:val="none"/>
            </w:rPr>
            <w:instrText xml:space="preserve"> HYPERLINK \l _Toc28501 </w:instrText>
          </w:r>
          <w:r>
            <w:rPr>
              <w:highlight w:val="none"/>
            </w:rPr>
            <w:fldChar w:fldCharType="separate"/>
          </w:r>
          <w:r>
            <w:rPr>
              <w:highlight w:val="none"/>
            </w:rPr>
            <w:t>1 引言</w:t>
          </w:r>
          <w:r>
            <w:rPr>
              <w:highlight w:val="none"/>
            </w:rPr>
            <w:tab/>
          </w:r>
          <w:r>
            <w:rPr>
              <w:highlight w:val="none"/>
            </w:rPr>
            <w:fldChar w:fldCharType="begin"/>
          </w:r>
          <w:r>
            <w:rPr>
              <w:highlight w:val="none"/>
            </w:rPr>
            <w:instrText xml:space="preserve"> PAGEREF _Toc28501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_Toc22669 </w:instrText>
          </w:r>
          <w:r>
            <w:rPr>
              <w:highlight w:val="none"/>
            </w:rPr>
            <w:fldChar w:fldCharType="separate"/>
          </w:r>
          <w:r>
            <w:rPr>
              <w:highlight w:val="none"/>
            </w:rPr>
            <w:t>2 适用条件</w:t>
          </w:r>
          <w:r>
            <w:rPr>
              <w:highlight w:val="none"/>
            </w:rPr>
            <w:tab/>
          </w:r>
          <w:r>
            <w:rPr>
              <w:highlight w:val="none"/>
            </w:rPr>
            <w:fldChar w:fldCharType="begin"/>
          </w:r>
          <w:r>
            <w:rPr>
              <w:highlight w:val="none"/>
            </w:rPr>
            <w:instrText xml:space="preserve"> PAGEREF _Toc22669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_Toc10139 </w:instrText>
          </w:r>
          <w:r>
            <w:rPr>
              <w:highlight w:val="none"/>
            </w:rPr>
            <w:fldChar w:fldCharType="separate"/>
          </w:r>
          <w:r>
            <w:rPr>
              <w:highlight w:val="none"/>
            </w:rPr>
            <w:t xml:space="preserve">3 </w:t>
          </w:r>
          <w:r>
            <w:rPr>
              <w:rFonts w:hint="eastAsia"/>
              <w:highlight w:val="none"/>
            </w:rPr>
            <w:t>规范性</w:t>
          </w:r>
          <w:r>
            <w:rPr>
              <w:highlight w:val="none"/>
            </w:rPr>
            <w:t>引用文件</w:t>
          </w:r>
          <w:r>
            <w:rPr>
              <w:highlight w:val="none"/>
            </w:rPr>
            <w:tab/>
          </w:r>
          <w:r>
            <w:rPr>
              <w:highlight w:val="none"/>
            </w:rPr>
            <w:fldChar w:fldCharType="begin"/>
          </w:r>
          <w:r>
            <w:rPr>
              <w:highlight w:val="none"/>
            </w:rPr>
            <w:instrText xml:space="preserve"> PAGEREF _Toc10139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_Toc27905 </w:instrText>
          </w:r>
          <w:r>
            <w:rPr>
              <w:highlight w:val="none"/>
            </w:rPr>
            <w:fldChar w:fldCharType="separate"/>
          </w:r>
          <w:r>
            <w:rPr>
              <w:highlight w:val="none"/>
            </w:rPr>
            <w:t>4 术语和定义</w:t>
          </w:r>
          <w:r>
            <w:rPr>
              <w:highlight w:val="none"/>
            </w:rPr>
            <w:tab/>
          </w:r>
          <w:r>
            <w:rPr>
              <w:highlight w:val="none"/>
            </w:rPr>
            <w:fldChar w:fldCharType="begin"/>
          </w:r>
          <w:r>
            <w:rPr>
              <w:highlight w:val="none"/>
            </w:rPr>
            <w:instrText xml:space="preserve"> PAGEREF _Toc27905 \h </w:instrText>
          </w:r>
          <w:r>
            <w:rPr>
              <w:highlight w:val="none"/>
            </w:rPr>
            <w:fldChar w:fldCharType="separate"/>
          </w:r>
          <w:r>
            <w:rPr>
              <w:highlight w:val="none"/>
            </w:rPr>
            <w:t>1</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_Toc20545 </w:instrText>
          </w:r>
          <w:r>
            <w:rPr>
              <w:highlight w:val="none"/>
            </w:rPr>
            <w:fldChar w:fldCharType="separate"/>
          </w:r>
          <w:r>
            <w:rPr>
              <w:rFonts w:hint="eastAsia"/>
              <w:highlight w:val="none"/>
            </w:rPr>
            <w:t>5 核算边界、计入期和排放源</w:t>
          </w:r>
          <w:r>
            <w:rPr>
              <w:highlight w:val="none"/>
            </w:rPr>
            <w:tab/>
          </w:r>
          <w:r>
            <w:rPr>
              <w:highlight w:val="none"/>
            </w:rPr>
            <w:fldChar w:fldCharType="begin"/>
          </w:r>
          <w:r>
            <w:rPr>
              <w:highlight w:val="none"/>
            </w:rPr>
            <w:instrText xml:space="preserve"> PAGEREF _Toc20545 \h </w:instrText>
          </w:r>
          <w:r>
            <w:rPr>
              <w:highlight w:val="none"/>
            </w:rPr>
            <w:fldChar w:fldCharType="separate"/>
          </w:r>
          <w:r>
            <w:rPr>
              <w:highlight w:val="none"/>
            </w:rPr>
            <w:t>2</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_Toc1791 </w:instrText>
          </w:r>
          <w:r>
            <w:rPr>
              <w:highlight w:val="none"/>
            </w:rPr>
            <w:fldChar w:fldCharType="separate"/>
          </w:r>
          <w:r>
            <w:rPr>
              <w:rFonts w:hint="eastAsia"/>
              <w:highlight w:val="none"/>
            </w:rPr>
            <w:t>5.1</w:t>
          </w:r>
          <w:r>
            <w:rPr>
              <w:rFonts w:hint="eastAsia"/>
              <w:highlight w:val="none"/>
              <w:lang w:val="en-US" w:eastAsia="zh-CN"/>
            </w:rPr>
            <w:t xml:space="preserve"> 核算</w:t>
          </w:r>
          <w:r>
            <w:rPr>
              <w:rFonts w:hint="eastAsia"/>
              <w:highlight w:val="none"/>
            </w:rPr>
            <w:t>边界</w:t>
          </w:r>
          <w:r>
            <w:rPr>
              <w:highlight w:val="none"/>
            </w:rPr>
            <w:tab/>
          </w:r>
          <w:r>
            <w:rPr>
              <w:highlight w:val="none"/>
            </w:rPr>
            <w:fldChar w:fldCharType="begin"/>
          </w:r>
          <w:r>
            <w:rPr>
              <w:highlight w:val="none"/>
            </w:rPr>
            <w:instrText xml:space="preserve"> PAGEREF _Toc1791 \h </w:instrText>
          </w:r>
          <w:r>
            <w:rPr>
              <w:highlight w:val="none"/>
            </w:rPr>
            <w:fldChar w:fldCharType="separate"/>
          </w:r>
          <w:r>
            <w:rPr>
              <w:highlight w:val="none"/>
            </w:rPr>
            <w:t>2</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_Toc2834 </w:instrText>
          </w:r>
          <w:r>
            <w:rPr>
              <w:highlight w:val="none"/>
            </w:rPr>
            <w:fldChar w:fldCharType="separate"/>
          </w:r>
          <w:r>
            <w:rPr>
              <w:rFonts w:hint="eastAsia"/>
              <w:highlight w:val="none"/>
            </w:rPr>
            <w:t>5.2</w:t>
          </w:r>
          <w:r>
            <w:rPr>
              <w:rFonts w:hint="eastAsia"/>
              <w:highlight w:val="none"/>
              <w:lang w:val="en-US" w:eastAsia="zh-CN"/>
            </w:rPr>
            <w:t xml:space="preserve"> </w:t>
          </w:r>
          <w:r>
            <w:rPr>
              <w:rFonts w:hint="eastAsia"/>
              <w:highlight w:val="none"/>
            </w:rPr>
            <w:t>计入期</w:t>
          </w:r>
          <w:r>
            <w:rPr>
              <w:highlight w:val="none"/>
            </w:rPr>
            <w:tab/>
          </w:r>
          <w:r>
            <w:rPr>
              <w:highlight w:val="none"/>
            </w:rPr>
            <w:fldChar w:fldCharType="begin"/>
          </w:r>
          <w:r>
            <w:rPr>
              <w:highlight w:val="none"/>
            </w:rPr>
            <w:instrText xml:space="preserve"> PAGEREF _Toc2834 \h </w:instrText>
          </w:r>
          <w:r>
            <w:rPr>
              <w:highlight w:val="none"/>
            </w:rPr>
            <w:fldChar w:fldCharType="separate"/>
          </w:r>
          <w:r>
            <w:rPr>
              <w:highlight w:val="none"/>
            </w:rPr>
            <w:t>2</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_Toc3810 </w:instrText>
          </w:r>
          <w:r>
            <w:rPr>
              <w:highlight w:val="none"/>
            </w:rPr>
            <w:fldChar w:fldCharType="separate"/>
          </w:r>
          <w:r>
            <w:rPr>
              <w:rFonts w:hint="eastAsia"/>
              <w:highlight w:val="none"/>
            </w:rPr>
            <w:t>5.3</w:t>
          </w:r>
          <w:r>
            <w:rPr>
              <w:rFonts w:hint="eastAsia"/>
              <w:highlight w:val="none"/>
              <w:lang w:val="en-US" w:eastAsia="zh-CN"/>
            </w:rPr>
            <w:t xml:space="preserve"> </w:t>
          </w:r>
          <w:r>
            <w:rPr>
              <w:rFonts w:hint="eastAsia"/>
              <w:highlight w:val="none"/>
            </w:rPr>
            <w:t>温室气体排放源</w:t>
          </w:r>
          <w:r>
            <w:rPr>
              <w:highlight w:val="none"/>
            </w:rPr>
            <w:tab/>
          </w:r>
          <w:r>
            <w:rPr>
              <w:highlight w:val="none"/>
            </w:rPr>
            <w:fldChar w:fldCharType="begin"/>
          </w:r>
          <w:r>
            <w:rPr>
              <w:highlight w:val="none"/>
            </w:rPr>
            <w:instrText xml:space="preserve"> PAGEREF _Toc3810 \h </w:instrText>
          </w:r>
          <w:r>
            <w:rPr>
              <w:highlight w:val="none"/>
            </w:rPr>
            <w:fldChar w:fldCharType="separate"/>
          </w:r>
          <w:r>
            <w:rPr>
              <w:highlight w:val="none"/>
            </w:rPr>
            <w:t>2</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_Toc30858 </w:instrText>
          </w:r>
          <w:r>
            <w:rPr>
              <w:highlight w:val="none"/>
            </w:rPr>
            <w:fldChar w:fldCharType="separate"/>
          </w:r>
          <w:r>
            <w:rPr>
              <w:rFonts w:hint="eastAsia"/>
              <w:highlight w:val="none"/>
            </w:rPr>
            <w:t>6 减排量核算方法</w:t>
          </w:r>
          <w:r>
            <w:rPr>
              <w:highlight w:val="none"/>
            </w:rPr>
            <w:tab/>
          </w:r>
          <w:r>
            <w:rPr>
              <w:highlight w:val="none"/>
            </w:rPr>
            <w:fldChar w:fldCharType="begin"/>
          </w:r>
          <w:r>
            <w:rPr>
              <w:highlight w:val="none"/>
            </w:rPr>
            <w:instrText xml:space="preserve"> PAGEREF _Toc30858 \h </w:instrText>
          </w:r>
          <w:r>
            <w:rPr>
              <w:highlight w:val="none"/>
            </w:rPr>
            <w:fldChar w:fldCharType="separate"/>
          </w:r>
          <w:r>
            <w:rPr>
              <w:highlight w:val="none"/>
            </w:rPr>
            <w:t>2</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_Toc11446 </w:instrText>
          </w:r>
          <w:r>
            <w:rPr>
              <w:highlight w:val="none"/>
            </w:rPr>
            <w:fldChar w:fldCharType="separate"/>
          </w:r>
          <w:r>
            <w:rPr>
              <w:rFonts w:hint="eastAsia"/>
              <w:highlight w:val="none"/>
            </w:rPr>
            <w:t>6.1 基准线情景识别</w:t>
          </w:r>
          <w:r>
            <w:rPr>
              <w:highlight w:val="none"/>
            </w:rPr>
            <w:tab/>
          </w:r>
          <w:r>
            <w:rPr>
              <w:highlight w:val="none"/>
            </w:rPr>
            <w:fldChar w:fldCharType="begin"/>
          </w:r>
          <w:r>
            <w:rPr>
              <w:highlight w:val="none"/>
            </w:rPr>
            <w:instrText xml:space="preserve"> PAGEREF _Toc11446 \h </w:instrText>
          </w:r>
          <w:r>
            <w:rPr>
              <w:highlight w:val="none"/>
            </w:rPr>
            <w:fldChar w:fldCharType="separate"/>
          </w:r>
          <w:r>
            <w:rPr>
              <w:highlight w:val="none"/>
            </w:rPr>
            <w:t>2</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_Toc2936 </w:instrText>
          </w:r>
          <w:r>
            <w:rPr>
              <w:highlight w:val="none"/>
            </w:rPr>
            <w:fldChar w:fldCharType="separate"/>
          </w:r>
          <w:r>
            <w:rPr>
              <w:rFonts w:hint="eastAsia"/>
              <w:highlight w:val="none"/>
            </w:rPr>
            <w:t>6.2 额外性论证</w:t>
          </w:r>
          <w:r>
            <w:rPr>
              <w:highlight w:val="none"/>
            </w:rPr>
            <w:tab/>
          </w:r>
          <w:r>
            <w:rPr>
              <w:highlight w:val="none"/>
            </w:rPr>
            <w:fldChar w:fldCharType="begin"/>
          </w:r>
          <w:r>
            <w:rPr>
              <w:highlight w:val="none"/>
            </w:rPr>
            <w:instrText xml:space="preserve"> PAGEREF _Toc2936 \h </w:instrText>
          </w:r>
          <w:r>
            <w:rPr>
              <w:highlight w:val="none"/>
            </w:rPr>
            <w:fldChar w:fldCharType="separate"/>
          </w:r>
          <w:r>
            <w:rPr>
              <w:highlight w:val="none"/>
            </w:rPr>
            <w:t>3</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_Toc20819 </w:instrText>
          </w:r>
          <w:r>
            <w:rPr>
              <w:highlight w:val="none"/>
            </w:rPr>
            <w:fldChar w:fldCharType="separate"/>
          </w:r>
          <w:r>
            <w:rPr>
              <w:rFonts w:hint="eastAsia"/>
              <w:highlight w:val="none"/>
            </w:rPr>
            <w:t>6.3 基准线</w:t>
          </w:r>
          <w:r>
            <w:rPr>
              <w:rFonts w:hint="eastAsia"/>
              <w:highlight w:val="none"/>
              <w:lang w:val="en-US" w:eastAsia="zh-CN"/>
            </w:rPr>
            <w:t>情景</w:t>
          </w:r>
          <w:r>
            <w:rPr>
              <w:rFonts w:hint="eastAsia"/>
              <w:highlight w:val="none"/>
            </w:rPr>
            <w:t>排放</w:t>
          </w:r>
          <w:r>
            <w:rPr>
              <w:rFonts w:hint="eastAsia"/>
              <w:highlight w:val="none"/>
              <w:lang w:eastAsia="zh-CN"/>
            </w:rPr>
            <w:t>量</w:t>
          </w:r>
          <w:r>
            <w:rPr>
              <w:rFonts w:hint="eastAsia"/>
              <w:highlight w:val="none"/>
            </w:rPr>
            <w:t>计算</w:t>
          </w:r>
          <w:r>
            <w:rPr>
              <w:highlight w:val="none"/>
            </w:rPr>
            <w:tab/>
          </w:r>
          <w:r>
            <w:rPr>
              <w:highlight w:val="none"/>
            </w:rPr>
            <w:fldChar w:fldCharType="begin"/>
          </w:r>
          <w:r>
            <w:rPr>
              <w:highlight w:val="none"/>
            </w:rPr>
            <w:instrText xml:space="preserve"> PAGEREF _Toc20819 \h </w:instrText>
          </w:r>
          <w:r>
            <w:rPr>
              <w:highlight w:val="none"/>
            </w:rPr>
            <w:fldChar w:fldCharType="separate"/>
          </w:r>
          <w:r>
            <w:rPr>
              <w:highlight w:val="none"/>
            </w:rPr>
            <w:t>3</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_Toc7560 </w:instrText>
          </w:r>
          <w:r>
            <w:rPr>
              <w:highlight w:val="none"/>
            </w:rPr>
            <w:fldChar w:fldCharType="separate"/>
          </w:r>
          <w:r>
            <w:rPr>
              <w:rFonts w:hint="eastAsia"/>
              <w:highlight w:val="none"/>
            </w:rPr>
            <w:t xml:space="preserve">6.4 </w:t>
          </w:r>
          <w:r>
            <w:rPr>
              <w:rFonts w:hint="eastAsia"/>
              <w:highlight w:val="none"/>
              <w:lang w:eastAsia="zh"/>
            </w:rPr>
            <w:t>碳普惠情景</w:t>
          </w:r>
          <w:r>
            <w:rPr>
              <w:rFonts w:hint="eastAsia"/>
              <w:highlight w:val="none"/>
            </w:rPr>
            <w:t>排放</w:t>
          </w:r>
          <w:r>
            <w:rPr>
              <w:rFonts w:hint="eastAsia"/>
              <w:highlight w:val="none"/>
              <w:lang w:eastAsia="zh-CN"/>
            </w:rPr>
            <w:t>量</w:t>
          </w:r>
          <w:r>
            <w:rPr>
              <w:rFonts w:hint="eastAsia"/>
              <w:highlight w:val="none"/>
            </w:rPr>
            <w:t>计算</w:t>
          </w:r>
          <w:r>
            <w:rPr>
              <w:highlight w:val="none"/>
            </w:rPr>
            <w:tab/>
          </w:r>
          <w:r>
            <w:rPr>
              <w:highlight w:val="none"/>
            </w:rPr>
            <w:fldChar w:fldCharType="begin"/>
          </w:r>
          <w:r>
            <w:rPr>
              <w:highlight w:val="none"/>
            </w:rPr>
            <w:instrText xml:space="preserve"> PAGEREF _Toc7560 \h </w:instrText>
          </w:r>
          <w:r>
            <w:rPr>
              <w:highlight w:val="none"/>
            </w:rPr>
            <w:fldChar w:fldCharType="separate"/>
          </w:r>
          <w:r>
            <w:rPr>
              <w:highlight w:val="none"/>
            </w:rPr>
            <w:t>3</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_Toc21256 </w:instrText>
          </w:r>
          <w:r>
            <w:rPr>
              <w:highlight w:val="none"/>
            </w:rPr>
            <w:fldChar w:fldCharType="separate"/>
          </w:r>
          <w:r>
            <w:rPr>
              <w:rFonts w:hint="eastAsia"/>
              <w:highlight w:val="none"/>
            </w:rPr>
            <w:t>6.5 减排量核算</w:t>
          </w:r>
          <w:r>
            <w:rPr>
              <w:highlight w:val="none"/>
            </w:rPr>
            <w:tab/>
          </w:r>
          <w:r>
            <w:rPr>
              <w:highlight w:val="none"/>
            </w:rPr>
            <w:fldChar w:fldCharType="begin"/>
          </w:r>
          <w:r>
            <w:rPr>
              <w:highlight w:val="none"/>
            </w:rPr>
            <w:instrText xml:space="preserve"> PAGEREF _Toc21256 \h </w:instrText>
          </w:r>
          <w:r>
            <w:rPr>
              <w:highlight w:val="none"/>
            </w:rPr>
            <w:fldChar w:fldCharType="separate"/>
          </w:r>
          <w:r>
            <w:rPr>
              <w:highlight w:val="none"/>
            </w:rPr>
            <w:t>3</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_Toc18912 </w:instrText>
          </w:r>
          <w:r>
            <w:rPr>
              <w:highlight w:val="none"/>
            </w:rPr>
            <w:fldChar w:fldCharType="separate"/>
          </w:r>
          <w:r>
            <w:rPr>
              <w:rFonts w:hint="eastAsia"/>
              <w:highlight w:val="none"/>
            </w:rPr>
            <w:t>7</w:t>
          </w:r>
          <w:r>
            <w:rPr>
              <w:highlight w:val="none"/>
            </w:rPr>
            <w:t xml:space="preserve"> 数据来源及监测</w:t>
          </w:r>
          <w:r>
            <w:rPr>
              <w:highlight w:val="none"/>
            </w:rPr>
            <w:tab/>
          </w:r>
          <w:r>
            <w:rPr>
              <w:highlight w:val="none"/>
            </w:rPr>
            <w:fldChar w:fldCharType="begin"/>
          </w:r>
          <w:r>
            <w:rPr>
              <w:highlight w:val="none"/>
            </w:rPr>
            <w:instrText xml:space="preserve"> PAGEREF _Toc18912 \h </w:instrText>
          </w:r>
          <w:r>
            <w:rPr>
              <w:highlight w:val="none"/>
            </w:rPr>
            <w:fldChar w:fldCharType="separate"/>
          </w:r>
          <w:r>
            <w:rPr>
              <w:highlight w:val="none"/>
            </w:rPr>
            <w:t>3</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_Toc11842 </w:instrText>
          </w:r>
          <w:r>
            <w:rPr>
              <w:highlight w:val="none"/>
            </w:rPr>
            <w:fldChar w:fldCharType="separate"/>
          </w:r>
          <w:r>
            <w:rPr>
              <w:rFonts w:hint="eastAsia"/>
              <w:highlight w:val="none"/>
            </w:rPr>
            <w:t>7.1 事前需确定的参数和数据</w:t>
          </w:r>
          <w:r>
            <w:rPr>
              <w:highlight w:val="none"/>
            </w:rPr>
            <w:tab/>
          </w:r>
          <w:r>
            <w:rPr>
              <w:highlight w:val="none"/>
            </w:rPr>
            <w:fldChar w:fldCharType="begin"/>
          </w:r>
          <w:r>
            <w:rPr>
              <w:highlight w:val="none"/>
            </w:rPr>
            <w:instrText xml:space="preserve"> PAGEREF _Toc11842 \h </w:instrText>
          </w:r>
          <w:r>
            <w:rPr>
              <w:highlight w:val="none"/>
            </w:rPr>
            <w:fldChar w:fldCharType="separate"/>
          </w:r>
          <w:r>
            <w:rPr>
              <w:highlight w:val="none"/>
            </w:rPr>
            <w:t>4</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_Toc14730 </w:instrText>
          </w:r>
          <w:r>
            <w:rPr>
              <w:highlight w:val="none"/>
            </w:rPr>
            <w:fldChar w:fldCharType="separate"/>
          </w:r>
          <w:r>
            <w:rPr>
              <w:rFonts w:hint="eastAsia"/>
              <w:highlight w:val="none"/>
            </w:rPr>
            <w:t>7.2 实施阶段需监测和确定的参数和数据</w:t>
          </w:r>
          <w:r>
            <w:rPr>
              <w:highlight w:val="none"/>
            </w:rPr>
            <w:tab/>
          </w:r>
          <w:r>
            <w:rPr>
              <w:highlight w:val="none"/>
            </w:rPr>
            <w:fldChar w:fldCharType="begin"/>
          </w:r>
          <w:r>
            <w:rPr>
              <w:highlight w:val="none"/>
            </w:rPr>
            <w:instrText xml:space="preserve"> PAGEREF _Toc14730 \h </w:instrText>
          </w:r>
          <w:r>
            <w:rPr>
              <w:highlight w:val="none"/>
            </w:rPr>
            <w:fldChar w:fldCharType="separate"/>
          </w:r>
          <w:r>
            <w:rPr>
              <w:highlight w:val="none"/>
            </w:rPr>
            <w:t>4</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_Toc29909 </w:instrText>
          </w:r>
          <w:r>
            <w:rPr>
              <w:highlight w:val="none"/>
            </w:rPr>
            <w:fldChar w:fldCharType="separate"/>
          </w:r>
          <w:r>
            <w:rPr>
              <w:rFonts w:hint="eastAsia"/>
              <w:highlight w:val="none"/>
              <w:lang w:val="en-US" w:eastAsia="zh-CN"/>
            </w:rPr>
            <w:t xml:space="preserve">7.3 </w:t>
          </w:r>
          <w:r>
            <w:rPr>
              <w:rFonts w:hint="eastAsia"/>
              <w:highlight w:val="none"/>
            </w:rPr>
            <w:t>实施及监测的数据管理要求</w:t>
          </w:r>
          <w:r>
            <w:rPr>
              <w:highlight w:val="none"/>
            </w:rPr>
            <w:tab/>
          </w:r>
          <w:r>
            <w:rPr>
              <w:highlight w:val="none"/>
            </w:rPr>
            <w:fldChar w:fldCharType="begin"/>
          </w:r>
          <w:r>
            <w:rPr>
              <w:highlight w:val="none"/>
            </w:rPr>
            <w:instrText xml:space="preserve"> PAGEREF _Toc29909 \h </w:instrText>
          </w:r>
          <w:r>
            <w:rPr>
              <w:highlight w:val="none"/>
            </w:rPr>
            <w:fldChar w:fldCharType="separate"/>
          </w:r>
          <w:r>
            <w:rPr>
              <w:highlight w:val="none"/>
            </w:rPr>
            <w:t>5</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_Toc22587 </w:instrText>
          </w:r>
          <w:r>
            <w:rPr>
              <w:highlight w:val="none"/>
            </w:rPr>
            <w:fldChar w:fldCharType="separate"/>
          </w:r>
          <w:r>
            <w:rPr>
              <w:rFonts w:hint="eastAsia"/>
              <w:highlight w:val="none"/>
            </w:rPr>
            <w:t>8 方法学编制单位</w:t>
          </w:r>
          <w:r>
            <w:rPr>
              <w:highlight w:val="none"/>
            </w:rPr>
            <w:tab/>
          </w:r>
          <w:r>
            <w:rPr>
              <w:highlight w:val="none"/>
            </w:rPr>
            <w:fldChar w:fldCharType="begin"/>
          </w:r>
          <w:r>
            <w:rPr>
              <w:highlight w:val="none"/>
            </w:rPr>
            <w:instrText xml:space="preserve"> PAGEREF _Toc22587 \h </w:instrText>
          </w:r>
          <w:r>
            <w:rPr>
              <w:highlight w:val="none"/>
            </w:rPr>
            <w:fldChar w:fldCharType="separate"/>
          </w:r>
          <w:r>
            <w:rPr>
              <w:highlight w:val="none"/>
            </w:rPr>
            <w:t>5</w:t>
          </w:r>
          <w:r>
            <w:rPr>
              <w:highlight w:val="none"/>
            </w:rPr>
            <w:fldChar w:fldCharType="end"/>
          </w:r>
          <w:r>
            <w:rPr>
              <w:highlight w:val="none"/>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_Toc10281 </w:instrText>
          </w:r>
          <w:r>
            <w:rPr>
              <w:highlight w:val="none"/>
            </w:rPr>
            <w:fldChar w:fldCharType="separate"/>
          </w:r>
          <w:r>
            <w:rPr>
              <w:rFonts w:hint="eastAsia"/>
              <w:highlight w:val="none"/>
            </w:rPr>
            <w:t>附录</w:t>
          </w:r>
          <w:r>
            <w:rPr>
              <w:highlight w:val="none"/>
            </w:rPr>
            <w:tab/>
          </w:r>
          <w:r>
            <w:rPr>
              <w:highlight w:val="none"/>
            </w:rPr>
            <w:fldChar w:fldCharType="begin"/>
          </w:r>
          <w:r>
            <w:rPr>
              <w:highlight w:val="none"/>
            </w:rPr>
            <w:instrText xml:space="preserve"> PAGEREF _Toc10281 \h </w:instrText>
          </w:r>
          <w:r>
            <w:rPr>
              <w:highlight w:val="none"/>
            </w:rPr>
            <w:fldChar w:fldCharType="separate"/>
          </w:r>
          <w:r>
            <w:rPr>
              <w:highlight w:val="none"/>
            </w:rPr>
            <w:t>6</w:t>
          </w:r>
          <w:r>
            <w:rPr>
              <w:highlight w:val="none"/>
            </w:rPr>
            <w:fldChar w:fldCharType="end"/>
          </w:r>
          <w:r>
            <w:rPr>
              <w:highlight w:val="none"/>
            </w:rPr>
            <w:fldChar w:fldCharType="end"/>
          </w:r>
        </w:p>
        <w:p>
          <w:pPr>
            <w:pStyle w:val="19"/>
            <w:tabs>
              <w:tab w:val="right" w:leader="dot" w:pos="8306"/>
            </w:tabs>
            <w:rPr>
              <w:rFonts w:ascii="Times New Roman" w:hAnsi="Times New Roman" w:eastAsia="宋体" w:cs="Times New Roman"/>
              <w:kern w:val="2"/>
              <w:sz w:val="21"/>
              <w:szCs w:val="33"/>
              <w:highlight w:val="none"/>
              <w:lang w:val="en-US" w:eastAsia="zh-CN" w:bidi="ar-SA"/>
            </w:rPr>
          </w:pPr>
          <w:r>
            <w:rPr>
              <w:highlight w:val="none"/>
            </w:rPr>
            <w:fldChar w:fldCharType="end"/>
          </w:r>
        </w:p>
      </w:sdtContent>
    </w:sdt>
    <w:p>
      <w:pPr>
        <w:rPr>
          <w:highlight w:val="none"/>
        </w:rPr>
        <w:sectPr>
          <w:headerReference r:id="rId11" w:type="default"/>
          <w:footerReference r:id="rId12"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pPr>
        <w:pStyle w:val="3"/>
        <w:spacing w:before="312" w:after="312"/>
        <w:rPr>
          <w:highlight w:val="none"/>
        </w:rPr>
      </w:pPr>
      <w:bookmarkStart w:id="0" w:name="_Toc172906183"/>
      <w:bookmarkStart w:id="1" w:name="_Toc19693"/>
      <w:bookmarkStart w:id="2" w:name="_Toc28501"/>
      <w:r>
        <w:rPr>
          <w:highlight w:val="none"/>
        </w:rPr>
        <w:t>1 引言</w:t>
      </w:r>
      <w:bookmarkEnd w:id="0"/>
      <w:bookmarkEnd w:id="1"/>
      <w:bookmarkEnd w:id="2"/>
    </w:p>
    <w:p>
      <w:pPr>
        <w:ind w:firstLine="420"/>
        <w:rPr>
          <w:rFonts w:ascii="Times New Roman" w:hAnsi="Times New Roman" w:cs="Times New Roman"/>
          <w:highlight w:val="none"/>
        </w:rPr>
      </w:pPr>
      <w:r>
        <w:rPr>
          <w:rFonts w:hint="eastAsia" w:ascii="Times New Roman" w:hAnsi="Times New Roman" w:cs="Times New Roman"/>
          <w:highlight w:val="none"/>
        </w:rPr>
        <w:t>二手物品交易碳普惠方法学旨在通过碳普惠机制引导个人积极参与</w:t>
      </w:r>
      <w:r>
        <w:rPr>
          <w:rFonts w:hint="eastAsia" w:cs="Times New Roman"/>
          <w:highlight w:val="none"/>
          <w:lang w:val="en-US" w:eastAsia="zh-CN"/>
        </w:rPr>
        <w:t>二手</w:t>
      </w:r>
      <w:r>
        <w:rPr>
          <w:rFonts w:hint="eastAsia" w:ascii="Times New Roman" w:hAnsi="Times New Roman" w:cs="Times New Roman"/>
          <w:highlight w:val="none"/>
        </w:rPr>
        <w:t>物品的流转与再利用，延长</w:t>
      </w:r>
      <w:r>
        <w:rPr>
          <w:rFonts w:hint="eastAsia" w:cs="Times New Roman"/>
          <w:highlight w:val="none"/>
          <w:lang w:val="en-US" w:eastAsia="zh-CN"/>
        </w:rPr>
        <w:t>物品的使用</w:t>
      </w:r>
      <w:r>
        <w:rPr>
          <w:rFonts w:hint="eastAsia" w:ascii="Times New Roman" w:hAnsi="Times New Roman" w:cs="Times New Roman"/>
          <w:highlight w:val="none"/>
        </w:rPr>
        <w:t>周期，从而减少因生产</w:t>
      </w:r>
      <w:r>
        <w:rPr>
          <w:rFonts w:hint="eastAsia" w:cs="Times New Roman"/>
          <w:highlight w:val="none"/>
          <w:lang w:val="en-US" w:eastAsia="zh-CN"/>
        </w:rPr>
        <w:t>全新物品</w:t>
      </w:r>
      <w:r>
        <w:rPr>
          <w:rFonts w:hint="eastAsia" w:ascii="Times New Roman" w:hAnsi="Times New Roman" w:cs="Times New Roman"/>
          <w:highlight w:val="none"/>
        </w:rPr>
        <w:t>而产生的资源消耗与温室气体排放</w:t>
      </w:r>
      <w:r>
        <w:rPr>
          <w:rFonts w:hint="eastAsia" w:cs="Times New Roman"/>
          <w:highlight w:val="none"/>
          <w:lang w:eastAsia="zh-CN"/>
        </w:rPr>
        <w:t>，</w:t>
      </w:r>
      <w:r>
        <w:rPr>
          <w:rFonts w:hint="eastAsia" w:ascii="Times New Roman" w:hAnsi="Times New Roman" w:cs="Times New Roman"/>
          <w:highlight w:val="none"/>
        </w:rPr>
        <w:t>为简化计算，本方法学仅核算碳普惠情景中减少全新物品生产所产生的减排量，对于二手物品再利用可减少的物品废弃处置的碳排放量暂不纳入核算范围。个人完成</w:t>
      </w:r>
      <w:r>
        <w:rPr>
          <w:rFonts w:hint="eastAsia" w:cs="Times New Roman"/>
          <w:highlight w:val="none"/>
          <w:lang w:val="en-US" w:eastAsia="zh-CN"/>
        </w:rPr>
        <w:t>二手</w:t>
      </w:r>
      <w:r>
        <w:rPr>
          <w:rFonts w:hint="eastAsia" w:ascii="Times New Roman" w:hAnsi="Times New Roman" w:cs="Times New Roman"/>
          <w:highlight w:val="none"/>
        </w:rPr>
        <w:t>物品交易的行为，可以按照本方法学核算碳普惠减排量</w:t>
      </w:r>
      <w:r>
        <w:rPr>
          <w:rFonts w:hint="eastAsia" w:cs="Times New Roman"/>
          <w:highlight w:val="none"/>
          <w:lang w:eastAsia="zh-CN"/>
        </w:rPr>
        <w:t>（</w:t>
      </w:r>
      <w:r>
        <w:rPr>
          <w:rFonts w:hint="eastAsia" w:cs="Times New Roman"/>
          <w:highlight w:val="none"/>
          <w:lang w:val="en-US" w:eastAsia="zh-CN"/>
        </w:rPr>
        <w:t>以下简称“减排量”</w:t>
      </w:r>
      <w:r>
        <w:rPr>
          <w:rFonts w:hint="eastAsia" w:cs="Times New Roman"/>
          <w:highlight w:val="none"/>
          <w:lang w:eastAsia="zh-CN"/>
        </w:rPr>
        <w:t>）</w:t>
      </w:r>
      <w:r>
        <w:rPr>
          <w:rFonts w:hint="eastAsia" w:ascii="Times New Roman" w:hAnsi="Times New Roman" w:cs="Times New Roman"/>
          <w:highlight w:val="none"/>
        </w:rPr>
        <w:t>。</w:t>
      </w:r>
    </w:p>
    <w:p>
      <w:pPr>
        <w:pStyle w:val="3"/>
        <w:spacing w:before="312" w:after="312"/>
        <w:rPr>
          <w:rFonts w:cs="Times New Roman"/>
          <w:highlight w:val="none"/>
        </w:rPr>
      </w:pPr>
      <w:bookmarkStart w:id="3" w:name="_Toc172906184"/>
      <w:bookmarkStart w:id="4" w:name="_Toc22669"/>
      <w:bookmarkStart w:id="5" w:name="_Toc15832"/>
      <w:r>
        <w:rPr>
          <w:rFonts w:cs="Times New Roman"/>
          <w:highlight w:val="none"/>
        </w:rPr>
        <w:t>2 适用条件</w:t>
      </w:r>
      <w:bookmarkEnd w:id="3"/>
      <w:bookmarkEnd w:id="4"/>
      <w:bookmarkEnd w:id="5"/>
    </w:p>
    <w:p>
      <w:pPr>
        <w:ind w:firstLine="420"/>
        <w:rPr>
          <w:rFonts w:hint="eastAsia" w:ascii="Times New Roman" w:hAnsi="Times New Roman" w:eastAsia="宋体"/>
          <w:highlight w:val="none"/>
          <w:lang w:eastAsia="zh-CN"/>
        </w:rPr>
      </w:pPr>
      <w:bookmarkStart w:id="6" w:name="_Toc29842"/>
      <w:bookmarkStart w:id="7" w:name="_Toc172906185"/>
      <w:r>
        <w:rPr>
          <w:rFonts w:hint="eastAsia" w:ascii="Times New Roman" w:hAnsi="Times New Roman"/>
          <w:highlight w:val="none"/>
          <w:lang w:eastAsia="zh-CN"/>
        </w:rPr>
        <w:t>（</w:t>
      </w:r>
      <w:r>
        <w:rPr>
          <w:rFonts w:hint="eastAsia" w:ascii="Times New Roman" w:hAnsi="Times New Roman"/>
          <w:highlight w:val="none"/>
          <w:lang w:val="en-US" w:eastAsia="zh-CN"/>
        </w:rPr>
        <w:t>1</w:t>
      </w:r>
      <w:r>
        <w:rPr>
          <w:rFonts w:hint="eastAsia" w:ascii="Times New Roman" w:hAnsi="Times New Roman"/>
          <w:highlight w:val="none"/>
          <w:lang w:eastAsia="zh-CN"/>
        </w:rPr>
        <w:t>）</w:t>
      </w:r>
      <w:r>
        <w:rPr>
          <w:rFonts w:hint="eastAsia" w:ascii="Times New Roman" w:hAnsi="Times New Roman"/>
          <w:highlight w:val="none"/>
        </w:rPr>
        <w:t>本方法学适用于个人（下文“用户”所指相同）在规范化的二手交易平台或渠道完成</w:t>
      </w:r>
      <w:r>
        <w:rPr>
          <w:rFonts w:hint="eastAsia" w:ascii="Times New Roman" w:hAnsi="Times New Roman"/>
          <w:highlight w:val="none"/>
          <w:lang w:val="en-US" w:eastAsia="zh-CN"/>
        </w:rPr>
        <w:t>二手</w:t>
      </w:r>
      <w:r>
        <w:rPr>
          <w:rFonts w:hint="eastAsia" w:ascii="Times New Roman" w:hAnsi="Times New Roman"/>
          <w:highlight w:val="none"/>
        </w:rPr>
        <w:t>物品交易的行为</w:t>
      </w:r>
      <w:r>
        <w:rPr>
          <w:rFonts w:hint="eastAsia"/>
          <w:highlight w:val="none"/>
          <w:lang w:eastAsia="zh-CN"/>
        </w:rPr>
        <w:t>。</w:t>
      </w:r>
    </w:p>
    <w:p>
      <w:pPr>
        <w:ind w:firstLine="420"/>
        <w:rPr>
          <w:rFonts w:hint="eastAsia" w:eastAsia="宋体" w:cs="Times New Roman"/>
          <w:highlight w:val="none"/>
          <w:lang w:eastAsia="zh-CN"/>
        </w:rPr>
      </w:pPr>
      <w:r>
        <w:rPr>
          <w:rFonts w:hint="eastAsia" w:cs="Times New Roman"/>
          <w:highlight w:val="none"/>
          <w:lang w:eastAsia="zh-CN"/>
        </w:rPr>
        <w:t>（</w:t>
      </w:r>
      <w:r>
        <w:rPr>
          <w:rFonts w:hint="eastAsia" w:cs="Times New Roman"/>
          <w:highlight w:val="none"/>
          <w:lang w:val="en-US" w:eastAsia="zh-CN"/>
        </w:rPr>
        <w:t>2</w:t>
      </w:r>
      <w:r>
        <w:rPr>
          <w:rFonts w:hint="eastAsia" w:cs="Times New Roman"/>
          <w:highlight w:val="none"/>
        </w:rPr>
        <w:t>）应用本方法学产生的减排量</w:t>
      </w:r>
      <w:r>
        <w:rPr>
          <w:rFonts w:hint="eastAsia" w:cs="Times New Roman"/>
          <w:highlight w:val="none"/>
          <w:lang w:eastAsia="zh-CN"/>
        </w:rPr>
        <w:t>，</w:t>
      </w:r>
      <w:r>
        <w:rPr>
          <w:rFonts w:hint="eastAsia" w:cs="Times New Roman"/>
          <w:highlight w:val="none"/>
        </w:rPr>
        <w:t>不可用于抵销纳入</w:t>
      </w:r>
      <w:r>
        <w:rPr>
          <w:rFonts w:hint="eastAsia" w:cs="Times New Roman"/>
          <w:highlight w:val="none"/>
          <w:lang w:val="en-US" w:eastAsia="zh-CN"/>
        </w:rPr>
        <w:t>吉林省</w:t>
      </w:r>
      <w:r>
        <w:rPr>
          <w:rFonts w:hint="eastAsia" w:cs="Times New Roman"/>
          <w:highlight w:val="none"/>
        </w:rPr>
        <w:t>碳排放配额管理的重点排放单位的年度碳排放量</w:t>
      </w:r>
      <w:r>
        <w:rPr>
          <w:rFonts w:hint="eastAsia" w:cs="Times New Roman"/>
          <w:highlight w:val="none"/>
          <w:lang w:eastAsia="zh-CN"/>
        </w:rPr>
        <w:t>。</w:t>
      </w:r>
    </w:p>
    <w:p>
      <w:pPr>
        <w:numPr>
          <w:ilvl w:val="0"/>
          <w:numId w:val="0"/>
        </w:numPr>
        <w:ind w:firstLine="420" w:firstLineChars="200"/>
        <w:rPr>
          <w:rFonts w:hint="default"/>
          <w:highlight w:val="none"/>
          <w:lang w:val="en-US" w:eastAsia="zh-CN"/>
        </w:rPr>
      </w:pPr>
      <w:r>
        <w:rPr>
          <w:rFonts w:hint="eastAsia"/>
          <w:highlight w:val="none"/>
          <w:lang w:eastAsia="zh-CN"/>
        </w:rPr>
        <w:t>（</w:t>
      </w:r>
      <w:r>
        <w:rPr>
          <w:rFonts w:hint="eastAsia"/>
          <w:highlight w:val="none"/>
          <w:lang w:val="en-US" w:eastAsia="zh-CN"/>
        </w:rPr>
        <w:t>3</w:t>
      </w:r>
      <w:r>
        <w:rPr>
          <w:rFonts w:hint="eastAsia"/>
          <w:highlight w:val="none"/>
        </w:rPr>
        <w:t>）</w:t>
      </w:r>
      <w:r>
        <w:rPr>
          <w:rFonts w:hint="eastAsia" w:cs="Times New Roman"/>
          <w:highlight w:val="none"/>
        </w:rPr>
        <w:t>同一用户就同一</w:t>
      </w:r>
      <w:r>
        <w:rPr>
          <w:rFonts w:hint="eastAsia" w:cs="Times New Roman"/>
          <w:highlight w:val="none"/>
          <w:lang w:val="en-US" w:eastAsia="zh-CN"/>
        </w:rPr>
        <w:t>碳普惠</w:t>
      </w:r>
      <w:r>
        <w:rPr>
          <w:rFonts w:hint="eastAsia" w:cs="Times New Roman"/>
          <w:highlight w:val="none"/>
        </w:rPr>
        <w:t>行为产生的减排量，应仅通过一个碳普惠平台进行核算与申请，不得跨平台重复</w:t>
      </w:r>
      <w:r>
        <w:rPr>
          <w:rFonts w:hint="eastAsia" w:cs="Times New Roman"/>
          <w:highlight w:val="none"/>
          <w:lang w:val="en-US" w:eastAsia="zh-CN"/>
        </w:rPr>
        <w:t>申请</w:t>
      </w:r>
      <w:r>
        <w:rPr>
          <w:rFonts w:hint="eastAsia" w:cs="Times New Roman"/>
          <w:highlight w:val="none"/>
        </w:rPr>
        <w:t>。</w:t>
      </w:r>
    </w:p>
    <w:p>
      <w:pPr>
        <w:pStyle w:val="3"/>
        <w:spacing w:before="312" w:after="312"/>
        <w:rPr>
          <w:rFonts w:ascii="Times New Roman" w:hAnsi="Times New Roman"/>
          <w:highlight w:val="none"/>
        </w:rPr>
      </w:pPr>
      <w:bookmarkStart w:id="8" w:name="_Toc10139"/>
      <w:r>
        <w:rPr>
          <w:rFonts w:ascii="Times New Roman" w:hAnsi="Times New Roman"/>
          <w:highlight w:val="none"/>
        </w:rPr>
        <w:t xml:space="preserve">3 </w:t>
      </w:r>
      <w:r>
        <w:rPr>
          <w:rFonts w:hint="eastAsia" w:ascii="Times New Roman" w:hAnsi="Times New Roman"/>
          <w:highlight w:val="none"/>
        </w:rPr>
        <w:t>规范性</w:t>
      </w:r>
      <w:r>
        <w:rPr>
          <w:rFonts w:ascii="Times New Roman" w:hAnsi="Times New Roman"/>
          <w:highlight w:val="none"/>
        </w:rPr>
        <w:t>引用文件</w:t>
      </w:r>
      <w:bookmarkEnd w:id="6"/>
      <w:bookmarkEnd w:id="7"/>
      <w:bookmarkEnd w:id="8"/>
    </w:p>
    <w:p>
      <w:pPr>
        <w:ind w:firstLine="420"/>
        <w:rPr>
          <w:rFonts w:ascii="Times New Roman" w:hAnsi="Times New Roman" w:cs="Times New Roman"/>
          <w:highlight w:val="none"/>
        </w:rPr>
      </w:pPr>
      <w:r>
        <w:rPr>
          <w:rFonts w:hint="eastAsia" w:ascii="Times New Roman" w:hAnsi="Times New Roman" w:cs="Times New Roman"/>
          <w:highlight w:val="none"/>
        </w:rPr>
        <w:t>本文件引用了下列文件或</w:t>
      </w:r>
      <w:r>
        <w:rPr>
          <w:rFonts w:hint="eastAsia" w:cs="Times New Roman"/>
          <w:highlight w:val="none"/>
          <w:lang w:val="en-US" w:eastAsia="zh-CN"/>
        </w:rPr>
        <w:t>其中</w:t>
      </w:r>
      <w:r>
        <w:rPr>
          <w:rFonts w:hint="eastAsia" w:ascii="Times New Roman" w:hAnsi="Times New Roman" w:cs="Times New Roman"/>
          <w:highlight w:val="none"/>
        </w:rPr>
        <w:t>条款，其有效版本（包括所有的修改单）适用于本文件。</w:t>
      </w:r>
    </w:p>
    <w:p>
      <w:pPr>
        <w:ind w:firstLine="420"/>
        <w:rPr>
          <w:rFonts w:ascii="Times New Roman" w:hAnsi="Times New Roman" w:cs="Times New Roman"/>
          <w:highlight w:val="none"/>
        </w:rPr>
      </w:pPr>
      <w:r>
        <w:rPr>
          <w:rFonts w:hint="eastAsia" w:ascii="Times New Roman" w:hAnsi="Times New Roman" w:cs="Times New Roman"/>
          <w:szCs w:val="28"/>
          <w:highlight w:val="none"/>
        </w:rPr>
        <w:t>T/CACE 087.1</w:t>
      </w:r>
      <w:r>
        <w:rPr>
          <w:rFonts w:hint="eastAsia" w:ascii="Times New Roman" w:hAnsi="Times New Roman" w:cs="Times New Roman"/>
          <w:szCs w:val="28"/>
          <w:highlight w:val="none"/>
          <w:lang w:val="en-US" w:eastAsia="zh-CN"/>
        </w:rPr>
        <w:t xml:space="preserve"> </w:t>
      </w:r>
      <w:r>
        <w:rPr>
          <w:rFonts w:hint="eastAsia" w:cs="Times New Roman"/>
          <w:szCs w:val="28"/>
          <w:highlight w:val="none"/>
          <w:lang w:val="en-US" w:eastAsia="zh-CN"/>
        </w:rPr>
        <w:t>《</w:t>
      </w:r>
      <w:r>
        <w:rPr>
          <w:rFonts w:hint="eastAsia" w:ascii="Times New Roman" w:hAnsi="Times New Roman" w:cs="Times New Roman"/>
          <w:szCs w:val="28"/>
          <w:highlight w:val="none"/>
        </w:rPr>
        <w:t>基于项目的温室气体减排量评估技术规范 互联网平台闲置物品交易 通用要求</w:t>
      </w:r>
      <w:r>
        <w:rPr>
          <w:rFonts w:hint="eastAsia" w:cs="Times New Roman"/>
          <w:szCs w:val="28"/>
          <w:highlight w:val="none"/>
          <w:lang w:val="en-US" w:eastAsia="zh-CN"/>
        </w:rPr>
        <w:t>》</w:t>
      </w:r>
    </w:p>
    <w:p>
      <w:pPr>
        <w:ind w:firstLine="420"/>
        <w:rPr>
          <w:rFonts w:ascii="Times New Roman" w:hAnsi="Times New Roman" w:cs="Times New Roman"/>
          <w:szCs w:val="28"/>
          <w:highlight w:val="none"/>
        </w:rPr>
      </w:pPr>
      <w:r>
        <w:rPr>
          <w:rFonts w:ascii="Times New Roman" w:hAnsi="Times New Roman" w:cs="Times New Roman"/>
          <w:szCs w:val="28"/>
          <w:highlight w:val="none"/>
        </w:rPr>
        <w:t xml:space="preserve">T/CSTE 0049 </w:t>
      </w:r>
      <w:r>
        <w:rPr>
          <w:rFonts w:hint="eastAsia" w:cs="Times New Roman"/>
          <w:szCs w:val="28"/>
          <w:highlight w:val="none"/>
          <w:lang w:eastAsia="zh-CN"/>
        </w:rPr>
        <w:t>《</w:t>
      </w:r>
      <w:r>
        <w:rPr>
          <w:rFonts w:ascii="Times New Roman" w:hAnsi="Times New Roman" w:cs="Times New Roman"/>
          <w:szCs w:val="28"/>
          <w:highlight w:val="none"/>
        </w:rPr>
        <w:t>基于项目的温室气体减排量评估技术规范 二手交易平台</w:t>
      </w:r>
      <w:r>
        <w:rPr>
          <w:rFonts w:hint="eastAsia" w:cs="Times New Roman"/>
          <w:szCs w:val="28"/>
          <w:highlight w:val="none"/>
          <w:lang w:eastAsia="zh-CN"/>
        </w:rPr>
        <w:t>》</w:t>
      </w:r>
    </w:p>
    <w:p>
      <w:pPr>
        <w:pStyle w:val="3"/>
        <w:spacing w:before="312" w:after="312"/>
        <w:rPr>
          <w:rFonts w:cs="Times New Roman"/>
          <w:highlight w:val="none"/>
        </w:rPr>
      </w:pPr>
      <w:bookmarkStart w:id="9" w:name="_Toc27905"/>
      <w:bookmarkStart w:id="10" w:name="_Toc27236"/>
      <w:bookmarkStart w:id="11" w:name="_Toc172906186"/>
      <w:r>
        <w:rPr>
          <w:rFonts w:cs="Times New Roman"/>
          <w:highlight w:val="none"/>
        </w:rPr>
        <w:t>4 术语和定义</w:t>
      </w:r>
      <w:bookmarkEnd w:id="9"/>
      <w:bookmarkEnd w:id="10"/>
      <w:bookmarkEnd w:id="11"/>
    </w:p>
    <w:p>
      <w:pPr>
        <w:pStyle w:val="2"/>
        <w:outlineLvl w:val="2"/>
        <w:rPr>
          <w:rFonts w:hint="eastAsia" w:cs="Times New Roman"/>
          <w:bCs w:val="0"/>
          <w:iCs/>
          <w:highlight w:val="none"/>
          <w:lang w:val="en-US" w:eastAsia="zh-CN"/>
        </w:rPr>
      </w:pPr>
      <w:bookmarkStart w:id="12" w:name="_Toc175936556"/>
      <w:bookmarkStart w:id="13" w:name="_Toc21600"/>
      <w:bookmarkStart w:id="14" w:name="_Toc29988"/>
      <w:bookmarkStart w:id="15" w:name="_Toc175936558"/>
      <w:r>
        <w:rPr>
          <w:rFonts w:hint="eastAsia" w:cs="Times New Roman"/>
          <w:bCs w:val="0"/>
          <w:iCs/>
          <w:highlight w:val="none"/>
          <w:lang w:val="en-US" w:eastAsia="zh-CN"/>
        </w:rPr>
        <w:t>4.</w:t>
      </w:r>
      <w:bookmarkEnd w:id="12"/>
      <w:r>
        <w:rPr>
          <w:rFonts w:hint="eastAsia" w:cs="Times New Roman"/>
          <w:bCs w:val="0"/>
          <w:iCs/>
          <w:highlight w:val="none"/>
          <w:lang w:val="en-US" w:eastAsia="zh-CN"/>
        </w:rPr>
        <w:t>1碳普惠机制</w:t>
      </w:r>
      <w:bookmarkEnd w:id="13"/>
    </w:p>
    <w:p>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pPr>
        <w:pStyle w:val="2"/>
        <w:outlineLvl w:val="2"/>
        <w:rPr>
          <w:rFonts w:hint="eastAsia" w:cs="Times New Roman"/>
          <w:bCs w:val="0"/>
          <w:iCs/>
          <w:highlight w:val="none"/>
          <w:lang w:val="en-US" w:eastAsia="zh-CN"/>
        </w:rPr>
      </w:pPr>
      <w:bookmarkStart w:id="16" w:name="_Toc17805"/>
      <w:r>
        <w:rPr>
          <w:rFonts w:hint="eastAsia" w:cs="Times New Roman"/>
          <w:bCs w:val="0"/>
          <w:iCs/>
          <w:highlight w:val="none"/>
          <w:lang w:val="en-US" w:eastAsia="zh-CN"/>
        </w:rPr>
        <w:t>4.2碳普惠减排量</w:t>
      </w:r>
    </w:p>
    <w:p>
      <w:pPr>
        <w:ind w:firstLine="420"/>
        <w:rPr>
          <w:rFonts w:hint="default"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16"/>
    <w:p>
      <w:pPr>
        <w:pStyle w:val="2"/>
        <w:outlineLvl w:val="2"/>
        <w:rPr>
          <w:rFonts w:hint="eastAsia" w:cs="Times New Roman"/>
          <w:bCs w:val="0"/>
          <w:iCs/>
          <w:highlight w:val="none"/>
          <w:lang w:val="en-US" w:eastAsia="zh-CN"/>
        </w:rPr>
      </w:pPr>
      <w:bookmarkStart w:id="17" w:name="_Toc175936557"/>
      <w:bookmarkStart w:id="18" w:name="_Toc23194"/>
      <w:r>
        <w:rPr>
          <w:rFonts w:hint="eastAsia" w:cs="Times New Roman"/>
          <w:bCs w:val="0"/>
          <w:iCs/>
          <w:highlight w:val="none"/>
          <w:lang w:val="en-US" w:eastAsia="zh-CN"/>
        </w:rPr>
        <w:t>4.</w:t>
      </w:r>
      <w:bookmarkEnd w:id="17"/>
      <w:r>
        <w:rPr>
          <w:rFonts w:hint="eastAsia" w:cs="Times New Roman"/>
          <w:bCs w:val="0"/>
          <w:iCs/>
          <w:highlight w:val="none"/>
          <w:lang w:val="en-US" w:eastAsia="zh-CN"/>
        </w:rPr>
        <w:t>3碳普惠平台</w:t>
      </w:r>
      <w:bookmarkEnd w:id="18"/>
    </w:p>
    <w:p>
      <w:pPr>
        <w:ind w:firstLine="420"/>
        <w:outlineLvl w:val="2"/>
        <w:rPr>
          <w:rFonts w:hint="eastAsia" w:cs="Times New Roman"/>
          <w:highlight w:val="none"/>
        </w:rPr>
      </w:pPr>
      <w:r>
        <w:rPr>
          <w:rFonts w:hint="eastAsia" w:cs="Times New Roman"/>
          <w:highlight w:val="none"/>
          <w:lang w:val="en-US" w:eastAsia="zh-CN"/>
        </w:rPr>
        <w:t>由吉林省生态环境厅指导建设</w:t>
      </w:r>
      <w:r>
        <w:rPr>
          <w:rFonts w:hint="eastAsia" w:cs="Times New Roman"/>
          <w:highlight w:val="none"/>
        </w:rPr>
        <w:t>的具备碳账户开立服务、减排量登记管理、个人减排行为</w:t>
      </w:r>
      <w:r>
        <w:rPr>
          <w:rFonts w:hint="eastAsia" w:ascii="Times New Roman" w:hAnsi="Times New Roman" w:eastAsia="宋体" w:cs="Times New Roman"/>
          <w:kern w:val="2"/>
          <w:sz w:val="21"/>
          <w:szCs w:val="21"/>
          <w:highlight w:val="none"/>
          <w:lang w:val="en-US" w:eastAsia="zh-CN" w:bidi="ar-SA"/>
        </w:rPr>
        <w:t>奖励</w:t>
      </w:r>
      <w:r>
        <w:rPr>
          <w:rFonts w:hint="eastAsia" w:cs="Times New Roman"/>
          <w:highlight w:val="none"/>
        </w:rPr>
        <w:t>等功能的</w:t>
      </w:r>
      <w:r>
        <w:rPr>
          <w:rFonts w:hint="eastAsia" w:cs="Times New Roman"/>
          <w:highlight w:val="none"/>
          <w:lang w:val="en-US" w:eastAsia="zh-CN"/>
        </w:rPr>
        <w:t>服务</w:t>
      </w:r>
      <w:r>
        <w:rPr>
          <w:rFonts w:hint="eastAsia" w:cs="Times New Roman"/>
          <w:highlight w:val="none"/>
        </w:rPr>
        <w:t>平台。</w:t>
      </w:r>
    </w:p>
    <w:bookmarkEnd w:id="14"/>
    <w:bookmarkEnd w:id="15"/>
    <w:p>
      <w:pPr>
        <w:pStyle w:val="2"/>
        <w:outlineLvl w:val="2"/>
        <w:rPr>
          <w:rFonts w:hint="eastAsia" w:cs="Times New Roman"/>
          <w:bCs w:val="0"/>
          <w:iCs/>
          <w:highlight w:val="none"/>
          <w:lang w:val="en-US" w:eastAsia="zh-CN"/>
        </w:rPr>
      </w:pPr>
      <w:bookmarkStart w:id="19" w:name="_Toc676"/>
      <w:bookmarkStart w:id="20" w:name="_Toc175936559"/>
      <w:r>
        <w:rPr>
          <w:rFonts w:hint="eastAsia" w:cs="Times New Roman"/>
          <w:bCs w:val="0"/>
          <w:iCs/>
          <w:highlight w:val="none"/>
          <w:lang w:val="en-US" w:eastAsia="zh-CN"/>
        </w:rPr>
        <w:t>4.4数据来源平台</w:t>
      </w:r>
    </w:p>
    <w:p>
      <w:pPr>
        <w:ind w:firstLine="420"/>
        <w:outlineLvl w:val="2"/>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指直接产生并记录用户碳普惠行为相关原始数据的第三方平台，其提供的数据是核算碳普惠行为减排量的重要依据。</w:t>
      </w:r>
    </w:p>
    <w:p>
      <w:pPr>
        <w:pStyle w:val="2"/>
        <w:outlineLvl w:val="2"/>
        <w:rPr>
          <w:rFonts w:hint="eastAsia" w:cs="Times New Roman"/>
          <w:bCs w:val="0"/>
          <w:iCs/>
          <w:highlight w:val="none"/>
          <w:lang w:val="en-US" w:eastAsia="zh-CN"/>
        </w:rPr>
      </w:pPr>
      <w:bookmarkStart w:id="21" w:name="_Toc16153"/>
      <w:r>
        <w:rPr>
          <w:rFonts w:hint="eastAsia" w:cs="Times New Roman"/>
          <w:bCs w:val="0"/>
          <w:iCs/>
          <w:highlight w:val="none"/>
          <w:lang w:val="en-US" w:eastAsia="zh-CN"/>
        </w:rPr>
        <w:t>4.5 C2C（Customer to Customer）</w:t>
      </w:r>
      <w:bookmarkEnd w:id="21"/>
    </w:p>
    <w:p>
      <w:pPr>
        <w:ind w:firstLine="420"/>
        <w:rPr>
          <w:rFonts w:ascii="Times New Roman" w:hAnsi="Times New Roman" w:cs="Times New Roman"/>
          <w:highlight w:val="none"/>
        </w:rPr>
      </w:pPr>
      <w:r>
        <w:rPr>
          <w:rFonts w:ascii="Times New Roman" w:hAnsi="Times New Roman" w:cs="Times New Roman"/>
          <w:highlight w:val="none"/>
        </w:rPr>
        <w:t>电子商务模式中的一种，即</w:t>
      </w:r>
      <w:r>
        <w:rPr>
          <w:rFonts w:hint="eastAsia" w:ascii="Times New Roman" w:hAnsi="Times New Roman" w:cs="Times New Roman"/>
          <w:highlight w:val="none"/>
        </w:rPr>
        <w:t>个人</w:t>
      </w:r>
      <w:r>
        <w:rPr>
          <w:rFonts w:ascii="Times New Roman" w:hAnsi="Times New Roman" w:cs="Times New Roman"/>
          <w:highlight w:val="none"/>
        </w:rPr>
        <w:t>之间相互对</w:t>
      </w:r>
      <w:r>
        <w:rPr>
          <w:rFonts w:hint="eastAsia" w:cs="Times New Roman"/>
          <w:highlight w:val="none"/>
          <w:lang w:val="en-US" w:eastAsia="zh-CN"/>
        </w:rPr>
        <w:t>物品</w:t>
      </w:r>
      <w:r>
        <w:rPr>
          <w:rFonts w:ascii="Times New Roman" w:hAnsi="Times New Roman" w:cs="Times New Roman"/>
          <w:highlight w:val="none"/>
        </w:rPr>
        <w:t>进行</w:t>
      </w:r>
      <w:r>
        <w:rPr>
          <w:rFonts w:hint="eastAsia" w:cs="Times New Roman"/>
          <w:highlight w:val="none"/>
          <w:lang w:val="en-US" w:eastAsia="zh-CN"/>
        </w:rPr>
        <w:t>交易</w:t>
      </w:r>
      <w:r>
        <w:rPr>
          <w:rFonts w:ascii="Times New Roman" w:hAnsi="Times New Roman" w:cs="Times New Roman"/>
          <w:highlight w:val="none"/>
        </w:rPr>
        <w:t>。</w:t>
      </w:r>
    </w:p>
    <w:p>
      <w:pPr>
        <w:pStyle w:val="2"/>
        <w:outlineLvl w:val="2"/>
        <w:rPr>
          <w:rFonts w:hint="eastAsia" w:cs="Times New Roman"/>
          <w:bCs w:val="0"/>
          <w:iCs/>
          <w:highlight w:val="none"/>
          <w:lang w:val="en-US" w:eastAsia="zh-CN"/>
        </w:rPr>
      </w:pPr>
      <w:bookmarkStart w:id="22" w:name="_Toc5209"/>
      <w:r>
        <w:rPr>
          <w:rFonts w:hint="eastAsia" w:cs="Times New Roman"/>
          <w:bCs w:val="0"/>
          <w:iCs/>
          <w:highlight w:val="none"/>
          <w:lang w:val="en-US" w:eastAsia="zh-CN"/>
        </w:rPr>
        <w:t>4.6 C2B2C（Customer to Business to Customer）</w:t>
      </w:r>
      <w:bookmarkEnd w:id="22"/>
    </w:p>
    <w:p>
      <w:pPr>
        <w:ind w:firstLine="420"/>
        <w:rPr>
          <w:rFonts w:hint="eastAsia" w:cs="Times New Roman"/>
          <w:bCs w:val="0"/>
          <w:iCs/>
          <w:highlight w:val="none"/>
          <w:lang w:val="en-US" w:eastAsia="zh-CN"/>
        </w:rPr>
      </w:pPr>
      <w:r>
        <w:rPr>
          <w:rFonts w:ascii="Times New Roman" w:hAnsi="Times New Roman" w:cs="Times New Roman"/>
          <w:highlight w:val="none"/>
        </w:rPr>
        <w:t>电子商务模式中的一种，</w:t>
      </w:r>
      <w:r>
        <w:rPr>
          <w:rFonts w:hint="eastAsia" w:cs="Times New Roman"/>
          <w:highlight w:val="none"/>
          <w:lang w:val="en-US" w:eastAsia="zh-CN"/>
        </w:rPr>
        <w:t>即物品从</w:t>
      </w:r>
      <w:r>
        <w:rPr>
          <w:rFonts w:hint="eastAsia" w:ascii="Times New Roman" w:hAnsi="Times New Roman" w:cs="Times New Roman"/>
          <w:highlight w:val="none"/>
        </w:rPr>
        <w:t>个人</w:t>
      </w:r>
      <w:r>
        <w:rPr>
          <w:rFonts w:ascii="Times New Roman" w:hAnsi="Times New Roman" w:cs="Times New Roman"/>
          <w:highlight w:val="none"/>
        </w:rPr>
        <w:t>到企业再到</w:t>
      </w:r>
      <w:r>
        <w:rPr>
          <w:rFonts w:hint="eastAsia" w:ascii="Times New Roman" w:hAnsi="Times New Roman" w:cs="Times New Roman"/>
          <w:highlight w:val="none"/>
        </w:rPr>
        <w:t>个人</w:t>
      </w:r>
      <w:r>
        <w:rPr>
          <w:rFonts w:hint="eastAsia" w:cs="Times New Roman"/>
          <w:highlight w:val="none"/>
          <w:lang w:eastAsia="zh-CN"/>
        </w:rPr>
        <w:t>。</w:t>
      </w:r>
      <w:r>
        <w:rPr>
          <w:rFonts w:ascii="Times New Roman" w:hAnsi="Times New Roman" w:cs="Times New Roman"/>
          <w:highlight w:val="none"/>
        </w:rPr>
        <w:t>在这类二手交易模式下，平台从</w:t>
      </w:r>
      <w:r>
        <w:rPr>
          <w:rFonts w:hint="eastAsia" w:ascii="Times New Roman" w:hAnsi="Times New Roman" w:cs="Times New Roman"/>
          <w:highlight w:val="none"/>
        </w:rPr>
        <w:t>卖方</w:t>
      </w:r>
      <w:r>
        <w:rPr>
          <w:rFonts w:ascii="Times New Roman" w:hAnsi="Times New Roman" w:cs="Times New Roman"/>
          <w:highlight w:val="none"/>
        </w:rPr>
        <w:t>收取物品，</w:t>
      </w:r>
      <w:r>
        <w:rPr>
          <w:rFonts w:hint="eastAsia" w:cs="Times New Roman"/>
          <w:highlight w:val="none"/>
          <w:lang w:val="en-US" w:eastAsia="zh-CN"/>
        </w:rPr>
        <w:t>然后对其进行</w:t>
      </w:r>
      <w:r>
        <w:rPr>
          <w:rFonts w:ascii="Times New Roman" w:hAnsi="Times New Roman" w:cs="Times New Roman"/>
          <w:highlight w:val="none"/>
        </w:rPr>
        <w:t>审核、检验、清洁等</w:t>
      </w:r>
      <w:r>
        <w:rPr>
          <w:rFonts w:hint="eastAsia" w:cs="Times New Roman"/>
          <w:highlight w:val="none"/>
          <w:lang w:val="en-US" w:eastAsia="zh-CN"/>
        </w:rPr>
        <w:t>处理</w:t>
      </w:r>
      <w:r>
        <w:rPr>
          <w:rFonts w:ascii="Times New Roman" w:hAnsi="Times New Roman" w:cs="Times New Roman"/>
          <w:highlight w:val="none"/>
        </w:rPr>
        <w:t>，</w:t>
      </w:r>
      <w:r>
        <w:rPr>
          <w:rFonts w:hint="eastAsia" w:cs="Times New Roman"/>
          <w:highlight w:val="none"/>
          <w:lang w:val="en-US" w:eastAsia="zh-CN"/>
        </w:rPr>
        <w:t>最后由</w:t>
      </w:r>
      <w:r>
        <w:rPr>
          <w:rFonts w:hint="eastAsia" w:ascii="Times New Roman" w:hAnsi="Times New Roman" w:cs="Times New Roman"/>
          <w:highlight w:val="none"/>
        </w:rPr>
        <w:t>买方</w:t>
      </w:r>
      <w:r>
        <w:rPr>
          <w:rFonts w:ascii="Times New Roman" w:hAnsi="Times New Roman" w:cs="Times New Roman"/>
          <w:highlight w:val="none"/>
        </w:rPr>
        <w:t>进行购买。</w:t>
      </w:r>
    </w:p>
    <w:bookmarkEnd w:id="19"/>
    <w:bookmarkEnd w:id="20"/>
    <w:p>
      <w:pPr>
        <w:pStyle w:val="3"/>
        <w:spacing w:before="312" w:after="312"/>
        <w:rPr>
          <w:rFonts w:hint="eastAsia" w:cs="Times New Roman"/>
          <w:highlight w:val="none"/>
        </w:rPr>
      </w:pPr>
      <w:bookmarkStart w:id="23" w:name="_Toc20545"/>
      <w:bookmarkStart w:id="24" w:name="_Toc24848"/>
      <w:bookmarkStart w:id="25" w:name="_Toc172906187"/>
      <w:r>
        <w:rPr>
          <w:rFonts w:hint="eastAsia" w:cs="Times New Roman"/>
          <w:highlight w:val="none"/>
        </w:rPr>
        <w:t>5 核算边界、计入期和排放源</w:t>
      </w:r>
      <w:bookmarkEnd w:id="23"/>
      <w:bookmarkEnd w:id="24"/>
      <w:bookmarkEnd w:id="25"/>
    </w:p>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26" w:name="_Toc164770397"/>
      <w:bookmarkStart w:id="27" w:name="_Toc1791"/>
      <w:bookmarkStart w:id="28" w:name="_Toc18186"/>
      <w:bookmarkStart w:id="29" w:name="_Toc20130"/>
      <w:bookmarkStart w:id="30" w:name="_Toc175936561"/>
      <w:r>
        <w:rPr>
          <w:rFonts w:hint="eastAsia" w:ascii="Times New Roman" w:hAnsi="Times New Roman"/>
          <w:color w:val="000000" w:themeColor="text1"/>
          <w:highlight w:val="none"/>
          <w14:textFill>
            <w14:solidFill>
              <w14:schemeClr w14:val="tx1"/>
            </w14:solidFill>
          </w14:textFill>
        </w:rPr>
        <w:t>5.1</w:t>
      </w:r>
      <w:r>
        <w:rPr>
          <w:rFonts w:hint="eastAsia"/>
          <w:color w:val="000000" w:themeColor="text1"/>
          <w:highlight w:val="none"/>
          <w:lang w:val="en-US" w:eastAsia="zh-CN"/>
          <w14:textFill>
            <w14:solidFill>
              <w14:schemeClr w14:val="tx1"/>
            </w14:solidFill>
          </w14:textFill>
        </w:rPr>
        <w:t xml:space="preserve"> 核算</w:t>
      </w:r>
      <w:r>
        <w:rPr>
          <w:rFonts w:hint="eastAsia" w:ascii="Times New Roman" w:hAnsi="Times New Roman"/>
          <w:color w:val="000000" w:themeColor="text1"/>
          <w:highlight w:val="none"/>
          <w14:textFill>
            <w14:solidFill>
              <w14:schemeClr w14:val="tx1"/>
            </w14:solidFill>
          </w14:textFill>
        </w:rPr>
        <w:t>边界</w:t>
      </w:r>
      <w:bookmarkEnd w:id="26"/>
      <w:bookmarkEnd w:id="27"/>
      <w:bookmarkEnd w:id="28"/>
      <w:bookmarkEnd w:id="29"/>
      <w:bookmarkEnd w:id="30"/>
    </w:p>
    <w:p>
      <w:pPr>
        <w:ind w:firstLine="420"/>
        <w:rPr>
          <w:rFonts w:hint="eastAsia" w:cs="Times New Roman"/>
          <w:szCs w:val="28"/>
          <w:highlight w:val="none"/>
          <w:lang w:eastAsia="zh-CN"/>
        </w:rPr>
      </w:pPr>
      <w:bookmarkStart w:id="31" w:name="_Toc164770398"/>
      <w:bookmarkStart w:id="32" w:name="_Toc15818"/>
      <w:bookmarkStart w:id="33" w:name="_Toc175936562"/>
      <w:r>
        <w:rPr>
          <w:rFonts w:ascii="Times New Roman" w:hAnsi="Times New Roman" w:cs="Times New Roman"/>
          <w:szCs w:val="28"/>
          <w:highlight w:val="none"/>
        </w:rPr>
        <w:t>本</w:t>
      </w:r>
      <w:r>
        <w:rPr>
          <w:rFonts w:hint="eastAsia" w:ascii="Times New Roman" w:hAnsi="Times New Roman" w:cs="Times New Roman"/>
          <w:szCs w:val="28"/>
          <w:highlight w:val="none"/>
        </w:rPr>
        <w:t>方法学核算</w:t>
      </w:r>
      <w:r>
        <w:rPr>
          <w:rFonts w:ascii="Times New Roman" w:hAnsi="Times New Roman" w:cs="Times New Roman"/>
          <w:szCs w:val="28"/>
          <w:highlight w:val="none"/>
        </w:rPr>
        <w:t>边界</w:t>
      </w:r>
      <w:r>
        <w:rPr>
          <w:rFonts w:hint="eastAsia" w:cs="Times New Roman"/>
          <w:szCs w:val="28"/>
          <w:highlight w:val="none"/>
          <w:lang w:val="en-US" w:eastAsia="zh-CN"/>
        </w:rPr>
        <w:t>为</w:t>
      </w:r>
      <w:r>
        <w:rPr>
          <w:rFonts w:ascii="Times New Roman" w:hAnsi="Times New Roman" w:cs="Times New Roman"/>
          <w:szCs w:val="28"/>
          <w:highlight w:val="none"/>
        </w:rPr>
        <w:t>二手</w:t>
      </w:r>
      <w:r>
        <w:rPr>
          <w:rFonts w:hint="eastAsia" w:ascii="Times New Roman" w:hAnsi="Times New Roman" w:cs="Times New Roman"/>
          <w:szCs w:val="28"/>
          <w:highlight w:val="none"/>
          <w:lang w:val="en-US" w:eastAsia="zh-CN"/>
        </w:rPr>
        <w:t>物品</w:t>
      </w:r>
      <w:r>
        <w:rPr>
          <w:rFonts w:hint="eastAsia" w:cs="Times New Roman"/>
          <w:szCs w:val="28"/>
          <w:highlight w:val="none"/>
          <w:lang w:val="en-US" w:eastAsia="zh-CN"/>
        </w:rPr>
        <w:t>交易过程涉及的范围</w:t>
      </w:r>
      <w:r>
        <w:rPr>
          <w:rFonts w:hint="eastAsia" w:cs="Times New Roman"/>
          <w:szCs w:val="28"/>
          <w:highlight w:val="none"/>
          <w:lang w:eastAsia="zh-CN"/>
        </w:rPr>
        <w:t>，</w:t>
      </w:r>
      <w:r>
        <w:rPr>
          <w:rFonts w:hint="eastAsia" w:cs="Times New Roman"/>
          <w:szCs w:val="28"/>
          <w:highlight w:val="none"/>
          <w:lang w:val="en-US" w:eastAsia="zh-CN"/>
        </w:rPr>
        <w:t>具体核算边界如下图所示，</w:t>
      </w:r>
      <w:r>
        <w:rPr>
          <w:rFonts w:hint="eastAsia" w:cs="Times New Roman"/>
          <w:szCs w:val="28"/>
          <w:highlight w:val="none"/>
          <w:lang w:eastAsia="zh-CN"/>
        </w:rPr>
        <w:t>本方法学核算的温室气体种类为二氧化碳。</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Cs w:val="28"/>
          <w:highlight w:val="none"/>
        </w:rPr>
      </w:pPr>
      <w:r>
        <w:rPr>
          <w:rFonts w:hint="eastAsia" w:eastAsia="黑体"/>
          <w:lang w:eastAsia="zh-CN"/>
        </w:rPr>
        <w:drawing>
          <wp:inline distT="0" distB="0" distL="114300" distR="114300">
            <wp:extent cx="4679950" cy="2549525"/>
            <wp:effectExtent l="0" t="0" r="6350" b="3175"/>
            <wp:docPr id="5" name="图片 5" descr="2e4d3868-362a-42f6-ab73-4818429051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2e4d3868-362a-42f6-ab73-481842905112"/>
                    <pic:cNvPicPr>
                      <a:picLocks noChangeAspect="true"/>
                    </pic:cNvPicPr>
                  </pic:nvPicPr>
                  <pic:blipFill>
                    <a:blip r:embed="rId16"/>
                    <a:stretch>
                      <a:fillRect/>
                    </a:stretch>
                  </pic:blipFill>
                  <pic:spPr>
                    <a:xfrm>
                      <a:off x="0" y="0"/>
                      <a:ext cx="4679950" cy="2549525"/>
                    </a:xfrm>
                    <a:prstGeom prst="rect">
                      <a:avLst/>
                    </a:prstGeom>
                  </pic:spPr>
                </pic:pic>
              </a:graphicData>
            </a:graphic>
          </wp:inline>
        </w:drawing>
      </w:r>
    </w:p>
    <w:p>
      <w:pPr>
        <w:spacing w:line="360" w:lineRule="auto"/>
        <w:ind w:left="0" w:leftChars="0" w:firstLine="0" w:firstLineChars="0"/>
        <w:jc w:val="center"/>
        <w:rPr>
          <w:rFonts w:ascii="Times New Roman" w:hAnsi="Times New Roman" w:eastAsia="黑体" w:cs="Times New Roman"/>
          <w:highlight w:val="none"/>
        </w:rPr>
      </w:pPr>
      <w:r>
        <w:rPr>
          <w:rFonts w:ascii="Times New Roman" w:hAnsi="Times New Roman" w:eastAsia="黑体" w:cs="Times New Roman"/>
          <w:highlight w:val="none"/>
        </w:rPr>
        <w:t xml:space="preserve">图1 </w:t>
      </w:r>
      <w:r>
        <w:rPr>
          <w:rFonts w:hint="eastAsia" w:ascii="Times New Roman" w:hAnsi="Times New Roman" w:eastAsia="黑体" w:cs="Times New Roman"/>
          <w:highlight w:val="none"/>
        </w:rPr>
        <w:t>核算</w:t>
      </w:r>
      <w:r>
        <w:rPr>
          <w:rFonts w:ascii="Times New Roman" w:hAnsi="Times New Roman" w:eastAsia="黑体" w:cs="Times New Roman"/>
          <w:highlight w:val="none"/>
        </w:rPr>
        <w:t>边界示意图</w:t>
      </w:r>
    </w:p>
    <w:p>
      <w:pPr>
        <w:pStyle w:val="4"/>
        <w:spacing w:before="156" w:beforeLines="50" w:after="156" w:afterLines="50" w:line="240" w:lineRule="auto"/>
        <w:rPr>
          <w:rFonts w:ascii="Times New Roman" w:hAnsi="Times New Roman"/>
          <w:color w:val="000000" w:themeColor="text1"/>
          <w:highlight w:val="none"/>
          <w14:textFill>
            <w14:solidFill>
              <w14:schemeClr w14:val="tx1"/>
            </w14:solidFill>
          </w14:textFill>
        </w:rPr>
      </w:pPr>
      <w:bookmarkStart w:id="34" w:name="_Toc2834"/>
      <w:r>
        <w:rPr>
          <w:rFonts w:hint="eastAsia" w:ascii="Times New Roman" w:hAnsi="Times New Roman"/>
          <w:color w:val="000000" w:themeColor="text1"/>
          <w:highlight w:val="none"/>
          <w14:textFill>
            <w14:solidFill>
              <w14:schemeClr w14:val="tx1"/>
            </w14:solidFill>
          </w14:textFill>
        </w:rPr>
        <w:t>5.2</w:t>
      </w:r>
      <w:r>
        <w:rPr>
          <w:rFonts w:hint="eastAsia"/>
          <w:color w:val="000000" w:themeColor="text1"/>
          <w:highlight w:val="none"/>
          <w:lang w:val="en-US" w:eastAsia="zh-CN"/>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计入期</w:t>
      </w:r>
      <w:bookmarkEnd w:id="31"/>
      <w:bookmarkEnd w:id="32"/>
      <w:bookmarkEnd w:id="33"/>
      <w:bookmarkEnd w:id="34"/>
    </w:p>
    <w:p>
      <w:pPr>
        <w:pStyle w:val="10"/>
        <w:rPr>
          <w:rFonts w:hint="eastAsia" w:ascii="Times New Roman" w:hAnsi="Times New Roman"/>
          <w:color w:val="000000" w:themeColor="text1"/>
          <w:highlight w:val="none"/>
          <w14:textFill>
            <w14:solidFill>
              <w14:schemeClr w14:val="tx1"/>
            </w14:solidFill>
          </w14:textFill>
        </w:rPr>
      </w:pPr>
      <w:bookmarkStart w:id="35" w:name="_Hlk164769081"/>
      <w:bookmarkStart w:id="36" w:name="_Toc27624"/>
      <w:bookmarkStart w:id="37" w:name="_Toc164770399"/>
      <w:bookmarkStart w:id="38" w:name="_Toc175936563"/>
      <w:bookmarkStart w:id="39" w:name="_Toc22971"/>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5"/>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40" w:name="_Toc3810"/>
      <w:r>
        <w:rPr>
          <w:rFonts w:hint="eastAsia" w:ascii="Times New Roman" w:hAnsi="Times New Roman"/>
          <w:color w:val="000000" w:themeColor="text1"/>
          <w:highlight w:val="none"/>
          <w14:textFill>
            <w14:solidFill>
              <w14:schemeClr w14:val="tx1"/>
            </w14:solidFill>
          </w14:textFill>
        </w:rPr>
        <w:t>5.3</w:t>
      </w:r>
      <w:r>
        <w:rPr>
          <w:rFonts w:hint="eastAsia"/>
          <w:color w:val="000000" w:themeColor="text1"/>
          <w:highlight w:val="none"/>
          <w:lang w:val="en-US" w:eastAsia="zh-CN"/>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温室气体排放源</w:t>
      </w:r>
      <w:bookmarkEnd w:id="36"/>
      <w:bookmarkEnd w:id="37"/>
      <w:bookmarkEnd w:id="38"/>
      <w:bookmarkEnd w:id="39"/>
      <w:bookmarkEnd w:id="40"/>
    </w:p>
    <w:p>
      <w:pPr>
        <w:ind w:firstLine="420"/>
        <w:rPr>
          <w:rFonts w:ascii="Times New Roman" w:hAnsi="Times New Roman" w:cs="Times New Roman"/>
          <w:highlight w:val="none"/>
        </w:rPr>
      </w:pPr>
      <w:r>
        <w:rPr>
          <w:rFonts w:hint="eastAsia" w:ascii="Times New Roman" w:hAnsi="Times New Roman" w:cs="Times New Roman"/>
          <w:highlight w:val="none"/>
        </w:rPr>
        <w:t>核算</w:t>
      </w:r>
      <w:r>
        <w:rPr>
          <w:rFonts w:ascii="Times New Roman" w:hAnsi="Times New Roman" w:cs="Times New Roman"/>
          <w:highlight w:val="none"/>
        </w:rPr>
        <w:t>边界内所涉及的排放源及温室气体种类如下：</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bookmarkStart w:id="41" w:name="_Toc4949"/>
      <w:bookmarkStart w:id="42" w:name="_Toc172906188"/>
      <w:r>
        <w:rPr>
          <w:rFonts w:hint="eastAsia"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5161"/>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36" w:type="pct"/>
            <w:gridSpan w:val="2"/>
            <w:vAlign w:val="center"/>
          </w:tcPr>
          <w:p>
            <w:pPr>
              <w:ind w:firstLine="0" w:firstLineChars="0"/>
              <w:jc w:val="center"/>
              <w:rPr>
                <w:rFonts w:ascii="Times New Roman" w:hAnsi="Times New Roman" w:cs="Times New Roman"/>
                <w:kern w:val="0"/>
                <w:sz w:val="18"/>
                <w:szCs w:val="18"/>
                <w:highlight w:val="none"/>
              </w:rPr>
            </w:pPr>
            <w:r>
              <w:rPr>
                <w:rFonts w:hint="eastAsia" w:cs="Times New Roman"/>
                <w:sz w:val="18"/>
                <w:szCs w:val="18"/>
                <w:highlight w:val="none"/>
              </w:rPr>
              <w:t>温室气体排放源</w:t>
            </w:r>
          </w:p>
        </w:tc>
        <w:tc>
          <w:tcPr>
            <w:tcW w:w="1163" w:type="pct"/>
            <w:vAlign w:val="center"/>
          </w:tcPr>
          <w:p>
            <w:pPr>
              <w:ind w:firstLine="0" w:firstLineChars="0"/>
              <w:jc w:val="center"/>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温室气体种类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8" w:type="pct"/>
            <w:vAlign w:val="center"/>
          </w:tcPr>
          <w:p>
            <w:pPr>
              <w:ind w:firstLine="0" w:firstLineChars="0"/>
              <w:jc w:val="center"/>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3028" w:type="pct"/>
            <w:vAlign w:val="center"/>
          </w:tcPr>
          <w:p>
            <w:pPr>
              <w:ind w:firstLine="0" w:firstLineChars="0"/>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用户</w:t>
            </w:r>
            <w:r>
              <w:rPr>
                <w:rFonts w:ascii="Times New Roman" w:hAnsi="Times New Roman" w:cs="Times New Roman"/>
                <w:kern w:val="0"/>
                <w:sz w:val="18"/>
                <w:szCs w:val="18"/>
                <w:highlight w:val="none"/>
              </w:rPr>
              <w:t>选择购置</w:t>
            </w:r>
            <w:r>
              <w:rPr>
                <w:rFonts w:hint="eastAsia" w:ascii="Times New Roman" w:hAnsi="Times New Roman" w:cs="Times New Roman"/>
                <w:kern w:val="0"/>
                <w:sz w:val="18"/>
                <w:szCs w:val="18"/>
                <w:highlight w:val="none"/>
                <w:lang w:val="en-US" w:eastAsia="zh-CN"/>
              </w:rPr>
              <w:t>全新物品</w:t>
            </w:r>
          </w:p>
        </w:tc>
        <w:tc>
          <w:tcPr>
            <w:tcW w:w="1163" w:type="pct"/>
            <w:vAlign w:val="center"/>
          </w:tcPr>
          <w:p>
            <w:pPr>
              <w:ind w:firstLine="0" w:firstLineChars="0"/>
              <w:jc w:val="center"/>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8" w:type="pct"/>
            <w:vAlign w:val="center"/>
          </w:tcPr>
          <w:p>
            <w:pPr>
              <w:ind w:firstLine="0" w:firstLineChars="0"/>
              <w:jc w:val="center"/>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碳普惠情景</w:t>
            </w:r>
          </w:p>
        </w:tc>
        <w:tc>
          <w:tcPr>
            <w:tcW w:w="3028" w:type="pct"/>
            <w:vAlign w:val="center"/>
          </w:tcPr>
          <w:p>
            <w:pPr>
              <w:ind w:firstLine="0" w:firstLineChars="0"/>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val="en-US" w:eastAsia="zh-CN"/>
              </w:rPr>
              <w:t>用户</w:t>
            </w:r>
            <w:r>
              <w:rPr>
                <w:rFonts w:ascii="Times New Roman" w:hAnsi="Times New Roman" w:cs="Times New Roman"/>
                <w:kern w:val="0"/>
                <w:sz w:val="18"/>
                <w:szCs w:val="18"/>
                <w:highlight w:val="none"/>
              </w:rPr>
              <w:t>选择</w:t>
            </w:r>
            <w:r>
              <w:rPr>
                <w:rFonts w:hint="eastAsia" w:cs="Times New Roman"/>
                <w:kern w:val="0"/>
                <w:sz w:val="18"/>
                <w:szCs w:val="18"/>
                <w:highlight w:val="none"/>
                <w:lang w:val="en-US" w:eastAsia="zh-CN"/>
              </w:rPr>
              <w:t>进行</w:t>
            </w:r>
            <w:r>
              <w:rPr>
                <w:rFonts w:ascii="Times New Roman" w:hAnsi="Times New Roman" w:cs="Times New Roman"/>
                <w:kern w:val="0"/>
                <w:sz w:val="18"/>
                <w:szCs w:val="18"/>
                <w:highlight w:val="none"/>
              </w:rPr>
              <w:t>二手</w:t>
            </w:r>
            <w:r>
              <w:rPr>
                <w:rFonts w:hint="eastAsia" w:ascii="Times New Roman" w:hAnsi="Times New Roman" w:cs="Times New Roman"/>
                <w:kern w:val="0"/>
                <w:sz w:val="18"/>
                <w:szCs w:val="18"/>
                <w:highlight w:val="none"/>
                <w:lang w:val="en-US" w:eastAsia="zh-CN"/>
              </w:rPr>
              <w:t>物品</w:t>
            </w:r>
            <w:r>
              <w:rPr>
                <w:rFonts w:ascii="Times New Roman" w:hAnsi="Times New Roman" w:cs="Times New Roman"/>
                <w:kern w:val="0"/>
                <w:sz w:val="18"/>
                <w:szCs w:val="18"/>
                <w:highlight w:val="none"/>
              </w:rPr>
              <w:t>的交易，代替了全新</w:t>
            </w:r>
            <w:r>
              <w:rPr>
                <w:rFonts w:hint="eastAsia" w:ascii="Times New Roman" w:hAnsi="Times New Roman" w:cs="Times New Roman"/>
                <w:kern w:val="0"/>
                <w:sz w:val="18"/>
                <w:szCs w:val="18"/>
                <w:highlight w:val="none"/>
                <w:lang w:val="en-US" w:eastAsia="zh-CN"/>
              </w:rPr>
              <w:t>物品</w:t>
            </w:r>
            <w:r>
              <w:rPr>
                <w:rFonts w:ascii="Times New Roman" w:hAnsi="Times New Roman" w:cs="Times New Roman"/>
                <w:kern w:val="0"/>
                <w:sz w:val="18"/>
                <w:szCs w:val="18"/>
                <w:highlight w:val="none"/>
              </w:rPr>
              <w:t>的</w:t>
            </w:r>
            <w:r>
              <w:rPr>
                <w:rFonts w:hint="eastAsia" w:cs="Times New Roman"/>
                <w:kern w:val="0"/>
                <w:sz w:val="18"/>
                <w:szCs w:val="18"/>
                <w:highlight w:val="none"/>
                <w:lang w:val="en-US" w:eastAsia="zh-CN"/>
              </w:rPr>
              <w:t>购买</w:t>
            </w:r>
          </w:p>
        </w:tc>
        <w:tc>
          <w:tcPr>
            <w:tcW w:w="1163" w:type="pct"/>
            <w:vAlign w:val="center"/>
          </w:tcPr>
          <w:p>
            <w:pPr>
              <w:ind w:firstLine="0" w:firstLineChars="0"/>
              <w:jc w:val="center"/>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pPr>
        <w:pStyle w:val="3"/>
        <w:spacing w:before="312" w:after="312"/>
        <w:rPr>
          <w:rFonts w:hint="eastAsia" w:cs="Times New Roman"/>
          <w:highlight w:val="none"/>
        </w:rPr>
      </w:pPr>
      <w:bookmarkStart w:id="43" w:name="_Toc30858"/>
      <w:r>
        <w:rPr>
          <w:rFonts w:hint="eastAsia" w:cs="Times New Roman"/>
          <w:highlight w:val="none"/>
        </w:rPr>
        <w:t>6 减排量核算</w:t>
      </w:r>
      <w:bookmarkEnd w:id="41"/>
      <w:r>
        <w:rPr>
          <w:rFonts w:hint="eastAsia" w:cs="Times New Roman"/>
          <w:highlight w:val="none"/>
        </w:rPr>
        <w:t>方法</w:t>
      </w:r>
      <w:bookmarkEnd w:id="42"/>
      <w:bookmarkEnd w:id="43"/>
    </w:p>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44" w:name="_Toc175936565"/>
      <w:bookmarkStart w:id="45" w:name="_Toc11446"/>
      <w:bookmarkStart w:id="46" w:name="_Toc164770401"/>
      <w:bookmarkStart w:id="47" w:name="_Toc19391"/>
      <w:bookmarkStart w:id="48" w:name="_Toc3264"/>
      <w:r>
        <w:rPr>
          <w:rFonts w:hint="eastAsia" w:ascii="Times New Roman" w:hAnsi="Times New Roman"/>
          <w:color w:val="000000" w:themeColor="text1"/>
          <w:highlight w:val="none"/>
          <w14:textFill>
            <w14:solidFill>
              <w14:schemeClr w14:val="tx1"/>
            </w14:solidFill>
          </w14:textFill>
        </w:rPr>
        <w:t>6.1 基准线情景识别</w:t>
      </w:r>
      <w:bookmarkEnd w:id="44"/>
      <w:bookmarkEnd w:id="45"/>
      <w:bookmarkEnd w:id="46"/>
      <w:bookmarkEnd w:id="47"/>
      <w:bookmarkEnd w:id="48"/>
    </w:p>
    <w:p>
      <w:pPr>
        <w:ind w:firstLine="420"/>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本方法学基准线情景为</w:t>
      </w:r>
      <w:r>
        <w:rPr>
          <w:rFonts w:hint="eastAsia" w:ascii="Times New Roman" w:hAnsi="Times New Roman" w:eastAsia="宋体" w:cs="Times New Roman"/>
          <w:color w:val="000000" w:themeColor="text1"/>
          <w:kern w:val="0"/>
          <w:highlight w:val="none"/>
          <w14:textFill>
            <w14:solidFill>
              <w14:schemeClr w14:val="tx1"/>
            </w14:solidFill>
          </w14:textFill>
        </w:rPr>
        <w:t>用户</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选择</w:t>
      </w:r>
      <w:r>
        <w:rPr>
          <w:rFonts w:hint="eastAsia" w:ascii="Times New Roman" w:hAnsi="Times New Roman" w:eastAsia="宋体" w:cs="Times New Roman"/>
          <w:color w:val="000000" w:themeColor="text1"/>
          <w:kern w:val="0"/>
          <w:highlight w:val="none"/>
          <w14:textFill>
            <w14:solidFill>
              <w14:schemeClr w14:val="tx1"/>
            </w14:solidFill>
          </w14:textFill>
        </w:rPr>
        <w:t>购买</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与</w:t>
      </w:r>
      <w:r>
        <w:rPr>
          <w:rFonts w:hint="eastAsia" w:cs="Times New Roman"/>
          <w:color w:val="000000" w:themeColor="text1"/>
          <w:kern w:val="0"/>
          <w:highlight w:val="none"/>
          <w:lang w:val="en-US" w:eastAsia="zh-CN"/>
          <w14:textFill>
            <w14:solidFill>
              <w14:schemeClr w14:val="tx1"/>
            </w14:solidFill>
          </w14:textFill>
        </w:rPr>
        <w:t>二手</w:t>
      </w:r>
      <w:r>
        <w:rPr>
          <w:rFonts w:hint="eastAsia" w:ascii="Times New Roman" w:hAnsi="Times New Roman" w:eastAsia="宋体" w:cs="Times New Roman"/>
          <w:color w:val="000000" w:themeColor="text1"/>
          <w:kern w:val="0"/>
          <w:highlight w:val="none"/>
          <w14:textFill>
            <w14:solidFill>
              <w14:schemeClr w14:val="tx1"/>
            </w14:solidFill>
          </w14:textFill>
        </w:rPr>
        <w:t>物品同类型、功能属性相近的全新</w:t>
      </w:r>
      <w:r>
        <w:rPr>
          <w:rFonts w:hint="eastAsia" w:cs="Times New Roman"/>
          <w:color w:val="000000" w:themeColor="text1"/>
          <w:kern w:val="0"/>
          <w:highlight w:val="none"/>
          <w:lang w:val="en-US" w:eastAsia="zh-CN"/>
          <w14:textFill>
            <w14:solidFill>
              <w14:schemeClr w14:val="tx1"/>
            </w14:solidFill>
          </w14:textFill>
        </w:rPr>
        <w:t>物品。</w:t>
      </w:r>
    </w:p>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49" w:name="_Toc2936"/>
      <w:bookmarkStart w:id="50" w:name="_Toc175936566"/>
      <w:bookmarkStart w:id="51" w:name="_Toc8566"/>
      <w:bookmarkStart w:id="52" w:name="_Toc20771"/>
      <w:bookmarkStart w:id="53" w:name="_Toc164770402"/>
      <w:r>
        <w:rPr>
          <w:rFonts w:hint="eastAsia" w:ascii="Times New Roman" w:hAnsi="Times New Roman"/>
          <w:color w:val="000000" w:themeColor="text1"/>
          <w:highlight w:val="none"/>
          <w14:textFill>
            <w14:solidFill>
              <w14:schemeClr w14:val="tx1"/>
            </w14:solidFill>
          </w14:textFill>
        </w:rPr>
        <w:t>6.2 额外性论证</w:t>
      </w:r>
      <w:bookmarkEnd w:id="49"/>
      <w:bookmarkEnd w:id="50"/>
      <w:bookmarkEnd w:id="51"/>
      <w:bookmarkEnd w:id="52"/>
      <w:bookmarkEnd w:id="53"/>
    </w:p>
    <w:p>
      <w:pPr>
        <w:ind w:firstLine="420"/>
        <w:rPr>
          <w:rFonts w:hint="eastAsia" w:cs="Times New Roman"/>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highlight w:val="none"/>
          <w14:textFill>
            <w14:solidFill>
              <w14:schemeClr w14:val="tx1"/>
            </w14:solidFill>
          </w14:textFill>
        </w:rPr>
        <w:t>二手物品的交易是推动资源节约利用、构建绿色低碳循环发展经济体系的关键环节之一。通过交易延长物品的使用寿命，</w:t>
      </w:r>
      <w:r>
        <w:rPr>
          <w:rFonts w:hint="eastAsia" w:cs="Times New Roman"/>
          <w:color w:val="000000" w:themeColor="text1"/>
          <w:kern w:val="0"/>
          <w:highlight w:val="none"/>
          <w:lang w:val="en-US" w:eastAsia="zh-CN"/>
          <w14:textFill>
            <w14:solidFill>
              <w14:schemeClr w14:val="tx1"/>
            </w14:solidFill>
          </w14:textFill>
        </w:rPr>
        <w:t>能够减少</w:t>
      </w:r>
      <w:r>
        <w:rPr>
          <w:rFonts w:hint="eastAsia" w:ascii="Times New Roman" w:hAnsi="Times New Roman" w:eastAsia="宋体" w:cs="Times New Roman"/>
          <w:color w:val="000000" w:themeColor="text1"/>
          <w:kern w:val="0"/>
          <w:highlight w:val="none"/>
          <w14:textFill>
            <w14:solidFill>
              <w14:schemeClr w14:val="tx1"/>
            </w14:solidFill>
          </w14:textFill>
        </w:rPr>
        <w:t>全新物品</w:t>
      </w:r>
      <w:r>
        <w:rPr>
          <w:rFonts w:hint="eastAsia" w:cs="Times New Roman"/>
          <w:color w:val="000000" w:themeColor="text1"/>
          <w:kern w:val="0"/>
          <w:highlight w:val="none"/>
          <w:lang w:val="en-US" w:eastAsia="zh-CN"/>
          <w14:textFill>
            <w14:solidFill>
              <w14:schemeClr w14:val="tx1"/>
            </w14:solidFill>
          </w14:textFill>
        </w:rPr>
        <w:t>生产、使用及废弃等过程产生</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的碳排放，</w:t>
      </w:r>
      <w:r>
        <w:rPr>
          <w:rFonts w:hint="eastAsia" w:cs="Times New Roman"/>
          <w:color w:val="000000" w:themeColor="text1"/>
          <w:kern w:val="0"/>
          <w:highlight w:val="none"/>
          <w:lang w:val="en-US" w:eastAsia="zh-CN"/>
          <w14:textFill>
            <w14:solidFill>
              <w14:schemeClr w14:val="tx1"/>
            </w14:solidFill>
          </w14:textFill>
        </w:rPr>
        <w:t>并降低</w:t>
      </w:r>
      <w:r>
        <w:rPr>
          <w:rFonts w:hint="eastAsia" w:ascii="Times New Roman" w:hAnsi="Times New Roman" w:eastAsia="宋体" w:cs="Times New Roman"/>
          <w:color w:val="000000" w:themeColor="text1"/>
          <w:kern w:val="0"/>
          <w:highlight w:val="none"/>
          <w14:textFill>
            <w14:solidFill>
              <w14:schemeClr w14:val="tx1"/>
            </w14:solidFill>
          </w14:textFill>
        </w:rPr>
        <w:t>生产制造环节的能源</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消耗及</w:t>
      </w:r>
      <w:r>
        <w:rPr>
          <w:rFonts w:hint="eastAsia" w:ascii="Times New Roman" w:hAnsi="Times New Roman" w:eastAsia="宋体" w:cs="Times New Roman"/>
          <w:color w:val="000000" w:themeColor="text1"/>
          <w:kern w:val="0"/>
          <w:highlight w:val="none"/>
          <w14:textFill>
            <w14:solidFill>
              <w14:schemeClr w14:val="tx1"/>
            </w14:solidFill>
          </w14:textFill>
        </w:rPr>
        <w:t>资源消耗。同时，碳普惠机制量化并认可个人</w:t>
      </w:r>
      <w:r>
        <w:rPr>
          <w:rFonts w:hint="eastAsia" w:cs="Times New Roman"/>
          <w:color w:val="000000" w:themeColor="text1"/>
          <w:kern w:val="0"/>
          <w:highlight w:val="none"/>
          <w:lang w:val="en-US" w:eastAsia="zh-CN"/>
          <w14:textFill>
            <w14:solidFill>
              <w14:schemeClr w14:val="tx1"/>
            </w14:solidFill>
          </w14:textFill>
        </w:rPr>
        <w:t>二手物品</w:t>
      </w:r>
      <w:r>
        <w:rPr>
          <w:rFonts w:hint="eastAsia" w:ascii="Times New Roman" w:hAnsi="Times New Roman" w:eastAsia="宋体" w:cs="Times New Roman"/>
          <w:color w:val="000000" w:themeColor="text1"/>
          <w:kern w:val="0"/>
          <w:highlight w:val="none"/>
          <w14:textFill>
            <w14:solidFill>
              <w14:schemeClr w14:val="tx1"/>
            </w14:solidFill>
          </w14:textFill>
        </w:rPr>
        <w:t>交易行为的减排价值，深化公众对资源循环利用减排贡献的认知，全面提升公众参与积极性，引导形成“物尽其用、绿色消费”的社会风尚，对促进生活方式绿色转型具有显著</w:t>
      </w:r>
      <w:r>
        <w:rPr>
          <w:rFonts w:hint="eastAsia" w:cs="Times New Roman"/>
          <w:color w:val="000000" w:themeColor="text1"/>
          <w:kern w:val="0"/>
          <w:highlight w:val="none"/>
          <w:lang w:val="en-US" w:eastAsia="zh-CN"/>
          <w14:textFill>
            <w14:solidFill>
              <w14:schemeClr w14:val="tx1"/>
            </w14:solidFill>
          </w14:textFill>
        </w:rPr>
        <w:t>作用</w:t>
      </w:r>
      <w:r>
        <w:rPr>
          <w:rFonts w:hint="eastAsia" w:ascii="Times New Roman" w:hAnsi="Times New Roman" w:eastAsia="宋体" w:cs="Times New Roman"/>
          <w:color w:val="000000" w:themeColor="text1"/>
          <w:kern w:val="0"/>
          <w:highlight w:val="none"/>
          <w14:textFill>
            <w14:solidFill>
              <w14:schemeClr w14:val="tx1"/>
            </w14:solidFill>
          </w14:textFill>
        </w:rPr>
        <w:t>。</w:t>
      </w:r>
    </w:p>
    <w:p>
      <w:pPr>
        <w:ind w:firstLine="420"/>
        <w:rPr>
          <w:rFonts w:hint="eastAsia"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14:textFill>
            <w14:solidFill>
              <w14:schemeClr w14:val="tx1"/>
            </w14:solidFill>
          </w14:textFill>
        </w:rPr>
        <w:t>采用本方法学的碳普惠情景</w:t>
      </w:r>
      <w:r>
        <w:rPr>
          <w:rFonts w:hint="eastAsia" w:cs="Times New Roman"/>
          <w:color w:val="000000" w:themeColor="text1"/>
          <w:kern w:val="0"/>
          <w:highlight w:val="none"/>
          <w14:textFill>
            <w14:solidFill>
              <w14:schemeClr w14:val="tx1"/>
            </w14:solidFill>
          </w14:textFill>
        </w:rPr>
        <w:t>免于额外性论证。</w:t>
      </w:r>
    </w:p>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54" w:name="_Toc20819"/>
      <w:bookmarkStart w:id="55" w:name="_Toc175936567"/>
      <w:bookmarkStart w:id="56" w:name="_Toc17812"/>
      <w:bookmarkStart w:id="57" w:name="_Toc164770403"/>
      <w:bookmarkStart w:id="58" w:name="_Toc17662"/>
      <w:r>
        <w:rPr>
          <w:rFonts w:hint="eastAsia" w:ascii="Times New Roman" w:hAnsi="Times New Roman"/>
          <w:color w:val="000000" w:themeColor="text1"/>
          <w:highlight w:val="none"/>
          <w14:textFill>
            <w14:solidFill>
              <w14:schemeClr w14:val="tx1"/>
            </w14:solidFill>
          </w14:textFill>
        </w:rPr>
        <w:t>6.3 基准线</w:t>
      </w:r>
      <w:r>
        <w:rPr>
          <w:rFonts w:hint="eastAsia"/>
          <w:color w:val="000000" w:themeColor="text1"/>
          <w:highlight w:val="none"/>
          <w:lang w:val="en-US" w:eastAsia="zh-CN"/>
          <w14:textFill>
            <w14:solidFill>
              <w14:schemeClr w14:val="tx1"/>
            </w14:solidFill>
          </w14:textFill>
        </w:rPr>
        <w:t>情景</w:t>
      </w:r>
      <w:r>
        <w:rPr>
          <w:rFonts w:hint="eastAsia" w:ascii="Times New Roman" w:hAnsi="Times New Roman"/>
          <w:color w:val="000000" w:themeColor="text1"/>
          <w:highlight w:val="none"/>
          <w14:textFill>
            <w14:solidFill>
              <w14:schemeClr w14:val="tx1"/>
            </w14:solidFill>
          </w14:textFill>
        </w:rPr>
        <w:t>排放</w:t>
      </w:r>
      <w:r>
        <w:rPr>
          <w:rFonts w:hint="eastAsia"/>
          <w:color w:val="000000" w:themeColor="text1"/>
          <w:highlight w:val="none"/>
          <w:lang w:eastAsia="zh-CN"/>
          <w14:textFill>
            <w14:solidFill>
              <w14:schemeClr w14:val="tx1"/>
            </w14:solidFill>
          </w14:textFill>
        </w:rPr>
        <w:t>量</w:t>
      </w:r>
      <w:r>
        <w:rPr>
          <w:rFonts w:hint="eastAsia" w:ascii="Times New Roman" w:hAnsi="Times New Roman"/>
          <w:color w:val="000000" w:themeColor="text1"/>
          <w:highlight w:val="none"/>
          <w14:textFill>
            <w14:solidFill>
              <w14:schemeClr w14:val="tx1"/>
            </w14:solidFill>
          </w14:textFill>
        </w:rPr>
        <w:t>计算</w:t>
      </w:r>
      <w:bookmarkEnd w:id="54"/>
      <w:bookmarkEnd w:id="55"/>
      <w:bookmarkEnd w:id="56"/>
      <w:bookmarkEnd w:id="57"/>
      <w:bookmarkEnd w:id="58"/>
    </w:p>
    <w:p>
      <w:pPr>
        <w:ind w:firstLine="420"/>
        <w:rPr>
          <w:rFonts w:ascii="Times New Roman" w:hAnsi="Times New Roman"/>
          <w:highlight w:val="none"/>
        </w:rPr>
      </w:pPr>
      <w:r>
        <w:rPr>
          <w:rFonts w:ascii="Times New Roman" w:hAnsi="Times New Roman" w:cs="Times New Roman"/>
          <w:szCs w:val="28"/>
          <w:highlight w:val="none"/>
        </w:rPr>
        <w:t>基准线</w:t>
      </w:r>
      <w:r>
        <w:rPr>
          <w:rFonts w:hint="eastAsia" w:cs="Times New Roman"/>
          <w:szCs w:val="28"/>
          <w:highlight w:val="none"/>
          <w:lang w:val="en-US" w:eastAsia="zh-CN"/>
        </w:rPr>
        <w:t>情景</w:t>
      </w:r>
      <w:r>
        <w:rPr>
          <w:rFonts w:ascii="Times New Roman" w:hAnsi="Times New Roman" w:cs="Times New Roman"/>
          <w:szCs w:val="28"/>
          <w:highlight w:val="none"/>
        </w:rPr>
        <w:t>排放主要涉及</w:t>
      </w:r>
      <w:r>
        <w:rPr>
          <w:rFonts w:hint="eastAsia" w:cs="Times New Roman"/>
          <w:szCs w:val="28"/>
          <w:highlight w:val="none"/>
          <w:lang w:val="en-US" w:eastAsia="zh-CN"/>
        </w:rPr>
        <w:t>物品</w:t>
      </w:r>
      <w:r>
        <w:rPr>
          <w:rFonts w:ascii="Times New Roman" w:hAnsi="Times New Roman" w:cs="Times New Roman"/>
          <w:szCs w:val="28"/>
          <w:highlight w:val="none"/>
        </w:rPr>
        <w:t>生产</w:t>
      </w:r>
      <w:r>
        <w:rPr>
          <w:rFonts w:hint="eastAsia" w:ascii="Times New Roman" w:hAnsi="Times New Roman" w:cs="Times New Roman"/>
          <w:szCs w:val="28"/>
          <w:highlight w:val="none"/>
        </w:rPr>
        <w:t>、</w:t>
      </w:r>
      <w:r>
        <w:rPr>
          <w:rFonts w:ascii="Times New Roman" w:hAnsi="Times New Roman" w:cs="Times New Roman"/>
          <w:szCs w:val="28"/>
          <w:highlight w:val="none"/>
        </w:rPr>
        <w:t>包装</w:t>
      </w:r>
      <w:bookmarkStart w:id="59" w:name="OLE_LINK14"/>
      <w:r>
        <w:rPr>
          <w:rFonts w:hint="eastAsia" w:ascii="Times New Roman" w:hAnsi="Times New Roman" w:cs="Times New Roman"/>
          <w:szCs w:val="28"/>
          <w:highlight w:val="none"/>
        </w:rPr>
        <w:t>、</w:t>
      </w:r>
      <w:bookmarkStart w:id="60" w:name="OLE_LINK18"/>
      <w:r>
        <w:rPr>
          <w:rFonts w:hint="eastAsia" w:ascii="Times New Roman" w:hAnsi="Times New Roman" w:cs="Times New Roman"/>
          <w:szCs w:val="28"/>
          <w:highlight w:val="none"/>
        </w:rPr>
        <w:t>运输、使用、废弃物处置</w:t>
      </w:r>
      <w:bookmarkEnd w:id="60"/>
      <w:r>
        <w:rPr>
          <w:rFonts w:hint="eastAsia" w:ascii="Times New Roman" w:hAnsi="Times New Roman" w:cs="Times New Roman"/>
          <w:szCs w:val="28"/>
          <w:highlight w:val="none"/>
        </w:rPr>
        <w:t>的碳排放</w:t>
      </w:r>
      <w:bookmarkEnd w:id="59"/>
      <w:r>
        <w:rPr>
          <w:rFonts w:hint="eastAsia" w:cs="Times New Roman"/>
          <w:szCs w:val="28"/>
          <w:highlight w:val="none"/>
          <w:lang w:val="en-US" w:eastAsia="zh-CN"/>
        </w:rPr>
        <w:t>量</w:t>
      </w:r>
      <w:r>
        <w:rPr>
          <w:rFonts w:hint="eastAsia" w:ascii="Times New Roman" w:hAnsi="Times New Roman" w:cs="Times New Roman"/>
          <w:szCs w:val="28"/>
          <w:highlight w:val="none"/>
        </w:rPr>
        <w:t>。</w:t>
      </w:r>
      <w:bookmarkStart w:id="61" w:name="OLE_LINK7"/>
      <w:r>
        <w:rPr>
          <w:rFonts w:hint="eastAsia" w:cs="Times New Roman"/>
          <w:szCs w:val="28"/>
          <w:highlight w:val="none"/>
          <w:lang w:val="en-US" w:eastAsia="zh-CN"/>
        </w:rPr>
        <w:t>鉴于全</w:t>
      </w:r>
      <w:r>
        <w:rPr>
          <w:rFonts w:ascii="Times New Roman" w:hAnsi="Times New Roman" w:cs="Times New Roman"/>
          <w:szCs w:val="28"/>
          <w:highlight w:val="none"/>
        </w:rPr>
        <w:t>新</w:t>
      </w:r>
      <w:bookmarkStart w:id="62" w:name="OLE_LINK9"/>
      <w:r>
        <w:rPr>
          <w:rFonts w:hint="eastAsia" w:ascii="Times New Roman" w:hAnsi="Times New Roman" w:cs="Times New Roman"/>
          <w:szCs w:val="28"/>
          <w:highlight w:val="none"/>
          <w:lang w:val="en-US" w:eastAsia="zh-CN"/>
        </w:rPr>
        <w:t>物品</w:t>
      </w:r>
      <w:r>
        <w:rPr>
          <w:rFonts w:hint="eastAsia" w:ascii="Times New Roman" w:hAnsi="Times New Roman" w:cs="Times New Roman"/>
          <w:szCs w:val="28"/>
          <w:highlight w:val="none"/>
        </w:rPr>
        <w:t>和二手</w:t>
      </w:r>
      <w:r>
        <w:rPr>
          <w:rFonts w:hint="eastAsia" w:ascii="Times New Roman" w:hAnsi="Times New Roman" w:cs="Times New Roman"/>
          <w:szCs w:val="28"/>
          <w:highlight w:val="none"/>
          <w:lang w:val="en-US" w:eastAsia="zh-CN"/>
        </w:rPr>
        <w:t>物品</w:t>
      </w:r>
      <w:r>
        <w:rPr>
          <w:rFonts w:hint="eastAsia" w:ascii="Times New Roman" w:hAnsi="Times New Roman" w:cs="Times New Roman"/>
          <w:szCs w:val="28"/>
          <w:highlight w:val="none"/>
        </w:rPr>
        <w:t>在</w:t>
      </w:r>
      <w:r>
        <w:rPr>
          <w:rFonts w:hint="eastAsia" w:cs="Times New Roman"/>
          <w:szCs w:val="28"/>
          <w:highlight w:val="none"/>
          <w:lang w:val="en-US" w:eastAsia="zh-CN"/>
        </w:rPr>
        <w:t>物品</w:t>
      </w:r>
      <w:r>
        <w:rPr>
          <w:rFonts w:hint="eastAsia" w:ascii="Times New Roman" w:hAnsi="Times New Roman" w:cs="Times New Roman"/>
          <w:szCs w:val="28"/>
          <w:highlight w:val="none"/>
        </w:rPr>
        <w:t>运输、使用和废弃物处置环节的碳排放量相当</w:t>
      </w:r>
      <w:bookmarkEnd w:id="61"/>
      <w:bookmarkEnd w:id="62"/>
      <w:r>
        <w:rPr>
          <w:rFonts w:hint="eastAsia" w:cs="Times New Roman"/>
          <w:szCs w:val="28"/>
          <w:highlight w:val="none"/>
          <w:lang w:eastAsia="zh-CN"/>
        </w:rPr>
        <w:t>，</w:t>
      </w:r>
      <w:r>
        <w:rPr>
          <w:rFonts w:hint="eastAsia" w:cs="Times New Roman"/>
          <w:szCs w:val="28"/>
          <w:highlight w:val="none"/>
          <w:lang w:val="en-US" w:eastAsia="zh-CN"/>
        </w:rPr>
        <w:t>为简化计算，本方法学在基准线情景与碳普惠情景中均不予考虑这些环节的碳排放差异。</w:t>
      </w:r>
      <w:r>
        <w:rPr>
          <w:rFonts w:ascii="Times New Roman" w:hAnsi="Times New Roman" w:cs="Times New Roman"/>
          <w:szCs w:val="28"/>
          <w:highlight w:val="none"/>
        </w:rPr>
        <w:t>综上</w:t>
      </w:r>
      <w:r>
        <w:rPr>
          <w:rFonts w:hint="eastAsia" w:cs="Times New Roman"/>
          <w:szCs w:val="28"/>
          <w:highlight w:val="none"/>
          <w:lang w:val="en-US" w:eastAsia="zh-CN"/>
        </w:rPr>
        <w:t>所述</w:t>
      </w:r>
      <w:r>
        <w:rPr>
          <w:rFonts w:ascii="Times New Roman" w:hAnsi="Times New Roman" w:cs="Times New Roman"/>
          <w:szCs w:val="28"/>
          <w:highlight w:val="none"/>
        </w:rPr>
        <w:t>，基准线</w:t>
      </w:r>
      <w:r>
        <w:rPr>
          <w:rFonts w:hint="eastAsia" w:cs="Times New Roman"/>
          <w:szCs w:val="28"/>
          <w:highlight w:val="none"/>
          <w:lang w:val="en-US" w:eastAsia="zh-CN"/>
        </w:rPr>
        <w:t>情景</w:t>
      </w:r>
      <w:r>
        <w:rPr>
          <w:rFonts w:ascii="Times New Roman" w:hAnsi="Times New Roman" w:cs="Times New Roman"/>
          <w:szCs w:val="28"/>
          <w:highlight w:val="none"/>
        </w:rPr>
        <w:t>的</w:t>
      </w:r>
      <w:r>
        <w:rPr>
          <w:rFonts w:hint="eastAsia" w:cs="Times New Roman"/>
          <w:szCs w:val="28"/>
          <w:highlight w:val="none"/>
          <w:lang w:val="en-US" w:eastAsia="zh-CN"/>
        </w:rPr>
        <w:t>碳</w:t>
      </w:r>
      <w:r>
        <w:rPr>
          <w:rFonts w:ascii="Times New Roman" w:hAnsi="Times New Roman" w:cs="Times New Roman"/>
          <w:szCs w:val="28"/>
          <w:highlight w:val="none"/>
        </w:rPr>
        <w:t>排放</w:t>
      </w:r>
      <w:r>
        <w:rPr>
          <w:rFonts w:hint="eastAsia" w:cs="Times New Roman"/>
          <w:szCs w:val="28"/>
          <w:highlight w:val="none"/>
          <w:lang w:val="en-US" w:eastAsia="zh-CN"/>
        </w:rPr>
        <w:t>量</w:t>
      </w:r>
      <w:r>
        <w:rPr>
          <w:rFonts w:ascii="Times New Roman" w:hAnsi="Times New Roman" w:cs="Times New Roman"/>
          <w:i/>
          <w:iCs/>
          <w:szCs w:val="28"/>
          <w:highlight w:val="none"/>
        </w:rPr>
        <w:t>BE</w:t>
      </w:r>
      <w:r>
        <w:rPr>
          <w:rFonts w:ascii="Times New Roman" w:hAnsi="Times New Roman" w:cs="Times New Roman"/>
          <w:i/>
          <w:iCs/>
          <w:szCs w:val="28"/>
          <w:highlight w:val="none"/>
          <w:vertAlign w:val="subscript"/>
        </w:rPr>
        <w:t>x</w:t>
      </w:r>
      <w:r>
        <w:rPr>
          <w:rFonts w:ascii="Times New Roman" w:hAnsi="Times New Roman" w:cs="Times New Roman"/>
          <w:szCs w:val="28"/>
          <w:highlight w:val="none"/>
        </w:rPr>
        <w:t>即为</w:t>
      </w:r>
      <w:r>
        <w:rPr>
          <w:rFonts w:hint="eastAsia" w:cs="Times New Roman"/>
          <w:szCs w:val="28"/>
          <w:highlight w:val="none"/>
          <w:lang w:val="en-US" w:eastAsia="zh-CN"/>
        </w:rPr>
        <w:t>购买同类全新物品</w:t>
      </w:r>
      <w:r>
        <w:rPr>
          <w:rFonts w:ascii="Times New Roman" w:hAnsi="Times New Roman" w:cs="Times New Roman"/>
          <w:szCs w:val="28"/>
          <w:highlight w:val="none"/>
        </w:rPr>
        <w:t>生产过程的碳排放</w:t>
      </w:r>
      <w:r>
        <w:rPr>
          <w:rFonts w:hint="eastAsia" w:cs="Times New Roman"/>
          <w:szCs w:val="28"/>
          <w:highlight w:val="none"/>
          <w:lang w:val="en-US" w:eastAsia="zh-CN"/>
        </w:rPr>
        <w:t>量</w:t>
      </w:r>
      <w:r>
        <w:rPr>
          <w:rFonts w:ascii="Times New Roman" w:hAnsi="Times New Roman" w:cs="Times New Roman"/>
          <w:szCs w:val="28"/>
          <w:highlight w:val="none"/>
        </w:rPr>
        <w:t>。</w:t>
      </w:r>
    </w:p>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63" w:name="_Toc8176"/>
      <w:bookmarkStart w:id="64" w:name="_Toc175936568"/>
      <w:bookmarkStart w:id="65" w:name="_Toc28042"/>
      <w:bookmarkStart w:id="66" w:name="_Toc164770404"/>
      <w:bookmarkStart w:id="67" w:name="_Toc7560"/>
      <w:bookmarkStart w:id="68" w:name="_Toc21609"/>
      <w:r>
        <w:rPr>
          <w:rFonts w:hint="eastAsia" w:ascii="Times New Roman" w:hAnsi="Times New Roman"/>
          <w:color w:val="000000" w:themeColor="text1"/>
          <w:highlight w:val="none"/>
          <w14:textFill>
            <w14:solidFill>
              <w14:schemeClr w14:val="tx1"/>
            </w14:solidFill>
          </w14:textFill>
        </w:rPr>
        <w:t xml:space="preserve">6.4 </w:t>
      </w:r>
      <w:r>
        <w:rPr>
          <w:rFonts w:hint="eastAsia" w:ascii="Times New Roman" w:hAnsi="Times New Roman"/>
          <w:color w:val="000000" w:themeColor="text1"/>
          <w:highlight w:val="none"/>
          <w:lang w:eastAsia="zh"/>
          <w14:textFill>
            <w14:solidFill>
              <w14:schemeClr w14:val="tx1"/>
            </w14:solidFill>
          </w14:textFill>
        </w:rPr>
        <w:t>碳普惠情景</w:t>
      </w:r>
      <w:r>
        <w:rPr>
          <w:rFonts w:hint="eastAsia" w:ascii="Times New Roman" w:hAnsi="Times New Roman"/>
          <w:color w:val="000000" w:themeColor="text1"/>
          <w:highlight w:val="none"/>
          <w14:textFill>
            <w14:solidFill>
              <w14:schemeClr w14:val="tx1"/>
            </w14:solidFill>
          </w14:textFill>
        </w:rPr>
        <w:t>排放</w:t>
      </w:r>
      <w:r>
        <w:rPr>
          <w:rFonts w:hint="eastAsia"/>
          <w:color w:val="000000" w:themeColor="text1"/>
          <w:highlight w:val="none"/>
          <w:lang w:eastAsia="zh-CN"/>
          <w14:textFill>
            <w14:solidFill>
              <w14:schemeClr w14:val="tx1"/>
            </w14:solidFill>
          </w14:textFill>
        </w:rPr>
        <w:t>量</w:t>
      </w:r>
      <w:r>
        <w:rPr>
          <w:rFonts w:hint="eastAsia" w:ascii="Times New Roman" w:hAnsi="Times New Roman"/>
          <w:color w:val="000000" w:themeColor="text1"/>
          <w:highlight w:val="none"/>
          <w14:textFill>
            <w14:solidFill>
              <w14:schemeClr w14:val="tx1"/>
            </w14:solidFill>
          </w14:textFill>
        </w:rPr>
        <w:t>计算</w:t>
      </w:r>
      <w:bookmarkEnd w:id="63"/>
      <w:bookmarkEnd w:id="64"/>
      <w:bookmarkEnd w:id="65"/>
      <w:bookmarkEnd w:id="66"/>
      <w:bookmarkEnd w:id="67"/>
      <w:bookmarkEnd w:id="68"/>
    </w:p>
    <w:p>
      <w:pPr>
        <w:keepNext w:val="0"/>
        <w:keepLines w:val="0"/>
        <w:pageBreakBefore w:val="0"/>
        <w:widowControl/>
        <w:kinsoku/>
        <w:wordWrap/>
        <w:overflowPunct/>
        <w:topLinePunct w:val="0"/>
        <w:autoSpaceDE/>
        <w:autoSpaceDN/>
        <w:bidi w:val="0"/>
        <w:adjustRightInd/>
        <w:snapToGrid/>
        <w:ind w:firstLine="420"/>
        <w:textAlignment w:val="auto"/>
        <w:rPr>
          <w:rFonts w:ascii="Times New Roman" w:hAnsi="Times New Roman" w:cs="Times New Roman"/>
          <w:szCs w:val="28"/>
          <w:highlight w:val="none"/>
        </w:rPr>
      </w:pPr>
      <w:r>
        <w:rPr>
          <w:rFonts w:ascii="Times New Roman" w:hAnsi="Times New Roman" w:cs="Times New Roman"/>
          <w:szCs w:val="28"/>
          <w:highlight w:val="none"/>
        </w:rPr>
        <w:t>在</w:t>
      </w:r>
      <w:r>
        <w:rPr>
          <w:rFonts w:hint="eastAsia" w:ascii="Times New Roman" w:hAnsi="Times New Roman" w:cs="Times New Roman"/>
          <w:szCs w:val="28"/>
          <w:highlight w:val="none"/>
        </w:rPr>
        <w:t>碳普惠</w:t>
      </w:r>
      <w:r>
        <w:rPr>
          <w:rFonts w:ascii="Times New Roman" w:hAnsi="Times New Roman" w:cs="Times New Roman"/>
          <w:szCs w:val="28"/>
          <w:highlight w:val="none"/>
        </w:rPr>
        <w:t>情景C2C</w:t>
      </w:r>
      <w:r>
        <w:rPr>
          <w:rFonts w:hint="eastAsia" w:cs="Times New Roman"/>
          <w:szCs w:val="28"/>
          <w:highlight w:val="none"/>
          <w:lang w:val="en-US" w:eastAsia="zh-CN"/>
        </w:rPr>
        <w:t>模式</w:t>
      </w:r>
      <w:r>
        <w:rPr>
          <w:rFonts w:ascii="Times New Roman" w:hAnsi="Times New Roman" w:cs="Times New Roman"/>
          <w:szCs w:val="28"/>
          <w:highlight w:val="none"/>
        </w:rPr>
        <w:t>中：二手</w:t>
      </w:r>
      <w:r>
        <w:rPr>
          <w:rFonts w:hint="eastAsia" w:ascii="Times New Roman" w:hAnsi="Times New Roman" w:cs="Times New Roman"/>
          <w:szCs w:val="28"/>
          <w:highlight w:val="none"/>
          <w:lang w:val="en-US" w:eastAsia="zh-CN"/>
        </w:rPr>
        <w:t>物品</w:t>
      </w:r>
      <w:r>
        <w:rPr>
          <w:rFonts w:hint="eastAsia" w:cs="Times New Roman"/>
          <w:szCs w:val="28"/>
          <w:highlight w:val="none"/>
          <w:lang w:val="en-US" w:eastAsia="zh-CN"/>
        </w:rPr>
        <w:t>经</w:t>
      </w:r>
      <w:r>
        <w:rPr>
          <w:rFonts w:hint="eastAsia" w:ascii="Times New Roman" w:hAnsi="Times New Roman" w:cs="Times New Roman"/>
          <w:szCs w:val="28"/>
          <w:highlight w:val="none"/>
        </w:rPr>
        <w:t>由</w:t>
      </w:r>
      <w:r>
        <w:rPr>
          <w:rFonts w:hint="eastAsia" w:cs="Times New Roman"/>
          <w:szCs w:val="28"/>
          <w:highlight w:val="none"/>
          <w:lang w:val="en-US" w:eastAsia="zh-CN"/>
        </w:rPr>
        <w:t>二手交易</w:t>
      </w:r>
      <w:r>
        <w:rPr>
          <w:rFonts w:hint="eastAsia" w:ascii="Times New Roman" w:hAnsi="Times New Roman" w:cs="Times New Roman"/>
          <w:szCs w:val="28"/>
          <w:highlight w:val="none"/>
        </w:rPr>
        <w:t>平台</w:t>
      </w:r>
      <w:r>
        <w:rPr>
          <w:rFonts w:hint="eastAsia" w:cs="Times New Roman"/>
          <w:szCs w:val="28"/>
          <w:highlight w:val="none"/>
          <w:lang w:val="en-US" w:eastAsia="zh-CN"/>
        </w:rPr>
        <w:t>促成交易</w:t>
      </w:r>
      <w:r>
        <w:rPr>
          <w:rFonts w:hint="eastAsia" w:ascii="Times New Roman" w:hAnsi="Times New Roman" w:cs="Times New Roman"/>
          <w:szCs w:val="28"/>
          <w:highlight w:val="none"/>
        </w:rPr>
        <w:t>后</w:t>
      </w:r>
      <w:r>
        <w:rPr>
          <w:rFonts w:hint="eastAsia" w:cs="Times New Roman"/>
          <w:szCs w:val="28"/>
          <w:highlight w:val="none"/>
          <w:lang w:val="en-US" w:eastAsia="zh-CN"/>
        </w:rPr>
        <w:t>在消费者间直接流转</w:t>
      </w:r>
      <w:r>
        <w:rPr>
          <w:rFonts w:ascii="Times New Roman" w:hAnsi="Times New Roman" w:cs="Times New Roman"/>
          <w:szCs w:val="28"/>
          <w:highlight w:val="none"/>
        </w:rPr>
        <w:t>，</w:t>
      </w:r>
      <w:bookmarkStart w:id="69" w:name="OLE_LINK26"/>
      <w:bookmarkStart w:id="70" w:name="OLE_LINK34"/>
      <w:r>
        <w:rPr>
          <w:rFonts w:ascii="Times New Roman" w:hAnsi="Times New Roman" w:cs="Times New Roman"/>
          <w:szCs w:val="28"/>
          <w:highlight w:val="none"/>
        </w:rPr>
        <w:t>主要涉</w:t>
      </w:r>
      <w:bookmarkEnd w:id="69"/>
      <w:r>
        <w:rPr>
          <w:rFonts w:ascii="Times New Roman" w:hAnsi="Times New Roman" w:cs="Times New Roman"/>
          <w:szCs w:val="28"/>
          <w:highlight w:val="none"/>
        </w:rPr>
        <w:t>及碳排放</w:t>
      </w:r>
      <w:r>
        <w:rPr>
          <w:rFonts w:hint="eastAsia" w:ascii="Times New Roman" w:hAnsi="Times New Roman" w:cs="Times New Roman"/>
          <w:szCs w:val="28"/>
          <w:highlight w:val="none"/>
        </w:rPr>
        <w:t>为平台日常运营分摊在二手</w:t>
      </w:r>
      <w:r>
        <w:rPr>
          <w:rFonts w:hint="eastAsia" w:ascii="Times New Roman" w:hAnsi="Times New Roman" w:cs="Times New Roman"/>
          <w:szCs w:val="28"/>
          <w:highlight w:val="none"/>
          <w:lang w:val="en-US" w:eastAsia="zh-CN"/>
        </w:rPr>
        <w:t>物品</w:t>
      </w:r>
      <w:r>
        <w:rPr>
          <w:rFonts w:hint="eastAsia" w:ascii="Times New Roman" w:hAnsi="Times New Roman" w:cs="Times New Roman"/>
          <w:szCs w:val="28"/>
          <w:highlight w:val="none"/>
        </w:rPr>
        <w:t>业务上的碳</w:t>
      </w:r>
      <w:r>
        <w:rPr>
          <w:rFonts w:ascii="Times New Roman" w:hAnsi="Times New Roman" w:cs="Times New Roman"/>
          <w:szCs w:val="28"/>
          <w:highlight w:val="none"/>
        </w:rPr>
        <w:t>排放</w:t>
      </w:r>
      <w:bookmarkEnd w:id="70"/>
      <w:r>
        <w:rPr>
          <w:rFonts w:ascii="Times New Roman" w:hAnsi="Times New Roman" w:cs="Times New Roman"/>
          <w:szCs w:val="28"/>
          <w:highlight w:val="none"/>
        </w:rPr>
        <w:t>。</w:t>
      </w:r>
      <w:bookmarkStart w:id="71" w:name="OLE_LINK33"/>
      <w:r>
        <w:rPr>
          <w:rFonts w:hint="eastAsia" w:cs="Times New Roman"/>
          <w:szCs w:val="28"/>
          <w:highlight w:val="none"/>
          <w:lang w:val="en-US" w:eastAsia="zh-CN"/>
        </w:rPr>
        <w:t>由于</w:t>
      </w:r>
      <w:r>
        <w:rPr>
          <w:rFonts w:ascii="Times New Roman" w:hAnsi="Times New Roman" w:cs="Times New Roman"/>
          <w:szCs w:val="28"/>
          <w:highlight w:val="none"/>
        </w:rPr>
        <w:t>该部分</w:t>
      </w:r>
      <w:r>
        <w:rPr>
          <w:rFonts w:hint="eastAsia" w:cs="Times New Roman"/>
          <w:szCs w:val="28"/>
          <w:highlight w:val="none"/>
          <w:lang w:val="en-US" w:eastAsia="zh-CN"/>
        </w:rPr>
        <w:t>碳</w:t>
      </w:r>
      <w:r>
        <w:rPr>
          <w:rFonts w:hint="eastAsia" w:ascii="Times New Roman" w:hAnsi="Times New Roman" w:cs="Times New Roman"/>
          <w:szCs w:val="28"/>
          <w:highlight w:val="none"/>
        </w:rPr>
        <w:t>排放量</w:t>
      </w:r>
      <w:r>
        <w:rPr>
          <w:rFonts w:ascii="Times New Roman" w:hAnsi="Times New Roman" w:cs="Times New Roman"/>
          <w:szCs w:val="28"/>
          <w:highlight w:val="none"/>
        </w:rPr>
        <w:t>较小</w:t>
      </w:r>
      <w:bookmarkEnd w:id="71"/>
      <w:r>
        <w:rPr>
          <w:rFonts w:ascii="Times New Roman" w:hAnsi="Times New Roman" w:cs="Times New Roman"/>
          <w:szCs w:val="28"/>
          <w:highlight w:val="none"/>
        </w:rPr>
        <w:t>，因此</w:t>
      </w:r>
      <w:r>
        <w:rPr>
          <w:rFonts w:hint="eastAsia" w:cs="Times New Roman"/>
          <w:szCs w:val="28"/>
          <w:highlight w:val="none"/>
          <w:lang w:val="en-US" w:eastAsia="zh-CN"/>
        </w:rPr>
        <w:t>在本方法学中不予考虑</w:t>
      </w:r>
      <w:r>
        <w:rPr>
          <w:rFonts w:ascii="Times New Roman" w:hAnsi="Times New Roman" w:cs="Times New Roman"/>
          <w:szCs w:val="28"/>
          <w:highlight w:val="none"/>
        </w:rPr>
        <w:t>。</w:t>
      </w:r>
    </w:p>
    <w:p>
      <w:pPr>
        <w:keepNext w:val="0"/>
        <w:keepLines w:val="0"/>
        <w:pageBreakBefore w:val="0"/>
        <w:widowControl/>
        <w:kinsoku/>
        <w:wordWrap/>
        <w:overflowPunct/>
        <w:topLinePunct w:val="0"/>
        <w:autoSpaceDE/>
        <w:autoSpaceDN/>
        <w:bidi w:val="0"/>
        <w:adjustRightInd/>
        <w:snapToGrid/>
        <w:ind w:firstLine="420"/>
        <w:textAlignment w:val="auto"/>
        <w:rPr>
          <w:rFonts w:ascii="Times New Roman" w:hAnsi="Times New Roman"/>
          <w:highlight w:val="none"/>
        </w:rPr>
      </w:pPr>
      <w:r>
        <w:rPr>
          <w:rFonts w:ascii="Times New Roman" w:hAnsi="Times New Roman" w:cs="Times New Roman"/>
          <w:szCs w:val="28"/>
          <w:highlight w:val="none"/>
        </w:rPr>
        <w:t>在</w:t>
      </w:r>
      <w:r>
        <w:rPr>
          <w:rFonts w:hint="eastAsia" w:ascii="Times New Roman" w:hAnsi="Times New Roman" w:cs="Times New Roman"/>
          <w:szCs w:val="28"/>
          <w:highlight w:val="none"/>
        </w:rPr>
        <w:t>碳普惠</w:t>
      </w:r>
      <w:r>
        <w:rPr>
          <w:rFonts w:ascii="Times New Roman" w:hAnsi="Times New Roman" w:cs="Times New Roman"/>
          <w:szCs w:val="28"/>
          <w:highlight w:val="none"/>
        </w:rPr>
        <w:t>情景C2B2C</w:t>
      </w:r>
      <w:r>
        <w:rPr>
          <w:rFonts w:hint="eastAsia" w:ascii="Times New Roman" w:hAnsi="Times New Roman" w:cs="Times New Roman"/>
          <w:szCs w:val="28"/>
          <w:highlight w:val="none"/>
          <w:lang w:val="en-US" w:eastAsia="zh-CN"/>
        </w:rPr>
        <w:t>模式</w:t>
      </w:r>
      <w:r>
        <w:rPr>
          <w:rFonts w:ascii="Times New Roman" w:hAnsi="Times New Roman" w:cs="Times New Roman"/>
          <w:szCs w:val="28"/>
          <w:highlight w:val="none"/>
        </w:rPr>
        <w:t>中：二手</w:t>
      </w:r>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由</w:t>
      </w:r>
      <w:r>
        <w:rPr>
          <w:rFonts w:hint="eastAsia" w:ascii="Times New Roman" w:hAnsi="Times New Roman" w:cs="Times New Roman"/>
          <w:szCs w:val="28"/>
          <w:highlight w:val="none"/>
          <w:lang w:val="en-US" w:eastAsia="zh-CN"/>
        </w:rPr>
        <w:t>二手交易</w:t>
      </w:r>
      <w:r>
        <w:rPr>
          <w:rFonts w:ascii="Times New Roman" w:hAnsi="Times New Roman" w:cs="Times New Roman"/>
          <w:szCs w:val="28"/>
          <w:highlight w:val="none"/>
        </w:rPr>
        <w:t>平台</w:t>
      </w:r>
      <w:r>
        <w:rPr>
          <w:rFonts w:hint="eastAsia" w:ascii="Times New Roman" w:hAnsi="Times New Roman" w:cs="Times New Roman"/>
          <w:szCs w:val="28"/>
          <w:highlight w:val="none"/>
          <w:lang w:val="en-US" w:eastAsia="zh-CN"/>
        </w:rPr>
        <w:t>从消费者中回收</w:t>
      </w:r>
      <w:r>
        <w:rPr>
          <w:rFonts w:ascii="Times New Roman" w:hAnsi="Times New Roman" w:cs="Times New Roman"/>
          <w:szCs w:val="28"/>
          <w:highlight w:val="none"/>
        </w:rPr>
        <w:t>，</w:t>
      </w:r>
      <w:bookmarkStart w:id="72" w:name="OLE_LINK35"/>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经过质检中心检验、重新包装、平台销售、物流配送等过程</w:t>
      </w:r>
      <w:bookmarkStart w:id="73" w:name="OLE_LINK36"/>
      <w:r>
        <w:rPr>
          <w:rFonts w:hint="eastAsia" w:ascii="Times New Roman" w:hAnsi="Times New Roman" w:cs="Times New Roman"/>
          <w:szCs w:val="28"/>
          <w:highlight w:val="none"/>
          <w:lang w:val="en-US" w:eastAsia="zh-CN"/>
        </w:rPr>
        <w:t>重新</w:t>
      </w:r>
      <w:r>
        <w:rPr>
          <w:rFonts w:ascii="Times New Roman" w:hAnsi="Times New Roman" w:cs="Times New Roman"/>
          <w:szCs w:val="28"/>
          <w:highlight w:val="none"/>
        </w:rPr>
        <w:t>流转至</w:t>
      </w:r>
      <w:bookmarkEnd w:id="73"/>
      <w:r>
        <w:rPr>
          <w:rFonts w:hint="eastAsia" w:ascii="Times New Roman" w:hAnsi="Times New Roman" w:cs="Times New Roman"/>
          <w:szCs w:val="28"/>
          <w:highlight w:val="none"/>
          <w:lang w:val="en-US" w:eastAsia="zh-CN"/>
        </w:rPr>
        <w:t>消费者</w:t>
      </w:r>
      <w:r>
        <w:rPr>
          <w:rFonts w:ascii="Times New Roman" w:hAnsi="Times New Roman" w:cs="Times New Roman"/>
          <w:szCs w:val="28"/>
          <w:highlight w:val="none"/>
        </w:rPr>
        <w:t>手中。主要涉及物流运输、质检中心运营、包装、平台日常运营等过程的</w:t>
      </w:r>
      <w:r>
        <w:rPr>
          <w:rFonts w:hint="eastAsia" w:ascii="Times New Roman" w:hAnsi="Times New Roman" w:cs="Times New Roman"/>
          <w:szCs w:val="28"/>
          <w:highlight w:val="none"/>
          <w:lang w:val="en-US" w:eastAsia="zh-CN"/>
        </w:rPr>
        <w:t>碳</w:t>
      </w:r>
      <w:r>
        <w:rPr>
          <w:rFonts w:ascii="Times New Roman" w:hAnsi="Times New Roman" w:cs="Times New Roman"/>
          <w:szCs w:val="28"/>
          <w:highlight w:val="none"/>
        </w:rPr>
        <w:t>排放</w:t>
      </w:r>
      <w:bookmarkEnd w:id="72"/>
      <w:r>
        <w:rPr>
          <w:rFonts w:ascii="Times New Roman" w:hAnsi="Times New Roman" w:cs="Times New Roman"/>
          <w:szCs w:val="28"/>
          <w:highlight w:val="none"/>
        </w:rPr>
        <w:t>。</w:t>
      </w:r>
      <w:r>
        <w:rPr>
          <w:rFonts w:hint="eastAsia" w:ascii="Times New Roman" w:hAnsi="Times New Roman" w:cs="Times New Roman"/>
          <w:szCs w:val="28"/>
          <w:highlight w:val="none"/>
          <w:lang w:val="en-US" w:eastAsia="zh-CN"/>
        </w:rPr>
        <w:t>该部分</w:t>
      </w:r>
      <w:r>
        <w:rPr>
          <w:rFonts w:hint="eastAsia" w:cs="Times New Roman"/>
          <w:szCs w:val="28"/>
          <w:highlight w:val="none"/>
          <w:lang w:val="en-US" w:eastAsia="zh-CN"/>
        </w:rPr>
        <w:t>碳</w:t>
      </w:r>
      <w:r>
        <w:rPr>
          <w:rFonts w:ascii="Times New Roman" w:hAnsi="Times New Roman" w:cs="Times New Roman"/>
          <w:szCs w:val="28"/>
          <w:highlight w:val="none"/>
        </w:rPr>
        <w:t>排放量较小，因此</w:t>
      </w:r>
      <w:r>
        <w:rPr>
          <w:rFonts w:hint="eastAsia" w:cs="Times New Roman"/>
          <w:szCs w:val="28"/>
          <w:highlight w:val="none"/>
          <w:lang w:val="en-US" w:eastAsia="zh-CN"/>
        </w:rPr>
        <w:t>在本方法学中不予考虑</w:t>
      </w:r>
      <w:r>
        <w:rPr>
          <w:rFonts w:ascii="Times New Roman" w:hAnsi="Times New Roman" w:cs="Times New Roman"/>
          <w:szCs w:val="28"/>
          <w:highlight w:val="none"/>
        </w:rPr>
        <w:t>。同时两种</w:t>
      </w:r>
      <w:r>
        <w:rPr>
          <w:rFonts w:hint="eastAsia" w:ascii="Times New Roman" w:hAnsi="Times New Roman" w:cs="Times New Roman"/>
          <w:szCs w:val="28"/>
          <w:highlight w:val="none"/>
        </w:rPr>
        <w:t>碳普惠</w:t>
      </w:r>
      <w:r>
        <w:rPr>
          <w:rFonts w:ascii="Times New Roman" w:hAnsi="Times New Roman" w:cs="Times New Roman"/>
          <w:szCs w:val="28"/>
          <w:highlight w:val="none"/>
        </w:rPr>
        <w:t>情景都假定二手</w:t>
      </w:r>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替代了全新</w:t>
      </w:r>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的</w:t>
      </w:r>
      <w:r>
        <w:rPr>
          <w:rFonts w:hint="eastAsia" w:ascii="Times New Roman" w:hAnsi="Times New Roman" w:cs="Times New Roman"/>
          <w:szCs w:val="28"/>
          <w:highlight w:val="none"/>
        </w:rPr>
        <w:t>消费</w:t>
      </w:r>
      <w:r>
        <w:rPr>
          <w:rFonts w:ascii="Times New Roman" w:hAnsi="Times New Roman" w:cs="Times New Roman"/>
          <w:szCs w:val="28"/>
          <w:highlight w:val="none"/>
        </w:rPr>
        <w:t>。综上所示，</w:t>
      </w:r>
      <w:r>
        <w:rPr>
          <w:rFonts w:hint="eastAsia" w:cs="Times New Roman"/>
          <w:szCs w:val="28"/>
          <w:highlight w:val="none"/>
          <w:lang w:val="en-US" w:eastAsia="zh-CN"/>
        </w:rPr>
        <w:t>本方法学</w:t>
      </w:r>
      <w:r>
        <w:rPr>
          <w:rFonts w:hint="eastAsia" w:ascii="Times New Roman" w:hAnsi="Times New Roman" w:cs="Times New Roman"/>
          <w:szCs w:val="28"/>
          <w:highlight w:val="none"/>
        </w:rPr>
        <w:t>碳普惠</w:t>
      </w:r>
      <w:r>
        <w:rPr>
          <w:rFonts w:ascii="Times New Roman" w:hAnsi="Times New Roman" w:cs="Times New Roman"/>
          <w:szCs w:val="28"/>
          <w:highlight w:val="none"/>
        </w:rPr>
        <w:t>情景的</w:t>
      </w:r>
      <w:r>
        <w:rPr>
          <w:rFonts w:hint="eastAsia" w:cs="Times New Roman"/>
          <w:szCs w:val="28"/>
          <w:highlight w:val="none"/>
          <w:lang w:val="en-US" w:eastAsia="zh-CN"/>
        </w:rPr>
        <w:t>碳</w:t>
      </w:r>
      <w:r>
        <w:rPr>
          <w:rFonts w:ascii="Times New Roman" w:hAnsi="Times New Roman" w:cs="Times New Roman"/>
          <w:szCs w:val="28"/>
          <w:highlight w:val="none"/>
        </w:rPr>
        <w:t>排放量</w:t>
      </w:r>
      <w:r>
        <w:rPr>
          <w:rFonts w:ascii="Times New Roman" w:hAnsi="Times New Roman" w:cs="Times New Roman"/>
          <w:i/>
          <w:iCs/>
          <w:szCs w:val="28"/>
          <w:highlight w:val="none"/>
        </w:rPr>
        <w:t>PE</w:t>
      </w:r>
      <w:r>
        <w:rPr>
          <w:rFonts w:ascii="Times New Roman" w:hAnsi="Times New Roman" w:cs="Times New Roman"/>
          <w:i/>
          <w:iCs/>
          <w:szCs w:val="28"/>
          <w:highlight w:val="none"/>
          <w:vertAlign w:val="subscript"/>
        </w:rPr>
        <w:t>x</w:t>
      </w:r>
      <w:r>
        <w:rPr>
          <w:rFonts w:hint="eastAsia" w:ascii="Times New Roman" w:hAnsi="Times New Roman" w:cs="Times New Roman"/>
          <w:szCs w:val="28"/>
          <w:highlight w:val="none"/>
          <w:lang w:val="en-US" w:eastAsia="zh-CN"/>
        </w:rPr>
        <w:t>可认</w:t>
      </w:r>
      <w:r>
        <w:rPr>
          <w:rFonts w:ascii="Times New Roman" w:hAnsi="Times New Roman" w:cs="Times New Roman"/>
          <w:szCs w:val="28"/>
          <w:highlight w:val="none"/>
        </w:rPr>
        <w:t>为</w:t>
      </w:r>
      <w:r>
        <w:rPr>
          <w:rFonts w:hint="eastAsia" w:cs="Times New Roman"/>
          <w:szCs w:val="28"/>
          <w:highlight w:val="none"/>
          <w:lang w:val="en-US" w:eastAsia="zh-CN"/>
        </w:rPr>
        <w:t>是</w:t>
      </w:r>
      <w:r>
        <w:rPr>
          <w:rFonts w:ascii="Times New Roman" w:hAnsi="Times New Roman" w:cs="Times New Roman"/>
          <w:szCs w:val="28"/>
          <w:highlight w:val="none"/>
        </w:rPr>
        <w:t>0。</w:t>
      </w:r>
    </w:p>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74" w:name="_Toc30461"/>
      <w:bookmarkStart w:id="75" w:name="_Toc164770405"/>
      <w:bookmarkStart w:id="76" w:name="_Toc175936569"/>
      <w:bookmarkStart w:id="77" w:name="_Toc4232"/>
      <w:bookmarkStart w:id="78" w:name="_Toc21256"/>
      <w:r>
        <w:rPr>
          <w:rFonts w:hint="eastAsia" w:ascii="Times New Roman" w:hAnsi="Times New Roman"/>
          <w:color w:val="000000" w:themeColor="text1"/>
          <w:highlight w:val="none"/>
          <w14:textFill>
            <w14:solidFill>
              <w14:schemeClr w14:val="tx1"/>
            </w14:solidFill>
          </w14:textFill>
        </w:rPr>
        <w:t>6.5 减排量</w:t>
      </w:r>
      <w:bookmarkEnd w:id="74"/>
      <w:r>
        <w:rPr>
          <w:rFonts w:hint="eastAsia" w:ascii="Times New Roman" w:hAnsi="Times New Roman"/>
          <w:color w:val="000000" w:themeColor="text1"/>
          <w:highlight w:val="none"/>
          <w14:textFill>
            <w14:solidFill>
              <w14:schemeClr w14:val="tx1"/>
            </w14:solidFill>
          </w14:textFill>
        </w:rPr>
        <w:t>核算</w:t>
      </w:r>
      <w:bookmarkEnd w:id="75"/>
      <w:bookmarkEnd w:id="76"/>
      <w:bookmarkEnd w:id="77"/>
      <w:bookmarkEnd w:id="78"/>
    </w:p>
    <w:p>
      <w:pPr>
        <w:ind w:firstLine="420"/>
        <w:rPr>
          <w:rFonts w:ascii="Times New Roman" w:hAnsi="Times New Roman" w:cs="Times New Roman"/>
          <w:bCs/>
          <w:highlight w:val="none"/>
        </w:rPr>
      </w:pPr>
      <w:bookmarkStart w:id="79" w:name="_Toc25355"/>
      <w:bookmarkStart w:id="80" w:name="_Toc172906189"/>
      <w:r>
        <w:rPr>
          <w:rFonts w:ascii="Times New Roman" w:hAnsi="Times New Roman" w:cs="Times New Roman"/>
          <w:bCs/>
          <w:highlight w:val="none"/>
        </w:rPr>
        <w:t>减排量</w:t>
      </w:r>
      <w:r>
        <w:rPr>
          <w:rFonts w:hint="eastAsia" w:cs="Times New Roman"/>
          <w:bCs/>
          <w:highlight w:val="none"/>
          <w:lang w:val="en-US" w:eastAsia="zh-CN"/>
        </w:rPr>
        <w:t>按</w:t>
      </w:r>
      <w:r>
        <w:rPr>
          <w:rFonts w:ascii="Times New Roman" w:hAnsi="Times New Roman" w:cs="Times New Roman"/>
          <w:bCs/>
          <w:highlight w:val="none"/>
        </w:rPr>
        <w:t>公式（1）计算：</w:t>
      </w:r>
    </w:p>
    <w:tbl>
      <w:tblPr>
        <w:tblStyle w:val="33"/>
        <w:tblW w:w="500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56"/>
        <w:gridCol w:w="13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197" w:type="pct"/>
            <w:vAlign w:val="center"/>
          </w:tcPr>
          <w:p>
            <w:pPr>
              <w:ind w:firstLine="420"/>
              <w:jc w:val="center"/>
              <w:rPr>
                <w:rFonts w:hint="eastAsia" w:ascii="Times New Roman" w:hAnsi="Times New Roman" w:eastAsia="宋体" w:cs="Times New Roman"/>
                <w:i/>
                <w:iCs/>
                <w:kern w:val="0"/>
                <w:highlight w:val="none"/>
                <w:lang w:val="en-US" w:eastAsia="zh-CN"/>
              </w:rPr>
            </w:pPr>
            <m:oMathPara>
              <m:oMath>
                <m:r>
                  <m:rPr/>
                  <w:rPr>
                    <w:rFonts w:ascii="Cambria Math" w:hAnsi="Cambria Math" w:cs="Times New Roman"/>
                    <w:kern w:val="0"/>
                    <w:highlight w:val="none"/>
                  </w:rPr>
                  <m:t>E</m:t>
                </m:r>
                <m:sSub>
                  <m:sSubPr>
                    <m:ctrlPr>
                      <w:rPr>
                        <w:rFonts w:ascii="Cambria Math" w:hAnsi="Cambria Math" w:cs="Times New Roman"/>
                        <w:i/>
                        <w:kern w:val="0"/>
                        <w:highlight w:val="none"/>
                      </w:rPr>
                    </m:ctrlPr>
                  </m:sSubPr>
                  <m:e>
                    <m:r>
                      <m:rPr/>
                      <w:rPr>
                        <w:rFonts w:ascii="Cambria Math" w:hAnsi="Cambria Math" w:cs="Times New Roman"/>
                        <w:kern w:val="0"/>
                        <w:highlight w:val="none"/>
                      </w:rPr>
                      <m:t>R</m:t>
                    </m:r>
                    <m:ctrlPr>
                      <w:rPr>
                        <w:rFonts w:ascii="Cambria Math" w:hAnsi="Cambria Math" w:cs="Times New Roman"/>
                        <w:i/>
                        <w:kern w:val="0"/>
                        <w:highlight w:val="none"/>
                      </w:rPr>
                    </m:ctrlPr>
                  </m:e>
                  <m:sub>
                    <m:r>
                      <m:rPr/>
                      <w:rPr>
                        <w:rFonts w:ascii="Cambria Math" w:hAnsi="Cambria Math" w:cs="Times New Roman"/>
                        <w:kern w:val="0"/>
                        <w:highlight w:val="none"/>
                      </w:rPr>
                      <m:t>x</m:t>
                    </m:r>
                    <m:ctrlPr>
                      <w:rPr>
                        <w:rFonts w:ascii="Cambria Math" w:hAnsi="Cambria Math" w:cs="Times New Roman"/>
                        <w:i/>
                        <w:kern w:val="0"/>
                        <w:highlight w:val="none"/>
                      </w:rPr>
                    </m:ctrlPr>
                  </m:sub>
                </m:sSub>
                <m:r>
                  <m:rPr/>
                  <w:rPr>
                    <w:rFonts w:ascii="Cambria Math" w:hAnsi="Cambria Math" w:cs="Times New Roman"/>
                    <w:kern w:val="0"/>
                    <w:highlight w:val="none"/>
                  </w:rPr>
                  <m:t>=</m:t>
                </m:r>
                <m:nary>
                  <m:naryPr>
                    <m:chr m:val="∑"/>
                    <m:limLoc m:val="undOvr"/>
                    <m:ctrlPr>
                      <w:rPr>
                        <w:rFonts w:ascii="Cambria Math" w:hAnsi="Cambria Math" w:cs="Times New Roman"/>
                        <w:i/>
                        <w:kern w:val="0"/>
                        <w:highlight w:val="none"/>
                      </w:rPr>
                    </m:ctrlPr>
                  </m:naryPr>
                  <m:sub>
                    <m:r>
                      <m:rPr/>
                      <w:rPr>
                        <w:rFonts w:hint="default" w:ascii="Cambria Math" w:hAnsi="Cambria Math" w:cs="Times New Roman"/>
                        <w:kern w:val="0"/>
                        <w:highlight w:val="none"/>
                        <w:lang w:val="en-US" w:eastAsia="zh-CN"/>
                      </w:rPr>
                      <m:t>x</m:t>
                    </m:r>
                    <m:ctrlPr>
                      <w:rPr>
                        <w:rFonts w:ascii="Cambria Math" w:hAnsi="Cambria Math" w:cs="Times New Roman"/>
                        <w:i/>
                        <w:kern w:val="0"/>
                        <w:highlight w:val="none"/>
                      </w:rPr>
                    </m:ctrlPr>
                  </m:sub>
                  <m:sup>
                    <m:r>
                      <m:rPr/>
                      <w:rPr>
                        <w:rFonts w:hint="default" w:ascii="Cambria Math" w:hAnsi="Cambria Math" w:cs="Times New Roman"/>
                        <w:kern w:val="0"/>
                        <w:highlight w:val="none"/>
                        <w:lang w:val="en-US" w:eastAsia="zh-CN"/>
                      </w:rPr>
                      <m:t>n</m:t>
                    </m:r>
                    <m:ctrlPr>
                      <w:rPr>
                        <w:rFonts w:ascii="Cambria Math" w:hAnsi="Cambria Math" w:cs="Times New Roman"/>
                        <w:i/>
                        <w:kern w:val="0"/>
                        <w:highlight w:val="none"/>
                      </w:rPr>
                    </m:ctrlPr>
                  </m:sup>
                  <m:e>
                    <m:sSub>
                      <m:sSubPr>
                        <m:ctrlPr>
                          <w:rPr>
                            <w:rFonts w:ascii="Cambria Math" w:hAnsi="Cambria Math" w:cs="Times New Roman"/>
                            <w:i/>
                            <w:kern w:val="0"/>
                            <w:highlight w:val="none"/>
                          </w:rPr>
                        </m:ctrlPr>
                      </m:sSubPr>
                      <m:e>
                        <m:r>
                          <m:rPr/>
                          <w:rPr>
                            <w:rFonts w:hint="default" w:ascii="Cambria Math" w:hAnsi="Cambria Math" w:cs="Times New Roman"/>
                            <w:kern w:val="0"/>
                            <w:highlight w:val="none"/>
                            <w:lang w:val="en-US" w:eastAsia="zh-CN"/>
                          </w:rPr>
                          <m:t>N</m:t>
                        </m:r>
                        <m:ctrlPr>
                          <w:rPr>
                            <w:rFonts w:ascii="Cambria Math" w:hAnsi="Cambria Math" w:cs="Times New Roman"/>
                            <w:i/>
                            <w:kern w:val="0"/>
                            <w:highlight w:val="none"/>
                          </w:rPr>
                        </m:ctrlPr>
                      </m:e>
                      <m:sub>
                        <m:r>
                          <m:rPr/>
                          <w:rPr>
                            <w:rFonts w:hint="default" w:ascii="Cambria Math" w:hAnsi="Cambria Math" w:cs="Times New Roman"/>
                            <w:kern w:val="0"/>
                            <w:highlight w:val="none"/>
                            <w:lang w:val="en-US" w:eastAsia="zh-CN"/>
                          </w:rPr>
                          <m:t>x</m:t>
                        </m:r>
                        <m:ctrlPr>
                          <w:rPr>
                            <w:rFonts w:ascii="Cambria Math" w:hAnsi="Cambria Math" w:cs="Times New Roman"/>
                            <w:i/>
                            <w:kern w:val="0"/>
                            <w:highlight w:val="none"/>
                          </w:rPr>
                        </m:ctrlPr>
                      </m:sub>
                    </m:sSub>
                    <m:r>
                      <m:rPr/>
                      <w:rPr>
                        <w:rFonts w:ascii="Cambria Math" w:hAnsi="Cambria Math" w:cs="Times New Roman"/>
                        <w:kern w:val="0"/>
                        <w:highlight w:val="none"/>
                      </w:rPr>
                      <m:t>×</m:t>
                    </m:r>
                    <m:r>
                      <m:rPr>
                        <m:sty m:val="p"/>
                      </m:rPr>
                      <w:rPr>
                        <w:rFonts w:hint="eastAsia" w:ascii="Cambria Math" w:hAnsi="Cambria Math" w:cs="Times New Roman"/>
                        <w:kern w:val="0"/>
                        <w:highlight w:val="none"/>
                        <w:lang w:eastAsia="zh-CN"/>
                      </w:rPr>
                      <m:t>（</m:t>
                    </m:r>
                    <m:sSub>
                      <m:sSubPr>
                        <m:ctrlPr>
                          <w:rPr>
                            <w:rFonts w:ascii="Cambria Math" w:hAnsi="Cambria Math" w:cs="Times New Roman"/>
                            <w:i/>
                            <w:kern w:val="0"/>
                            <w:highlight w:val="none"/>
                          </w:rPr>
                        </m:ctrlPr>
                      </m:sSubPr>
                      <m:e>
                        <m:r>
                          <m:rPr/>
                          <w:rPr>
                            <w:rFonts w:hint="default" w:ascii="Cambria Math" w:hAnsi="Cambria Math" w:cs="Times New Roman"/>
                            <w:kern w:val="0"/>
                            <w:highlight w:val="none"/>
                            <w:lang w:val="en-US" w:eastAsia="zh-CN"/>
                          </w:rPr>
                          <m:t>BE</m:t>
                        </m:r>
                        <m:ctrlPr>
                          <w:rPr>
                            <w:rFonts w:ascii="Cambria Math" w:hAnsi="Cambria Math" w:cs="Times New Roman"/>
                            <w:i/>
                            <w:kern w:val="0"/>
                            <w:highlight w:val="none"/>
                          </w:rPr>
                        </m:ctrlPr>
                      </m:e>
                      <m:sub>
                        <m:r>
                          <m:rPr/>
                          <w:rPr>
                            <w:rFonts w:ascii="Cambria Math" w:hAnsi="Cambria Math" w:cs="Times New Roman"/>
                            <w:kern w:val="0"/>
                            <w:highlight w:val="none"/>
                          </w:rPr>
                          <m:t>x</m:t>
                        </m:r>
                        <m:ctrlPr>
                          <w:rPr>
                            <w:rFonts w:ascii="Cambria Math" w:hAnsi="Cambria Math" w:cs="Times New Roman"/>
                            <w:i/>
                            <w:kern w:val="0"/>
                            <w:highlight w:val="none"/>
                          </w:rPr>
                        </m:ctrlPr>
                      </m:sub>
                    </m:sSub>
                    <m:r>
                      <m:rPr/>
                      <w:rPr>
                        <w:rFonts w:ascii="Cambria Math" w:hAnsi="Cambria Math" w:cs="Times New Roman"/>
                        <w:kern w:val="0"/>
                        <w:highlight w:val="none"/>
                      </w:rPr>
                      <m:t>−P</m:t>
                    </m:r>
                    <m:sSub>
                      <m:sSubPr>
                        <m:ctrlPr>
                          <w:rPr>
                            <w:rFonts w:ascii="Cambria Math" w:hAnsi="Cambria Math" w:cs="Times New Roman"/>
                            <w:i/>
                            <w:kern w:val="0"/>
                            <w:highlight w:val="none"/>
                          </w:rPr>
                        </m:ctrlPr>
                      </m:sSubPr>
                      <m:e>
                        <m:r>
                          <m:rPr/>
                          <w:rPr>
                            <w:rFonts w:ascii="Cambria Math" w:hAnsi="Cambria Math" w:cs="Times New Roman"/>
                            <w:kern w:val="0"/>
                            <w:highlight w:val="none"/>
                          </w:rPr>
                          <m:t>E</m:t>
                        </m:r>
                        <m:ctrlPr>
                          <w:rPr>
                            <w:rFonts w:ascii="Cambria Math" w:hAnsi="Cambria Math" w:cs="Times New Roman"/>
                            <w:i/>
                            <w:kern w:val="0"/>
                            <w:highlight w:val="none"/>
                          </w:rPr>
                        </m:ctrlPr>
                      </m:e>
                      <m:sub>
                        <m:r>
                          <m:rPr/>
                          <w:rPr>
                            <w:rFonts w:ascii="Cambria Math" w:hAnsi="Cambria Math" w:cs="Times New Roman"/>
                            <w:kern w:val="0"/>
                            <w:highlight w:val="none"/>
                          </w:rPr>
                          <m:t>x</m:t>
                        </m:r>
                        <m:ctrlPr>
                          <w:rPr>
                            <w:rFonts w:ascii="Cambria Math" w:hAnsi="Cambria Math" w:cs="Times New Roman"/>
                            <w:i/>
                            <w:kern w:val="0"/>
                            <w:highlight w:val="none"/>
                          </w:rPr>
                        </m:ctrlPr>
                      </m:sub>
                    </m:sSub>
                    <m:r>
                      <m:rPr>
                        <m:sty m:val="p"/>
                      </m:rPr>
                      <w:rPr>
                        <w:rFonts w:hint="eastAsia" w:ascii="Cambria Math" w:hAnsi="Cambria Math" w:cs="Times New Roman"/>
                        <w:kern w:val="0"/>
                        <w:highlight w:val="none"/>
                        <w:lang w:eastAsia="zh-CN"/>
                      </w:rPr>
                      <m:t>）</m:t>
                    </m:r>
                    <m:r>
                      <m:rPr/>
                      <w:rPr>
                        <w:rFonts w:ascii="Cambria Math" w:hAnsi="Cambria Math" w:cs="Times New Roman"/>
                        <w:kern w:val="0"/>
                        <w:highlight w:val="none"/>
                      </w:rPr>
                      <m:t>×</m:t>
                    </m:r>
                    <m:r>
                      <m:rPr/>
                      <w:rPr>
                        <w:rFonts w:hint="default" w:ascii="Cambria Math" w:hAnsi="Cambria Math" w:cs="Times New Roman"/>
                        <w:kern w:val="0"/>
                        <w:highlight w:val="none"/>
                        <w:lang w:val="en-US" w:eastAsia="zh-CN"/>
                      </w:rPr>
                      <m:t>BAF</m:t>
                    </m:r>
                    <m:ctrlPr>
                      <w:rPr>
                        <w:rFonts w:ascii="Cambria Math" w:hAnsi="Cambria Math" w:cs="Times New Roman"/>
                        <w:i/>
                        <w:kern w:val="0"/>
                        <w:highlight w:val="none"/>
                      </w:rPr>
                    </m:ctrlPr>
                  </m:e>
                </m:nary>
              </m:oMath>
            </m:oMathPara>
          </w:p>
        </w:tc>
        <w:tc>
          <w:tcPr>
            <w:tcW w:w="802" w:type="pct"/>
            <w:vAlign w:val="center"/>
          </w:tcPr>
          <w:p>
            <w:pPr>
              <w:ind w:firstLine="420"/>
              <w:jc w:val="right"/>
              <w:rPr>
                <w:rFonts w:hint="eastAsia" w:ascii="Times New Roman" w:hAnsi="Times New Roman" w:eastAsia="宋体" w:cs="Times New Roman"/>
                <w:kern w:val="0"/>
                <w:szCs w:val="28"/>
                <w:highlight w:val="none"/>
                <w:lang w:eastAsia="zh-CN"/>
              </w:rPr>
            </w:pPr>
            <w:r>
              <w:rPr>
                <w:rFonts w:hint="eastAsia" w:cs="Times New Roman"/>
                <w:kern w:val="0"/>
                <w:szCs w:val="28"/>
                <w:highlight w:val="none"/>
                <w:lang w:eastAsia="zh-CN"/>
              </w:rPr>
              <w:t>（</w:t>
            </w:r>
            <w:r>
              <w:rPr>
                <w:rFonts w:ascii="Times New Roman" w:hAnsi="Times New Roman" w:cs="Times New Roman"/>
                <w:kern w:val="0"/>
                <w:szCs w:val="28"/>
                <w:highlight w:val="none"/>
              </w:rPr>
              <w:t>1</w:t>
            </w:r>
            <w:r>
              <w:rPr>
                <w:rFonts w:hint="eastAsia" w:cs="Times New Roman"/>
                <w:kern w:val="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ind w:firstLine="420"/>
        <w:textAlignment w:val="auto"/>
        <w:rPr>
          <w:rFonts w:ascii="Times New Roman" w:hAnsi="Times New Roman" w:cs="Times New Roman"/>
          <w:szCs w:val="28"/>
          <w:highlight w:val="none"/>
        </w:rPr>
      </w:pPr>
      <w:r>
        <w:rPr>
          <w:rFonts w:hint="eastAsia" w:ascii="Times New Roman" w:hAnsi="Times New Roman" w:cs="Times New Roman"/>
          <w:szCs w:val="28"/>
          <w:highlight w:val="none"/>
          <w:lang w:eastAsia="zh-CN"/>
        </w:rPr>
        <w:t>式中</w:t>
      </w:r>
      <w:r>
        <w:rPr>
          <w:rFonts w:ascii="Times New Roman" w:hAnsi="Times New Roman" w:cs="Times New Roman"/>
          <w:szCs w:val="28"/>
          <w:highlight w:val="none"/>
        </w:rPr>
        <w:t>：</w:t>
      </w:r>
    </w:p>
    <w:tbl>
      <w:tblPr>
        <w:tblStyle w:val="33"/>
        <w:tblW w:w="4730" w:type="pct"/>
        <w:tblInd w:w="4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0"/>
        <w:gridCol w:w="638"/>
        <w:gridCol w:w="67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ER</w:t>
            </w:r>
            <w:r>
              <w:rPr>
                <w:rFonts w:ascii="Times New Roman" w:hAnsi="Times New Roman" w:cs="Times New Roman"/>
                <w:i/>
                <w:iCs/>
                <w:kern w:val="0"/>
                <w:sz w:val="21"/>
                <w:szCs w:val="21"/>
                <w:highlight w:val="none"/>
                <w:vertAlign w:val="subscript"/>
              </w:rPr>
              <w:t>x</w:t>
            </w:r>
          </w:p>
        </w:tc>
        <w:tc>
          <w:tcPr>
            <w:tcW w:w="395" w:type="pct"/>
            <w:vAlign w:val="center"/>
          </w:tcPr>
          <w:p>
            <w:pPr>
              <w:ind w:firstLine="0" w:firstLineChars="0"/>
              <w:jc w:val="center"/>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pPr>
              <w:ind w:firstLine="0" w:firstLineChars="0"/>
              <w:rPr>
                <w:rFonts w:hint="eastAsia" w:ascii="Times New Roman" w:hAnsi="Times New Roman" w:eastAsia="宋体" w:cs="Times New Roman"/>
                <w:i w:val="0"/>
                <w:iCs w:val="0"/>
                <w:kern w:val="0"/>
                <w:sz w:val="21"/>
                <w:szCs w:val="21"/>
                <w:highlight w:val="none"/>
                <w:lang w:eastAsia="zh-CN"/>
              </w:rPr>
            </w:pPr>
            <w:bookmarkStart w:id="81" w:name="OLE_LINK41"/>
            <w:r>
              <w:rPr>
                <w:rFonts w:hint="eastAsia" w:ascii="Times New Roman" w:hAnsi="Times New Roman" w:cs="Times New Roman"/>
                <w:i w:val="0"/>
                <w:iCs w:val="0"/>
                <w:kern w:val="0"/>
                <w:sz w:val="21"/>
                <w:szCs w:val="21"/>
                <w:highlight w:val="none"/>
              </w:rPr>
              <w:t>每</w:t>
            </w:r>
            <w:bookmarkEnd w:id="81"/>
            <w:r>
              <w:rPr>
                <w:rFonts w:hint="eastAsia" w:ascii="Times New Roman" w:hAnsi="Times New Roman" w:cs="Times New Roman"/>
                <w:i w:val="0"/>
                <w:iCs w:val="0"/>
                <w:kern w:val="0"/>
                <w:sz w:val="21"/>
                <w:szCs w:val="21"/>
                <w:highlight w:val="none"/>
                <w:lang w:val="en-US" w:eastAsia="zh-CN"/>
              </w:rPr>
              <w:t>个</w:t>
            </w:r>
            <w:r>
              <w:rPr>
                <w:rFonts w:ascii="Times New Roman" w:hAnsi="Times New Roman" w:cs="Times New Roman"/>
                <w:i w:val="0"/>
                <w:iCs w:val="0"/>
                <w:kern w:val="0"/>
                <w:sz w:val="21"/>
                <w:szCs w:val="21"/>
                <w:highlight w:val="none"/>
              </w:rPr>
              <w:t>x类型二手</w:t>
            </w:r>
            <w:r>
              <w:rPr>
                <w:rFonts w:hint="eastAsia" w:ascii="Times New Roman" w:hAnsi="Times New Roman" w:cs="Times New Roman"/>
                <w:i w:val="0"/>
                <w:iCs w:val="0"/>
                <w:kern w:val="0"/>
                <w:sz w:val="21"/>
                <w:szCs w:val="21"/>
                <w:highlight w:val="none"/>
                <w:lang w:val="en-US" w:eastAsia="zh-CN"/>
              </w:rPr>
              <w:t>物品</w:t>
            </w:r>
            <w:r>
              <w:rPr>
                <w:rFonts w:ascii="Times New Roman" w:hAnsi="Times New Roman" w:cs="Times New Roman"/>
                <w:i w:val="0"/>
                <w:iCs w:val="0"/>
                <w:kern w:val="0"/>
                <w:sz w:val="21"/>
                <w:szCs w:val="21"/>
                <w:highlight w:val="none"/>
              </w:rPr>
              <w:t>交易</w:t>
            </w:r>
            <w:r>
              <w:rPr>
                <w:rFonts w:hint="eastAsia" w:cs="Times New Roman"/>
                <w:i w:val="0"/>
                <w:iCs w:val="0"/>
                <w:kern w:val="0"/>
                <w:sz w:val="21"/>
                <w:szCs w:val="21"/>
                <w:highlight w:val="none"/>
                <w:lang w:val="en-US" w:eastAsia="zh-CN"/>
              </w:rPr>
              <w:t>产生</w:t>
            </w:r>
            <w:r>
              <w:rPr>
                <w:rFonts w:ascii="Times New Roman" w:hAnsi="Times New Roman" w:cs="Times New Roman"/>
                <w:i w:val="0"/>
                <w:iCs w:val="0"/>
                <w:kern w:val="0"/>
                <w:sz w:val="21"/>
                <w:szCs w:val="21"/>
                <w:highlight w:val="none"/>
              </w:rPr>
              <w:t>的减排量</w:t>
            </w:r>
            <w:r>
              <w:rPr>
                <w:rFonts w:hint="eastAsia" w:cs="Times New Roman"/>
                <w:i w:val="0"/>
                <w:iCs w:val="0"/>
                <w:kern w:val="0"/>
                <w:sz w:val="21"/>
                <w:szCs w:val="21"/>
                <w:highlight w:val="none"/>
                <w:lang w:eastAsia="zh-CN"/>
              </w:rPr>
              <w:t>，</w:t>
            </w:r>
            <w:r>
              <w:rPr>
                <w:rFonts w:hint="eastAsia" w:cs="Times New Roman"/>
                <w:i w:val="0"/>
                <w:iCs w:val="0"/>
                <w:kern w:val="0"/>
                <w:sz w:val="21"/>
                <w:szCs w:val="21"/>
                <w:highlight w:val="none"/>
                <w:lang w:val="en-US" w:eastAsia="zh-CN"/>
              </w:rPr>
              <w:t>单位为千克二氧化碳每</w:t>
            </w:r>
            <w:r>
              <w:rPr>
                <w:rFonts w:hint="eastAsia" w:ascii="Times New Roman" w:hAnsi="Times New Roman" w:cs="Times New Roman"/>
                <w:i w:val="0"/>
                <w:iCs w:val="0"/>
                <w:kern w:val="0"/>
                <w:sz w:val="21"/>
                <w:szCs w:val="21"/>
                <w:highlight w:val="none"/>
                <w:lang w:val="en-US" w:eastAsia="zh-CN"/>
              </w:rPr>
              <w:t>件/台</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lang w:val="en-US" w:eastAsia="zh-CN"/>
              </w:rPr>
              <w:t>部</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rPr>
              <w:t>kg</w:t>
            </w:r>
            <w:r>
              <w:rPr>
                <w:rFonts w:ascii="Times New Roman" w:hAnsi="Times New Roman" w:cs="Times New Roman"/>
                <w:i w:val="0"/>
                <w:iCs w:val="0"/>
                <w:kern w:val="0"/>
                <w:sz w:val="21"/>
                <w:szCs w:val="21"/>
                <w:highlight w:val="none"/>
              </w:rPr>
              <w:t>CO</w:t>
            </w:r>
            <w:r>
              <w:rPr>
                <w:rFonts w:ascii="Times New Roman" w:hAnsi="Times New Roman" w:cs="Times New Roman"/>
                <w:i w:val="0"/>
                <w:iCs w:val="0"/>
                <w:kern w:val="0"/>
                <w:sz w:val="21"/>
                <w:szCs w:val="21"/>
                <w:highlight w:val="none"/>
                <w:vertAlign w:val="subscript"/>
              </w:rPr>
              <w:t>2</w:t>
            </w:r>
            <w:r>
              <w:rPr>
                <w:rFonts w:hint="eastAsia" w:ascii="Times New Roman" w:hAnsi="Times New Roman" w:cs="Times New Roman"/>
                <w:i w:val="0"/>
                <w:iCs w:val="0"/>
                <w:kern w:val="0"/>
                <w:sz w:val="21"/>
                <w:szCs w:val="21"/>
                <w:highlight w:val="none"/>
                <w:lang w:val="en-US" w:eastAsia="zh-CN"/>
              </w:rPr>
              <w:t>/（件/台</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lang w:val="en-US" w:eastAsia="zh-CN"/>
              </w:rPr>
              <w:t>部）</w:t>
            </w:r>
            <w:r>
              <w:rPr>
                <w:rFonts w:hint="eastAsia" w:cs="Times New Roman"/>
                <w:i w:val="0"/>
                <w:iCs w:val="0"/>
                <w:kern w:val="0"/>
                <w:sz w:val="21"/>
                <w:szCs w:val="21"/>
                <w:highlight w:val="none"/>
                <w:lang w:val="en-US" w:eastAsia="zh-CN"/>
              </w:rPr>
              <w:t>）</w:t>
            </w:r>
            <w:r>
              <w:rPr>
                <w:rFonts w:hint="eastAsia" w:cs="Times New Roman"/>
                <w:i w:val="0"/>
                <w:iCs w:val="0"/>
                <w:kern w:val="0"/>
                <w:sz w:val="21"/>
                <w:szCs w:val="21"/>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top"/>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Times New Roman" w:hAnsi="Times New Roman" w:eastAsia="宋体" w:cs="Times New Roman"/>
                <w:i/>
                <w:iCs/>
                <w:kern w:val="0"/>
                <w:sz w:val="21"/>
                <w:szCs w:val="21"/>
                <w:highlight w:val="none"/>
                <w:lang w:val="en-US" w:eastAsia="zh-CN"/>
              </w:rPr>
            </w:pPr>
            <w:r>
              <w:rPr>
                <w:rFonts w:hint="eastAsia" w:cs="Times New Roman"/>
                <w:i/>
                <w:iCs/>
                <w:kern w:val="0"/>
                <w:sz w:val="21"/>
                <w:szCs w:val="21"/>
                <w:highlight w:val="none"/>
                <w:lang w:val="en-US" w:eastAsia="zh-CN"/>
              </w:rPr>
              <w:t>N</w:t>
            </w:r>
            <w:r>
              <w:rPr>
                <w:rFonts w:hint="eastAsia" w:cs="Times New Roman"/>
                <w:i/>
                <w:iCs/>
                <w:kern w:val="0"/>
                <w:sz w:val="21"/>
                <w:szCs w:val="21"/>
                <w:highlight w:val="none"/>
                <w:vertAlign w:val="subscript"/>
                <w:lang w:val="en-US" w:eastAsia="zh-CN"/>
              </w:rPr>
              <w:t>x</w:t>
            </w:r>
          </w:p>
        </w:tc>
        <w:tc>
          <w:tcPr>
            <w:tcW w:w="395" w:type="pct"/>
            <w:vAlign w:val="top"/>
          </w:tcPr>
          <w:p>
            <w:pPr>
              <w:ind w:firstLine="0" w:firstLineChars="0"/>
              <w:jc w:val="left"/>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pPr>
              <w:ind w:firstLine="0" w:firstLineChars="0"/>
              <w:rPr>
                <w:rFonts w:hint="default" w:ascii="Times New Roman" w:hAnsi="Times New Roman" w:eastAsia="宋体" w:cs="Times New Roman"/>
                <w:i w:val="0"/>
                <w:iCs w:val="0"/>
                <w:kern w:val="0"/>
                <w:sz w:val="21"/>
                <w:szCs w:val="21"/>
                <w:highlight w:val="none"/>
                <w:lang w:val="en-US" w:eastAsia="zh-CN"/>
              </w:rPr>
            </w:pPr>
            <w:r>
              <w:rPr>
                <w:rFonts w:ascii="Times New Roman" w:hAnsi="Times New Roman" w:cs="Times New Roman"/>
                <w:i w:val="0"/>
                <w:iCs w:val="0"/>
                <w:kern w:val="0"/>
                <w:sz w:val="21"/>
                <w:szCs w:val="21"/>
                <w:highlight w:val="none"/>
              </w:rPr>
              <w:t>x类型二手</w:t>
            </w:r>
            <w:r>
              <w:rPr>
                <w:rFonts w:hint="eastAsia" w:ascii="Times New Roman" w:hAnsi="Times New Roman" w:cs="Times New Roman"/>
                <w:i w:val="0"/>
                <w:iCs w:val="0"/>
                <w:kern w:val="0"/>
                <w:sz w:val="21"/>
                <w:szCs w:val="21"/>
                <w:highlight w:val="none"/>
                <w:lang w:val="en-US" w:eastAsia="zh-CN"/>
              </w:rPr>
              <w:t>物品</w:t>
            </w:r>
            <w:r>
              <w:rPr>
                <w:rFonts w:hint="eastAsia" w:cs="Times New Roman"/>
                <w:i w:val="0"/>
                <w:iCs w:val="0"/>
                <w:kern w:val="0"/>
                <w:sz w:val="21"/>
                <w:szCs w:val="21"/>
                <w:highlight w:val="none"/>
                <w:lang w:val="en-US" w:eastAsia="zh-CN"/>
              </w:rPr>
              <w:t>的</w:t>
            </w:r>
            <w:r>
              <w:rPr>
                <w:rFonts w:ascii="Times New Roman" w:hAnsi="Times New Roman" w:cs="Times New Roman"/>
                <w:i w:val="0"/>
                <w:iCs w:val="0"/>
                <w:kern w:val="0"/>
                <w:sz w:val="21"/>
                <w:szCs w:val="21"/>
                <w:highlight w:val="none"/>
              </w:rPr>
              <w:t>交易</w:t>
            </w:r>
            <w:r>
              <w:rPr>
                <w:rFonts w:hint="eastAsia" w:cs="Times New Roman"/>
                <w:i w:val="0"/>
                <w:iCs w:val="0"/>
                <w:kern w:val="0"/>
                <w:sz w:val="21"/>
                <w:szCs w:val="21"/>
                <w:highlight w:val="none"/>
                <w:lang w:val="en-US" w:eastAsia="zh-CN"/>
              </w:rPr>
              <w:t>数量，单位为</w:t>
            </w:r>
            <w:r>
              <w:rPr>
                <w:rFonts w:hint="eastAsia" w:ascii="Times New Roman" w:hAnsi="Times New Roman" w:cs="Times New Roman"/>
                <w:i w:val="0"/>
                <w:iCs w:val="0"/>
                <w:kern w:val="0"/>
                <w:sz w:val="21"/>
                <w:szCs w:val="21"/>
                <w:highlight w:val="none"/>
                <w:lang w:val="en-US" w:eastAsia="zh-CN"/>
              </w:rPr>
              <w:t>件/台</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lang w:val="en-US" w:eastAsia="zh-CN"/>
              </w:rPr>
              <w:t>部</w:t>
            </w:r>
            <w:r>
              <w:rPr>
                <w:rFonts w:hint="eastAsia" w:cs="Times New Roman"/>
                <w:i w:val="0"/>
                <w:iCs w:val="0"/>
                <w:kern w:val="0"/>
                <w:sz w:val="21"/>
                <w:szCs w:val="21"/>
                <w:highlight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top"/>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BE</w:t>
            </w:r>
            <w:r>
              <w:rPr>
                <w:rFonts w:ascii="Times New Roman" w:hAnsi="Times New Roman" w:cs="Times New Roman"/>
                <w:i/>
                <w:iCs/>
                <w:kern w:val="0"/>
                <w:sz w:val="21"/>
                <w:szCs w:val="21"/>
                <w:highlight w:val="none"/>
                <w:vertAlign w:val="subscript"/>
              </w:rPr>
              <w:t>x</w:t>
            </w:r>
          </w:p>
        </w:tc>
        <w:tc>
          <w:tcPr>
            <w:tcW w:w="395" w:type="pct"/>
            <w:vAlign w:val="top"/>
          </w:tcPr>
          <w:p>
            <w:pPr>
              <w:ind w:firstLine="0" w:firstLineChars="0"/>
              <w:jc w:val="left"/>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pPr>
              <w:ind w:firstLine="0" w:firstLineChars="0"/>
              <w:rPr>
                <w:rFonts w:hint="eastAsia" w:ascii="Times New Roman" w:hAnsi="Times New Roman" w:eastAsia="宋体" w:cs="Times New Roman"/>
                <w:i w:val="0"/>
                <w:iCs w:val="0"/>
                <w:kern w:val="0"/>
                <w:sz w:val="21"/>
                <w:szCs w:val="21"/>
                <w:highlight w:val="none"/>
                <w:lang w:eastAsia="zh-CN"/>
              </w:rPr>
            </w:pPr>
            <w:r>
              <w:rPr>
                <w:rFonts w:ascii="Times New Roman" w:hAnsi="Times New Roman" w:cs="Times New Roman"/>
                <w:i w:val="0"/>
                <w:iCs w:val="0"/>
                <w:kern w:val="0"/>
                <w:sz w:val="21"/>
                <w:szCs w:val="21"/>
                <w:highlight w:val="none"/>
              </w:rPr>
              <w:t>购买x类型全新</w:t>
            </w:r>
            <w:r>
              <w:rPr>
                <w:rFonts w:hint="eastAsia" w:ascii="Times New Roman" w:hAnsi="Times New Roman" w:cs="Times New Roman"/>
                <w:i w:val="0"/>
                <w:iCs w:val="0"/>
                <w:kern w:val="0"/>
                <w:sz w:val="21"/>
                <w:szCs w:val="21"/>
                <w:highlight w:val="none"/>
                <w:lang w:val="en-US" w:eastAsia="zh-CN"/>
              </w:rPr>
              <w:t>物品</w:t>
            </w:r>
            <w:r>
              <w:rPr>
                <w:rFonts w:ascii="Times New Roman" w:hAnsi="Times New Roman" w:cs="Times New Roman"/>
                <w:i w:val="0"/>
                <w:iCs w:val="0"/>
                <w:kern w:val="0"/>
                <w:sz w:val="21"/>
                <w:szCs w:val="21"/>
                <w:highlight w:val="none"/>
              </w:rPr>
              <w:t>的</w:t>
            </w:r>
            <w:r>
              <w:rPr>
                <w:rFonts w:hint="eastAsia" w:ascii="Times New Roman" w:hAnsi="Times New Roman" w:cs="Times New Roman"/>
                <w:i w:val="0"/>
                <w:iCs w:val="0"/>
                <w:kern w:val="0"/>
                <w:sz w:val="21"/>
                <w:szCs w:val="21"/>
                <w:highlight w:val="none"/>
              </w:rPr>
              <w:t>基准</w:t>
            </w:r>
            <w:r>
              <w:rPr>
                <w:rFonts w:ascii="Times New Roman" w:hAnsi="Times New Roman" w:cs="Times New Roman"/>
                <w:i w:val="0"/>
                <w:iCs w:val="0"/>
                <w:kern w:val="0"/>
                <w:sz w:val="21"/>
                <w:szCs w:val="21"/>
                <w:highlight w:val="none"/>
              </w:rPr>
              <w:t>线</w:t>
            </w:r>
            <w:r>
              <w:rPr>
                <w:rFonts w:hint="eastAsia" w:cs="Times New Roman"/>
                <w:i w:val="0"/>
                <w:iCs w:val="0"/>
                <w:kern w:val="0"/>
                <w:sz w:val="21"/>
                <w:szCs w:val="21"/>
                <w:highlight w:val="none"/>
                <w:lang w:val="en-US" w:eastAsia="zh-CN"/>
              </w:rPr>
              <w:t>情景碳</w:t>
            </w:r>
            <w:r>
              <w:rPr>
                <w:rFonts w:ascii="Times New Roman" w:hAnsi="Times New Roman" w:cs="Times New Roman"/>
                <w:i w:val="0"/>
                <w:iCs w:val="0"/>
                <w:kern w:val="0"/>
                <w:sz w:val="21"/>
                <w:szCs w:val="21"/>
                <w:highlight w:val="none"/>
              </w:rPr>
              <w:t>排放量</w:t>
            </w:r>
            <w:r>
              <w:rPr>
                <w:rFonts w:hint="eastAsia" w:cs="Times New Roman"/>
                <w:i w:val="0"/>
                <w:iCs w:val="0"/>
                <w:kern w:val="0"/>
                <w:sz w:val="21"/>
                <w:szCs w:val="21"/>
                <w:highlight w:val="none"/>
                <w:lang w:eastAsia="zh-CN"/>
              </w:rPr>
              <w:t>，</w:t>
            </w:r>
            <w:r>
              <w:rPr>
                <w:rFonts w:hint="eastAsia" w:cs="Times New Roman"/>
                <w:i w:val="0"/>
                <w:iCs w:val="0"/>
                <w:kern w:val="0"/>
                <w:sz w:val="21"/>
                <w:szCs w:val="21"/>
                <w:highlight w:val="none"/>
                <w:lang w:val="en-US" w:eastAsia="zh-CN"/>
              </w:rPr>
              <w:t>单位为千克二氧化碳</w:t>
            </w:r>
            <w:r>
              <w:rPr>
                <w:rFonts w:ascii="Times New Roman" w:hAnsi="Times New Roman" w:cs="Times New Roman"/>
                <w:i w:val="0"/>
                <w:iCs w:val="0"/>
                <w:kern w:val="0"/>
                <w:sz w:val="21"/>
                <w:szCs w:val="21"/>
                <w:highlight w:val="none"/>
              </w:rPr>
              <w:t>（</w:t>
            </w:r>
            <w:r>
              <w:rPr>
                <w:rFonts w:hint="eastAsia" w:ascii="Times New Roman" w:hAnsi="Times New Roman" w:cs="Times New Roman"/>
                <w:i w:val="0"/>
                <w:iCs w:val="0"/>
                <w:kern w:val="0"/>
                <w:sz w:val="21"/>
                <w:szCs w:val="21"/>
                <w:highlight w:val="none"/>
              </w:rPr>
              <w:t>kg</w:t>
            </w:r>
            <w:r>
              <w:rPr>
                <w:rFonts w:ascii="Times New Roman" w:hAnsi="Times New Roman" w:cs="Times New Roman"/>
                <w:i w:val="0"/>
                <w:iCs w:val="0"/>
                <w:kern w:val="0"/>
                <w:sz w:val="21"/>
                <w:szCs w:val="21"/>
                <w:highlight w:val="none"/>
              </w:rPr>
              <w:t>CO</w:t>
            </w:r>
            <w:r>
              <w:rPr>
                <w:rFonts w:ascii="Times New Roman" w:hAnsi="Times New Roman" w:cs="Times New Roman"/>
                <w:i w:val="0"/>
                <w:iCs w:val="0"/>
                <w:kern w:val="0"/>
                <w:sz w:val="21"/>
                <w:szCs w:val="21"/>
                <w:highlight w:val="none"/>
                <w:vertAlign w:val="subscript"/>
              </w:rPr>
              <w:t>2</w:t>
            </w:r>
            <w:r>
              <w:rPr>
                <w:rFonts w:ascii="Times New Roman" w:hAnsi="Times New Roman" w:cs="Times New Roman"/>
                <w:i w:val="0"/>
                <w:iCs w:val="0"/>
                <w:kern w:val="0"/>
                <w:sz w:val="21"/>
                <w:szCs w:val="21"/>
                <w:highlight w:val="none"/>
              </w:rPr>
              <w:t>）</w:t>
            </w:r>
            <w:r>
              <w:rPr>
                <w:rFonts w:hint="eastAsia" w:cs="Times New Roman"/>
                <w:i w:val="0"/>
                <w:iCs w:val="0"/>
                <w:kern w:val="0"/>
                <w:sz w:val="21"/>
                <w:szCs w:val="21"/>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top"/>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PE</w:t>
            </w:r>
            <w:r>
              <w:rPr>
                <w:rFonts w:ascii="Times New Roman" w:hAnsi="Times New Roman" w:cs="Times New Roman"/>
                <w:i/>
                <w:iCs/>
                <w:kern w:val="0"/>
                <w:sz w:val="21"/>
                <w:szCs w:val="21"/>
                <w:highlight w:val="none"/>
                <w:vertAlign w:val="subscript"/>
              </w:rPr>
              <w:t>x</w:t>
            </w:r>
          </w:p>
        </w:tc>
        <w:tc>
          <w:tcPr>
            <w:tcW w:w="395" w:type="pct"/>
            <w:vAlign w:val="top"/>
          </w:tcPr>
          <w:p>
            <w:pPr>
              <w:ind w:firstLine="0" w:firstLineChars="0"/>
              <w:jc w:val="left"/>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pPr>
              <w:ind w:firstLine="0" w:firstLineChars="0"/>
              <w:rPr>
                <w:rFonts w:hint="eastAsia" w:ascii="Times New Roman" w:hAnsi="Times New Roman" w:eastAsia="宋体" w:cs="Times New Roman"/>
                <w:i w:val="0"/>
                <w:iCs w:val="0"/>
                <w:kern w:val="0"/>
                <w:sz w:val="21"/>
                <w:szCs w:val="21"/>
                <w:highlight w:val="none"/>
                <w:lang w:eastAsia="zh-CN"/>
              </w:rPr>
            </w:pPr>
            <w:r>
              <w:rPr>
                <w:rFonts w:ascii="Times New Roman" w:hAnsi="Times New Roman" w:cs="Times New Roman"/>
                <w:i w:val="0"/>
                <w:iCs w:val="0"/>
                <w:kern w:val="0"/>
                <w:sz w:val="21"/>
                <w:szCs w:val="21"/>
                <w:highlight w:val="none"/>
              </w:rPr>
              <w:t>进行x类型二手</w:t>
            </w:r>
            <w:r>
              <w:rPr>
                <w:rFonts w:hint="eastAsia" w:ascii="Times New Roman" w:hAnsi="Times New Roman" w:cs="Times New Roman"/>
                <w:i w:val="0"/>
                <w:iCs w:val="0"/>
                <w:kern w:val="0"/>
                <w:sz w:val="21"/>
                <w:szCs w:val="21"/>
                <w:highlight w:val="none"/>
                <w:lang w:val="en-US" w:eastAsia="zh-CN"/>
              </w:rPr>
              <w:t>物品</w:t>
            </w:r>
            <w:r>
              <w:rPr>
                <w:rFonts w:ascii="Times New Roman" w:hAnsi="Times New Roman" w:cs="Times New Roman"/>
                <w:i w:val="0"/>
                <w:iCs w:val="0"/>
                <w:kern w:val="0"/>
                <w:sz w:val="21"/>
                <w:szCs w:val="21"/>
                <w:highlight w:val="none"/>
              </w:rPr>
              <w:t>交易的</w:t>
            </w:r>
            <w:r>
              <w:rPr>
                <w:rFonts w:hint="eastAsia" w:ascii="Times New Roman" w:hAnsi="Times New Roman" w:cs="Times New Roman"/>
                <w:i w:val="0"/>
                <w:iCs w:val="0"/>
                <w:kern w:val="0"/>
                <w:sz w:val="21"/>
                <w:szCs w:val="21"/>
                <w:highlight w:val="none"/>
              </w:rPr>
              <w:t>碳普惠情景</w:t>
            </w:r>
            <w:r>
              <w:rPr>
                <w:rFonts w:ascii="Times New Roman" w:hAnsi="Times New Roman" w:cs="Times New Roman"/>
                <w:i w:val="0"/>
                <w:iCs w:val="0"/>
                <w:kern w:val="0"/>
                <w:sz w:val="21"/>
                <w:szCs w:val="21"/>
                <w:highlight w:val="none"/>
              </w:rPr>
              <w:t>碳排放量</w:t>
            </w:r>
            <w:r>
              <w:rPr>
                <w:rFonts w:hint="eastAsia" w:cs="Times New Roman"/>
                <w:i w:val="0"/>
                <w:iCs w:val="0"/>
                <w:kern w:val="0"/>
                <w:sz w:val="21"/>
                <w:szCs w:val="21"/>
                <w:highlight w:val="none"/>
                <w:lang w:eastAsia="zh-CN"/>
              </w:rPr>
              <w:t>，</w:t>
            </w:r>
            <w:r>
              <w:rPr>
                <w:rFonts w:hint="eastAsia" w:cs="Times New Roman"/>
                <w:i w:val="0"/>
                <w:iCs w:val="0"/>
                <w:kern w:val="0"/>
                <w:sz w:val="21"/>
                <w:szCs w:val="21"/>
                <w:highlight w:val="none"/>
                <w:lang w:val="en-US" w:eastAsia="zh-CN"/>
              </w:rPr>
              <w:t>单位为千克二氧化碳</w:t>
            </w:r>
            <w:r>
              <w:rPr>
                <w:rFonts w:ascii="Times New Roman" w:hAnsi="Times New Roman" w:cs="Times New Roman"/>
                <w:i w:val="0"/>
                <w:iCs w:val="0"/>
                <w:kern w:val="0"/>
                <w:sz w:val="21"/>
                <w:szCs w:val="21"/>
                <w:highlight w:val="none"/>
              </w:rPr>
              <w:t>（</w:t>
            </w:r>
            <w:r>
              <w:rPr>
                <w:rFonts w:hint="eastAsia" w:ascii="Times New Roman" w:hAnsi="Times New Roman" w:cs="Times New Roman"/>
                <w:i w:val="0"/>
                <w:iCs w:val="0"/>
                <w:kern w:val="0"/>
                <w:sz w:val="21"/>
                <w:szCs w:val="21"/>
                <w:highlight w:val="none"/>
              </w:rPr>
              <w:t>kg</w:t>
            </w:r>
            <w:r>
              <w:rPr>
                <w:rFonts w:ascii="Times New Roman" w:hAnsi="Times New Roman" w:cs="Times New Roman"/>
                <w:i w:val="0"/>
                <w:iCs w:val="0"/>
                <w:kern w:val="0"/>
                <w:sz w:val="21"/>
                <w:szCs w:val="21"/>
                <w:highlight w:val="none"/>
              </w:rPr>
              <w:t>CO</w:t>
            </w:r>
            <w:r>
              <w:rPr>
                <w:rFonts w:ascii="Times New Roman" w:hAnsi="Times New Roman" w:cs="Times New Roman"/>
                <w:i w:val="0"/>
                <w:iCs w:val="0"/>
                <w:kern w:val="0"/>
                <w:sz w:val="21"/>
                <w:szCs w:val="21"/>
                <w:highlight w:val="none"/>
                <w:vertAlign w:val="subscript"/>
              </w:rPr>
              <w:t>2</w:t>
            </w:r>
            <w:r>
              <w:rPr>
                <w:rFonts w:ascii="Times New Roman" w:hAnsi="Times New Roman" w:cs="Times New Roman"/>
                <w:i w:val="0"/>
                <w:iCs w:val="0"/>
                <w:kern w:val="0"/>
                <w:sz w:val="21"/>
                <w:szCs w:val="21"/>
                <w:highlight w:val="none"/>
              </w:rPr>
              <w:t>）</w:t>
            </w:r>
            <w:r>
              <w:rPr>
                <w:rFonts w:hint="eastAsia" w:cs="Times New Roman"/>
                <w:i w:val="0"/>
                <w:iCs w:val="0"/>
                <w:kern w:val="0"/>
                <w:sz w:val="21"/>
                <w:szCs w:val="21"/>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BAF</w:t>
            </w:r>
          </w:p>
        </w:tc>
        <w:tc>
          <w:tcPr>
            <w:tcW w:w="395" w:type="pct"/>
            <w:vAlign w:val="center"/>
          </w:tcPr>
          <w:p>
            <w:pPr>
              <w:ind w:firstLine="0" w:firstLineChars="0"/>
              <w:jc w:val="center"/>
              <w:rPr>
                <w:rFonts w:ascii="Times New Roman" w:hAnsi="Times New Roman" w:cs="Times New Roman"/>
                <w:kern w:val="0"/>
                <w:position w:val="-34"/>
                <w:sz w:val="21"/>
                <w:szCs w:val="21"/>
                <w:highlight w:val="none"/>
              </w:rPr>
            </w:pPr>
            <w:r>
              <w:rPr>
                <w:rFonts w:ascii="Times New Roman" w:hAnsi="Times New Roman" w:cs="Times New Roman"/>
                <w:kern w:val="0"/>
                <w:sz w:val="21"/>
                <w:szCs w:val="21"/>
                <w:highlight w:val="none"/>
              </w:rPr>
              <w:t>——</w:t>
            </w:r>
          </w:p>
        </w:tc>
        <w:tc>
          <w:tcPr>
            <w:tcW w:w="4201" w:type="pct"/>
            <w:vAlign w:val="center"/>
          </w:tcPr>
          <w:p>
            <w:pPr>
              <w:ind w:firstLine="0" w:firstLineChars="0"/>
              <w:rPr>
                <w:rFonts w:hint="eastAsia" w:ascii="Times New Roman" w:hAnsi="Times New Roman" w:eastAsia="宋体" w:cs="Times New Roman"/>
                <w:i w:val="0"/>
                <w:iCs w:val="0"/>
                <w:kern w:val="0"/>
                <w:sz w:val="21"/>
                <w:szCs w:val="21"/>
                <w:highlight w:val="none"/>
                <w:lang w:eastAsia="zh-CN"/>
              </w:rPr>
            </w:pPr>
            <w:bookmarkStart w:id="82" w:name="_Hlk175039360"/>
            <w:r>
              <w:rPr>
                <w:rFonts w:hint="eastAsia" w:ascii="Times New Roman" w:hAnsi="Times New Roman" w:cs="Times New Roman"/>
                <w:i w:val="0"/>
                <w:iCs w:val="0"/>
                <w:kern w:val="0"/>
                <w:sz w:val="21"/>
                <w:szCs w:val="21"/>
                <w:highlight w:val="none"/>
              </w:rPr>
              <w:t>基于保守性考虑的调整系数</w:t>
            </w:r>
            <w:bookmarkEnd w:id="82"/>
            <w:r>
              <w:rPr>
                <w:rFonts w:ascii="Times New Roman" w:hAnsi="Times New Roman" w:cs="Times New Roman"/>
                <w:i w:val="0"/>
                <w:iCs w:val="0"/>
                <w:kern w:val="0"/>
                <w:sz w:val="21"/>
                <w:szCs w:val="21"/>
                <w:highlight w:val="none"/>
              </w:rPr>
              <w:t>（%）</w:t>
            </w:r>
            <w:r>
              <w:rPr>
                <w:rFonts w:hint="eastAsia" w:cs="Times New Roman"/>
                <w:i w:val="0"/>
                <w:iCs w:val="0"/>
                <w:kern w:val="0"/>
                <w:sz w:val="21"/>
                <w:szCs w:val="21"/>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eastAsia="宋体" w:cs="Times New Roman"/>
                <w:i/>
                <w:iCs/>
                <w:kern w:val="0"/>
                <w:sz w:val="21"/>
                <w:szCs w:val="21"/>
                <w:highlight w:val="none"/>
                <w:lang w:val="en-US" w:eastAsia="zh-CN"/>
              </w:rPr>
            </w:pPr>
            <w:bookmarkStart w:id="83" w:name="_Toc18912"/>
            <w:r>
              <w:rPr>
                <w:rFonts w:hint="eastAsia" w:ascii="Times New Roman" w:hAnsi="Times New Roman" w:cs="Times New Roman"/>
                <w:i/>
                <w:iCs/>
                <w:kern w:val="0"/>
                <w:sz w:val="21"/>
                <w:szCs w:val="21"/>
                <w:highlight w:val="none"/>
                <w:lang w:val="en-US" w:eastAsia="zh-CN"/>
              </w:rPr>
              <w:t>x</w:t>
            </w:r>
          </w:p>
        </w:tc>
        <w:tc>
          <w:tcPr>
            <w:tcW w:w="395" w:type="pct"/>
            <w:vAlign w:val="center"/>
          </w:tcPr>
          <w:p>
            <w:pPr>
              <w:ind w:firstLine="0" w:firstLineChars="0"/>
              <w:jc w:val="center"/>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pPr>
              <w:ind w:firstLine="0" w:firstLineChars="0"/>
              <w:rPr>
                <w:rFonts w:hint="default" w:ascii="Times New Roman" w:hAnsi="Times New Roman" w:eastAsia="宋体" w:cs="Times New Roman"/>
                <w:i w:val="0"/>
                <w:iCs w:val="0"/>
                <w:kern w:val="0"/>
                <w:sz w:val="21"/>
                <w:szCs w:val="21"/>
                <w:highlight w:val="none"/>
                <w:lang w:val="en-US" w:eastAsia="zh-CN"/>
              </w:rPr>
            </w:pPr>
            <w:r>
              <w:rPr>
                <w:rFonts w:hint="eastAsia" w:cs="Times New Roman"/>
                <w:i w:val="0"/>
                <w:iCs w:val="0"/>
                <w:kern w:val="0"/>
                <w:sz w:val="21"/>
                <w:szCs w:val="21"/>
                <w:highlight w:val="none"/>
                <w:lang w:val="en-US" w:eastAsia="zh-CN"/>
              </w:rPr>
              <w:t>二手物品品类。</w:t>
            </w:r>
          </w:p>
        </w:tc>
      </w:tr>
    </w:tbl>
    <w:p>
      <w:pPr>
        <w:pStyle w:val="3"/>
        <w:spacing w:before="312" w:after="312"/>
        <w:rPr>
          <w:highlight w:val="none"/>
        </w:rPr>
      </w:pPr>
      <w:r>
        <w:rPr>
          <w:rFonts w:hint="eastAsia"/>
          <w:highlight w:val="none"/>
        </w:rPr>
        <w:t>7</w:t>
      </w:r>
      <w:r>
        <w:rPr>
          <w:highlight w:val="none"/>
        </w:rPr>
        <w:t xml:space="preserve"> 数据来源及监测</w:t>
      </w:r>
      <w:bookmarkEnd w:id="79"/>
      <w:bookmarkEnd w:id="80"/>
      <w:bookmarkEnd w:id="83"/>
    </w:p>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84" w:name="_Toc4254"/>
      <w:bookmarkStart w:id="85" w:name="_Toc164770407"/>
      <w:bookmarkStart w:id="86" w:name="_Toc175936571"/>
      <w:bookmarkStart w:id="87" w:name="_Toc11842"/>
      <w:bookmarkStart w:id="88" w:name="_Toc20221"/>
      <w:r>
        <w:rPr>
          <w:rFonts w:hint="eastAsia" w:ascii="Times New Roman" w:hAnsi="Times New Roman"/>
          <w:color w:val="000000" w:themeColor="text1"/>
          <w:highlight w:val="none"/>
          <w14:textFill>
            <w14:solidFill>
              <w14:schemeClr w14:val="tx1"/>
            </w14:solidFill>
          </w14:textFill>
        </w:rPr>
        <w:t xml:space="preserve">7.1 </w:t>
      </w:r>
      <w:bookmarkEnd w:id="84"/>
      <w:r>
        <w:rPr>
          <w:rFonts w:hint="eastAsia" w:ascii="Times New Roman" w:hAnsi="Times New Roman"/>
          <w:color w:val="000000" w:themeColor="text1"/>
          <w:highlight w:val="none"/>
          <w14:textFill>
            <w14:solidFill>
              <w14:schemeClr w14:val="tx1"/>
            </w14:solidFill>
          </w14:textFill>
        </w:rPr>
        <w:t>事前需确定的参数和数据</w:t>
      </w:r>
      <w:bookmarkEnd w:id="85"/>
      <w:bookmarkEnd w:id="86"/>
      <w:bookmarkEnd w:id="87"/>
      <w:bookmarkEnd w:id="88"/>
    </w:p>
    <w:p>
      <w:pPr>
        <w:spacing w:line="240" w:lineRule="atLeast"/>
        <w:ind w:firstLine="420"/>
        <w:rPr>
          <w:rFonts w:hint="eastAsia" w:ascii="Times New Roman" w:hAnsi="Times New Roman" w:eastAsia="宋体" w:cs="Times New Roman"/>
          <w:color w:val="000000" w:themeColor="text1"/>
          <w:kern w:val="0"/>
          <w:highlight w:val="none"/>
          <w:lang w:eastAsia="zh-CN"/>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事前需确定的参数和数据的技术内容和确定方法见表2</w:t>
      </w:r>
      <w:r>
        <w:rPr>
          <w:rFonts w:hint="eastAsia" w:cs="Times New Roman"/>
          <w:color w:val="000000" w:themeColor="text1"/>
          <w:kern w:val="0"/>
          <w:highlight w:val="none"/>
          <w:lang w:eastAsia="zh-CN"/>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bookmarkStart w:id="89" w:name="OLE_LINK51"/>
      <w:r>
        <w:rPr>
          <w:rFonts w:hint="eastAsia" w:eastAsia="黑体" w:cs="Times New Roman"/>
          <w:color w:val="000000" w:themeColor="text1"/>
          <w:highlight w:val="none"/>
          <w:lang w:val="en-US" w:eastAsia="zh-CN"/>
          <w14:textFill>
            <w14:solidFill>
              <w14:schemeClr w14:val="tx1"/>
            </w14:solidFill>
          </w14:textFill>
        </w:rPr>
        <w:t>表</w:t>
      </w:r>
      <w:r>
        <w:rPr>
          <w:rFonts w:hint="eastAsia" w:ascii="Times New Roman" w:hAnsi="Times New Roman" w:eastAsia="黑体" w:cs="Times New Roman"/>
          <w:color w:val="000000" w:themeColor="text1"/>
          <w:highlight w:val="none"/>
          <w:lang w:val="en-US" w:eastAsia="zh-CN"/>
          <w14:textFill>
            <w14:solidFill>
              <w14:schemeClr w14:val="tx1"/>
            </w14:solidFill>
          </w14:textFill>
        </w:rPr>
        <w:t>2</w:t>
      </w:r>
      <w:bookmarkEnd w:id="89"/>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BAF</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ind w:firstLine="0" w:firstLineChars="0"/>
              <w:jc w:val="left"/>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ascii="Times New Roman" w:hAnsi="Times New Roman" w:cs="Times New Roman"/>
                <w:i/>
                <w:iCs/>
                <w:kern w:val="0"/>
                <w:sz w:val="18"/>
                <w:szCs w:val="18"/>
                <w:highlight w:val="none"/>
              </w:rPr>
              <w:t>BAF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762"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pPr>
              <w:ind w:firstLine="0" w:firstLineChars="0"/>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基于保守性考虑的调整系数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2"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37" w:type="pct"/>
            <w:shd w:val="clear" w:color="auto" w:fill="auto"/>
            <w:vAlign w:val="center"/>
          </w:tcPr>
          <w:p>
            <w:pPr>
              <w:ind w:firstLine="0" w:firstLineChars="0"/>
              <w:rPr>
                <w:rFonts w:hint="eastAsia" w:ascii="Times New Roman" w:hAnsi="Times New Roman" w:eastAsia="宋体" w:cs="Times New Roman"/>
                <w:b w:val="0"/>
                <w:bCs w:val="0"/>
                <w:kern w:val="0"/>
                <w:sz w:val="18"/>
                <w:szCs w:val="18"/>
                <w:highlight w:val="none"/>
                <w:lang w:val="en-US" w:eastAsia="zh-CN"/>
              </w:rPr>
            </w:pPr>
            <w:r>
              <w:rPr>
                <w:rFonts w:cs="Times New Roman"/>
                <w:kern w:val="0"/>
                <w:sz w:val="18"/>
                <w:szCs w:val="18"/>
                <w:highlight w:val="none"/>
              </w:rPr>
              <w:t>默认值</w:t>
            </w:r>
            <w:r>
              <w:rPr>
                <w:rFonts w:hint="eastAsia" w:cs="Times New Roman"/>
                <w:kern w:val="0"/>
                <w:sz w:val="18"/>
                <w:szCs w:val="18"/>
                <w:highlight w:val="none"/>
              </w:rPr>
              <w:t>。参考</w:t>
            </w:r>
            <w:r>
              <w:rPr>
                <w:rFonts w:cs="Times New Roman"/>
                <w:kern w:val="0"/>
                <w:sz w:val="18"/>
                <w:szCs w:val="18"/>
                <w:highlight w:val="none"/>
              </w:rPr>
              <w:t>T/CSTE 0049</w:t>
            </w:r>
            <w:r>
              <w:rPr>
                <w:rFonts w:hint="eastAsia" w:cs="Times New Roman"/>
                <w:kern w:val="0"/>
                <w:sz w:val="18"/>
                <w:szCs w:val="18"/>
                <w:highlight w:val="none"/>
              </w:rPr>
              <w:t>《基于项目的温室气体减排量评估技术规范</w:t>
            </w:r>
            <w:r>
              <w:rPr>
                <w:rFonts w:cs="Times New Roman"/>
                <w:kern w:val="0"/>
                <w:sz w:val="18"/>
                <w:szCs w:val="18"/>
                <w:highlight w:val="none"/>
              </w:rPr>
              <w:t xml:space="preserve"> </w:t>
            </w:r>
            <w:r>
              <w:rPr>
                <w:rFonts w:hint="eastAsia" w:cs="Times New Roman"/>
                <w:kern w:val="0"/>
                <w:sz w:val="18"/>
                <w:szCs w:val="18"/>
                <w:highlight w:val="none"/>
              </w:rPr>
              <w:t>二手交易平台》等相关标准和方法学。本方法学</w:t>
            </w:r>
            <w:bookmarkStart w:id="90" w:name="_Hlk175039400"/>
            <w:r>
              <w:rPr>
                <w:rFonts w:hint="eastAsia" w:cs="Times New Roman"/>
                <w:kern w:val="0"/>
                <w:sz w:val="18"/>
                <w:szCs w:val="18"/>
                <w:highlight w:val="none"/>
              </w:rPr>
              <w:t>基于</w:t>
            </w:r>
            <w:r>
              <w:rPr>
                <w:rFonts w:hint="eastAsia" w:cs="Times New Roman"/>
                <w:kern w:val="0"/>
                <w:sz w:val="18"/>
                <w:szCs w:val="18"/>
                <w:highlight w:val="none"/>
                <w:lang w:val="en-US" w:eastAsia="zh-CN"/>
              </w:rPr>
              <w:t>物品</w:t>
            </w:r>
            <w:r>
              <w:rPr>
                <w:rFonts w:hint="eastAsia" w:cs="Times New Roman"/>
                <w:kern w:val="0"/>
                <w:sz w:val="18"/>
                <w:szCs w:val="18"/>
                <w:highlight w:val="none"/>
              </w:rPr>
              <w:t>使用寿命的角度考虑</w:t>
            </w:r>
            <w:bookmarkEnd w:id="90"/>
            <w:r>
              <w:rPr>
                <w:rFonts w:hint="eastAsia" w:cs="Times New Roman"/>
                <w:kern w:val="0"/>
                <w:sz w:val="18"/>
                <w:szCs w:val="18"/>
                <w:highlight w:val="none"/>
              </w:rPr>
              <w:t>，二手</w:t>
            </w:r>
            <w:r>
              <w:rPr>
                <w:rFonts w:hint="eastAsia" w:cs="Times New Roman"/>
                <w:kern w:val="0"/>
                <w:sz w:val="18"/>
                <w:szCs w:val="18"/>
                <w:highlight w:val="none"/>
                <w:lang w:val="en-US" w:eastAsia="zh-CN"/>
              </w:rPr>
              <w:t>物品</w:t>
            </w:r>
            <w:r>
              <w:rPr>
                <w:rFonts w:hint="eastAsia" w:cs="Times New Roman"/>
                <w:kern w:val="0"/>
                <w:sz w:val="18"/>
                <w:szCs w:val="18"/>
                <w:highlight w:val="none"/>
              </w:rPr>
              <w:t>在进行交易前已被使用一段时间，其剩余使用寿命并不能完全等同于一个全新</w:t>
            </w:r>
            <w:r>
              <w:rPr>
                <w:rFonts w:hint="eastAsia" w:cs="Times New Roman"/>
                <w:kern w:val="0"/>
                <w:sz w:val="18"/>
                <w:szCs w:val="18"/>
                <w:highlight w:val="none"/>
                <w:lang w:val="en-US" w:eastAsia="zh-CN"/>
              </w:rPr>
              <w:t>物品</w:t>
            </w:r>
            <w:r>
              <w:rPr>
                <w:rFonts w:hint="eastAsia" w:cs="Times New Roman"/>
                <w:kern w:val="0"/>
                <w:sz w:val="18"/>
                <w:szCs w:val="18"/>
                <w:highlight w:val="none"/>
              </w:rPr>
              <w:t>，因此设置基于保守性考虑的调整系数。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pPr>
              <w:ind w:firstLine="0" w:firstLineChars="0"/>
              <w:rPr>
                <w:rFonts w:hint="default" w:ascii="Times New Roman" w:hAnsi="Times New Roman" w:eastAsia="宋体" w:cs="Times New Roman"/>
                <w:b w:val="0"/>
                <w:bCs w:val="0"/>
                <w:kern w:val="0"/>
                <w:sz w:val="18"/>
                <w:szCs w:val="18"/>
                <w:highlight w:val="none"/>
                <w:lang w:val="en-US" w:eastAsia="zh-CN"/>
              </w:rPr>
            </w:pPr>
            <w:r>
              <w:rPr>
                <w:rFonts w:hint="eastAsia" w:cs="Times New Roman"/>
                <w:b w:val="0"/>
                <w:bCs w:val="0"/>
                <w:kern w:val="0"/>
                <w:sz w:val="18"/>
                <w:szCs w:val="18"/>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762"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ascii="Times New Roman" w:hAnsi="Times New Roman" w:cs="Times New Roman"/>
                <w:kern w:val="0"/>
                <w:sz w:val="18"/>
                <w:szCs w:val="18"/>
                <w:highlight w:val="none"/>
              </w:rPr>
              <w:t>减排量</w:t>
            </w:r>
            <w:r>
              <w:rPr>
                <w:rFonts w:ascii="Times New Roman" w:hAnsi="Times New Roman" w:cs="Times New Roman"/>
                <w:i/>
                <w:iCs/>
                <w:kern w:val="0"/>
                <w:sz w:val="18"/>
                <w:szCs w:val="18"/>
                <w:highlight w:val="none"/>
              </w:rPr>
              <w:t>ER</w:t>
            </w:r>
            <w:r>
              <w:rPr>
                <w:rFonts w:ascii="Times New Roman" w:hAnsi="Times New Roman" w:cs="Times New Roman"/>
                <w:i/>
                <w:iCs/>
                <w:kern w:val="0"/>
                <w:sz w:val="18"/>
                <w:szCs w:val="18"/>
                <w:highlight w:val="none"/>
                <w:vertAlign w:val="subscript"/>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91" w:name="_Toc164770409"/>
      <w:bookmarkStart w:id="92" w:name="_Toc4787"/>
      <w:bookmarkStart w:id="93" w:name="_Toc14730"/>
      <w:bookmarkStart w:id="94" w:name="_Toc175936573"/>
      <w:bookmarkStart w:id="95" w:name="_Toc5269"/>
      <w:r>
        <w:rPr>
          <w:rFonts w:hint="eastAsia" w:ascii="Times New Roman" w:hAnsi="Times New Roman"/>
          <w:color w:val="000000" w:themeColor="text1"/>
          <w:highlight w:val="none"/>
          <w14:textFill>
            <w14:solidFill>
              <w14:schemeClr w14:val="tx1"/>
            </w14:solidFill>
          </w14:textFill>
        </w:rPr>
        <w:t xml:space="preserve">7.2 </w:t>
      </w:r>
      <w:bookmarkEnd w:id="91"/>
      <w:bookmarkEnd w:id="92"/>
      <w:r>
        <w:rPr>
          <w:rFonts w:hint="eastAsia" w:ascii="Times New Roman" w:hAnsi="Times New Roman"/>
          <w:color w:val="000000" w:themeColor="text1"/>
          <w:highlight w:val="none"/>
          <w14:textFill>
            <w14:solidFill>
              <w14:schemeClr w14:val="tx1"/>
            </w14:solidFill>
          </w14:textFill>
        </w:rPr>
        <w:t>实施阶段需监测和确定的参数和数据</w:t>
      </w:r>
      <w:bookmarkEnd w:id="93"/>
    </w:p>
    <w:p>
      <w:pPr>
        <w:ind w:firstLine="420"/>
        <w:rPr>
          <w:rFonts w:ascii="Times New Roman" w:hAnsi="Times New Roman"/>
          <w:highlight w:val="none"/>
        </w:rPr>
      </w:pPr>
      <w:r>
        <w:rPr>
          <w:rFonts w:ascii="Times New Roman" w:hAnsi="Times New Roman"/>
          <w:highlight w:val="none"/>
        </w:rPr>
        <w:t>实施阶段需监测的参数和数据</w:t>
      </w:r>
      <w:r>
        <w:rPr>
          <w:rFonts w:hint="eastAsia"/>
          <w:highlight w:val="none"/>
          <w:lang w:val="en-US" w:eastAsia="zh-CN"/>
        </w:rPr>
        <w:t>的技术内容和确定方法</w:t>
      </w:r>
      <w:r>
        <w:rPr>
          <w:rFonts w:ascii="Times New Roman" w:hAnsi="Times New Roman"/>
          <w:highlight w:val="none"/>
        </w:rPr>
        <w:t>见表</w:t>
      </w:r>
      <w:r>
        <w:rPr>
          <w:rFonts w:hint="eastAsia" w:ascii="Times New Roman" w:hAnsi="Times New Roman"/>
          <w:highlight w:val="none"/>
        </w:rPr>
        <w:t>3</w:t>
      </w:r>
      <w:r>
        <w:rPr>
          <w:rFonts w:hint="eastAsia"/>
          <w:highlight w:val="none"/>
          <w:lang w:val="en-US" w:eastAsia="zh-CN"/>
        </w:rPr>
        <w:t>-表4</w:t>
      </w:r>
      <w:r>
        <w:rPr>
          <w:rFonts w:ascii="Times New Roman" w:hAnsi="Times New Roman"/>
          <w:highlight w:val="none"/>
        </w:rPr>
        <w:t>。</w:t>
      </w: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表</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3 </w:t>
      </w:r>
      <w:r>
        <w:rPr>
          <w:rFonts w:hint="eastAsia" w:eastAsia="黑体" w:cs="Times New Roman"/>
          <w:i/>
          <w:iCs/>
          <w:color w:val="000000" w:themeColor="text1"/>
          <w:highlight w:val="none"/>
          <w:lang w:val="en-US" w:eastAsia="zh-CN"/>
          <w14:textFill>
            <w14:solidFill>
              <w14:schemeClr w14:val="tx1"/>
            </w14:solidFill>
          </w14:textFill>
        </w:rPr>
        <w:t>N</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rPr>
                <w:rFonts w:hint="eastAsia" w:ascii="Times New Roman" w:hAnsi="Times New Roman" w:eastAsia="宋体" w:cs="Times New Roman"/>
                <w:i/>
                <w:iCs/>
                <w:kern w:val="0"/>
                <w:sz w:val="18"/>
                <w:szCs w:val="18"/>
                <w:highlight w:val="none"/>
                <w:lang w:eastAsia="zh-CN"/>
              </w:rPr>
            </w:pPr>
            <w:r>
              <w:rPr>
                <w:rFonts w:hint="eastAsia" w:cs="Times New Roman"/>
                <w:i/>
                <w:iCs/>
                <w:kern w:val="0"/>
                <w:sz w:val="18"/>
                <w:szCs w:val="18"/>
                <w:highlight w:val="none"/>
                <w:lang w:val="en-US" w:eastAsia="zh-CN"/>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pPr>
              <w:spacing w:line="240" w:lineRule="atLeast"/>
              <w:ind w:firstLine="0" w:firstLineChars="0"/>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vertAlign w:val="baseline"/>
                <w:lang w:val="en-US" w:eastAsia="zh-CN"/>
              </w:rPr>
              <w:t>件/台/部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pPr>
              <w:spacing w:line="240" w:lineRule="atLeast"/>
              <w:ind w:firstLine="0" w:firstLineChars="0"/>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rPr>
              <w:t>x类型二手</w:t>
            </w:r>
            <w:r>
              <w:rPr>
                <w:rFonts w:hint="eastAsia" w:ascii="Times New Roman" w:hAnsi="Times New Roman" w:cs="Times New Roman"/>
                <w:kern w:val="0"/>
                <w:sz w:val="18"/>
                <w:szCs w:val="18"/>
                <w:highlight w:val="none"/>
                <w:lang w:val="en-US" w:eastAsia="zh-CN"/>
              </w:rPr>
              <w:t>物品的</w:t>
            </w:r>
            <w:r>
              <w:rPr>
                <w:rFonts w:hint="eastAsia" w:ascii="Times New Roman" w:hAnsi="Times New Roman" w:cs="Times New Roman"/>
                <w:kern w:val="0"/>
                <w:sz w:val="18"/>
                <w:szCs w:val="18"/>
                <w:highlight w:val="none"/>
              </w:rPr>
              <w:t>交易</w:t>
            </w:r>
            <w:r>
              <w:rPr>
                <w:rFonts w:hint="eastAsia" w:ascii="Times New Roman" w:hAnsi="Times New Roman" w:cs="Times New Roman"/>
                <w:kern w:val="0"/>
                <w:sz w:val="18"/>
                <w:szCs w:val="18"/>
                <w:highlight w:val="none"/>
                <w:lang w:val="en-US" w:eastAsia="zh-CN"/>
              </w:rPr>
              <w:t>数量</w:t>
            </w:r>
            <w:r>
              <w:rPr>
                <w:rFonts w:hint="eastAsia" w:ascii="Times New Roman" w:hAnsi="Times New Roman" w:cs="Times New Roman"/>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按照以下优先次序选取来源：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shd w:val="clear"/>
                <w:lang w:val="en-US" w:eastAsia="zh-CN"/>
              </w:rPr>
              <w:t>.数据来源平台</w:t>
            </w:r>
            <w:r>
              <w:rPr>
                <w:rFonts w:hint="eastAsia" w:ascii="Times New Roman" w:hAnsi="Times New Roman" w:cs="Times New Roman"/>
                <w:kern w:val="0"/>
                <w:sz w:val="18"/>
                <w:szCs w:val="18"/>
                <w:highlight w:val="none"/>
                <w:lang w:val="en-US" w:eastAsia="zh-CN"/>
              </w:rPr>
              <w:t>发生的</w:t>
            </w:r>
            <w:r>
              <w:rPr>
                <w:rFonts w:hint="eastAsia" w:cs="Times New Roman"/>
                <w:kern w:val="0"/>
                <w:sz w:val="18"/>
                <w:szCs w:val="18"/>
                <w:highlight w:val="none"/>
                <w:lang w:val="en-US" w:eastAsia="zh-CN"/>
              </w:rPr>
              <w:t>二手物品交易行为</w:t>
            </w:r>
            <w:r>
              <w:rPr>
                <w:rFonts w:hint="eastAsia" w:ascii="Times New Roman" w:hAnsi="Times New Roman" w:cs="Times New Roman"/>
                <w:kern w:val="0"/>
                <w:sz w:val="18"/>
                <w:szCs w:val="18"/>
                <w:highlight w:val="none"/>
                <w:lang w:val="en-US" w:eastAsia="zh-CN"/>
              </w:rPr>
              <w:t>的订单</w:t>
            </w:r>
            <w:r>
              <w:rPr>
                <w:rFonts w:hint="eastAsia" w:cs="Times New Roman"/>
                <w:kern w:val="0"/>
                <w:sz w:val="18"/>
                <w:szCs w:val="18"/>
                <w:highlight w:val="none"/>
                <w:lang w:val="en-US" w:eastAsia="zh-CN"/>
              </w:rPr>
              <w:t>数据；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pPr>
              <w:spacing w:line="240" w:lineRule="atLeast"/>
              <w:ind w:firstLine="0" w:firstLineChars="0"/>
              <w:rPr>
                <w:rFonts w:ascii="Times New Roman" w:hAnsi="Times New Roman" w:cs="Times New Roman"/>
                <w:kern w:val="0"/>
                <w:sz w:val="18"/>
                <w:szCs w:val="18"/>
                <w:highlight w:val="none"/>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ascii="Times New Roman" w:hAnsi="Times New Roman" w:cs="Times New Roman"/>
                <w:kern w:val="0"/>
                <w:sz w:val="18"/>
                <w:szCs w:val="18"/>
                <w:highlight w:val="none"/>
              </w:rPr>
              <w:t>减排量</w:t>
            </w:r>
            <w:r>
              <w:rPr>
                <w:rFonts w:ascii="Times New Roman" w:hAnsi="Times New Roman" w:cs="Times New Roman"/>
                <w:i/>
                <w:iCs/>
                <w:kern w:val="0"/>
                <w:sz w:val="18"/>
                <w:szCs w:val="18"/>
                <w:highlight w:val="none"/>
              </w:rPr>
              <w:t>ER</w:t>
            </w:r>
            <w:r>
              <w:rPr>
                <w:rFonts w:ascii="Times New Roman" w:hAnsi="Times New Roman" w:cs="Times New Roman"/>
                <w:i/>
                <w:iCs/>
                <w:kern w:val="0"/>
                <w:sz w:val="18"/>
                <w:szCs w:val="18"/>
                <w:highlight w:val="none"/>
                <w:vertAlign w:val="subscript"/>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备注</w:t>
            </w:r>
          </w:p>
        </w:tc>
        <w:tc>
          <w:tcPr>
            <w:tcW w:w="4237" w:type="pct"/>
            <w:shd w:val="clear" w:color="auto" w:fill="auto"/>
            <w:vAlign w:val="center"/>
          </w:tcPr>
          <w:p>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表4</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BE</w:t>
      </w:r>
      <w:r>
        <w:rPr>
          <w:rFonts w:hint="eastAsia" w:ascii="Times New Roman" w:hAnsi="Times New Roman" w:eastAsia="黑体" w:cs="Times New Roman"/>
          <w:i/>
          <w:iCs/>
          <w:color w:val="000000" w:themeColor="text1"/>
          <w:highlight w:val="none"/>
          <w:vertAlign w:val="subscript"/>
          <w:lang w:val="en-US" w:eastAsia="zh-CN"/>
          <w14:textFill>
            <w14:solidFill>
              <w14:schemeClr w14:val="tx1"/>
            </w14:solidFill>
          </w14:textFill>
        </w:rPr>
        <w:t>x</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rPr>
                <w:rFonts w:ascii="Times New Roman" w:hAnsi="Times New Roman" w:cs="Times New Roman"/>
                <w:i/>
                <w:iCs/>
                <w:kern w:val="0"/>
                <w:sz w:val="18"/>
                <w:szCs w:val="18"/>
                <w:highlight w:val="none"/>
              </w:rPr>
            </w:pPr>
            <w:r>
              <w:rPr>
                <w:rFonts w:ascii="Times New Roman" w:hAnsi="Times New Roman" w:cs="Times New Roman"/>
                <w:i/>
                <w:iCs/>
                <w:kern w:val="0"/>
                <w:sz w:val="18"/>
                <w:szCs w:val="18"/>
                <w:highlight w:val="none"/>
              </w:rPr>
              <w:t>BE</w:t>
            </w:r>
            <w:r>
              <w:rPr>
                <w:rFonts w:ascii="Times New Roman" w:hAnsi="Times New Roman" w:cs="Times New Roman"/>
                <w:i/>
                <w:iCs/>
                <w:kern w:val="0"/>
                <w:sz w:val="18"/>
                <w:szCs w:val="18"/>
                <w:highlight w:val="none"/>
                <w:vertAlign w:val="subscript"/>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pPr>
              <w:spacing w:line="240" w:lineRule="atLeast"/>
              <w:ind w:firstLine="0" w:firstLineChars="0"/>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kg</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cs="Times New Roman"/>
                <w:kern w:val="0"/>
                <w:sz w:val="18"/>
                <w:szCs w:val="18"/>
                <w:highlight w:val="none"/>
                <w:vertAlign w:val="baseline"/>
                <w:lang w:val="en-US" w:eastAsia="zh-CN"/>
              </w:rPr>
              <w:t>/（件/台/部）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pPr>
              <w:spacing w:line="240" w:lineRule="atLeast"/>
              <w:ind w:firstLine="0" w:firstLineChars="0"/>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rPr>
              <w:t>基准</w:t>
            </w:r>
            <w:r>
              <w:rPr>
                <w:rFonts w:ascii="Times New Roman" w:hAnsi="Times New Roman" w:cs="Times New Roman"/>
                <w:kern w:val="0"/>
                <w:sz w:val="18"/>
                <w:szCs w:val="18"/>
                <w:highlight w:val="none"/>
              </w:rPr>
              <w:t>线</w:t>
            </w:r>
            <w:r>
              <w:rPr>
                <w:rFonts w:hint="eastAsia" w:cs="Times New Roman"/>
                <w:kern w:val="0"/>
                <w:sz w:val="18"/>
                <w:szCs w:val="18"/>
                <w:highlight w:val="none"/>
                <w:lang w:val="en-US" w:eastAsia="zh-CN"/>
              </w:rPr>
              <w:t>情景碳</w:t>
            </w:r>
            <w:r>
              <w:rPr>
                <w:rFonts w:ascii="Times New Roman" w:hAnsi="Times New Roman" w:cs="Times New Roman"/>
                <w:kern w:val="0"/>
                <w:sz w:val="18"/>
                <w:szCs w:val="18"/>
                <w:highlight w:val="none"/>
              </w:rPr>
              <w:t>排放量</w:t>
            </w:r>
            <w:r>
              <w:rPr>
                <w:rFonts w:hint="eastAsia" w:cs="Times New Roman"/>
                <w:kern w:val="0"/>
                <w:sz w:val="18"/>
                <w:szCs w:val="18"/>
                <w:highlight w:val="none"/>
                <w:lang w:eastAsia="zh-CN"/>
              </w:rPr>
              <w:t>，</w:t>
            </w:r>
            <w:r>
              <w:rPr>
                <w:rFonts w:hint="eastAsia" w:cs="Times New Roman"/>
                <w:kern w:val="0"/>
                <w:sz w:val="18"/>
                <w:szCs w:val="18"/>
                <w:highlight w:val="none"/>
                <w:lang w:val="en-US" w:eastAsia="zh-CN"/>
              </w:rPr>
              <w:t>即</w:t>
            </w:r>
            <w:r>
              <w:rPr>
                <w:rFonts w:ascii="Times New Roman" w:hAnsi="Times New Roman" w:cs="Times New Roman"/>
                <w:kern w:val="0"/>
                <w:sz w:val="18"/>
                <w:szCs w:val="18"/>
                <w:highlight w:val="none"/>
              </w:rPr>
              <w:t>对于某次二手</w:t>
            </w:r>
            <w:r>
              <w:rPr>
                <w:rFonts w:hint="eastAsia" w:ascii="Times New Roman" w:hAnsi="Times New Roman" w:cs="Times New Roman"/>
                <w:kern w:val="0"/>
                <w:sz w:val="18"/>
                <w:szCs w:val="18"/>
                <w:highlight w:val="none"/>
                <w:lang w:val="en-US" w:eastAsia="zh-CN"/>
              </w:rPr>
              <w:t>物品</w:t>
            </w:r>
            <w:r>
              <w:rPr>
                <w:rFonts w:ascii="Times New Roman" w:hAnsi="Times New Roman" w:cs="Times New Roman"/>
                <w:kern w:val="0"/>
                <w:sz w:val="18"/>
                <w:szCs w:val="18"/>
                <w:highlight w:val="none"/>
              </w:rPr>
              <w:t>交易，</w:t>
            </w:r>
            <w:r>
              <w:rPr>
                <w:rFonts w:hint="eastAsia" w:cs="Times New Roman"/>
                <w:kern w:val="0"/>
                <w:sz w:val="18"/>
                <w:szCs w:val="18"/>
                <w:highlight w:val="none"/>
                <w:lang w:val="en-US" w:eastAsia="zh-CN"/>
              </w:rPr>
              <w:t>与二手物品</w:t>
            </w:r>
            <w:r>
              <w:rPr>
                <w:rFonts w:hint="eastAsia" w:ascii="Times New Roman" w:hAnsi="Times New Roman" w:cs="Times New Roman"/>
                <w:kern w:val="0"/>
                <w:sz w:val="18"/>
                <w:szCs w:val="18"/>
                <w:highlight w:val="none"/>
                <w:lang w:val="en-US" w:eastAsia="zh-CN"/>
              </w:rPr>
              <w:t>同类型、功能属性相近的</w:t>
            </w:r>
            <w:r>
              <w:rPr>
                <w:rFonts w:ascii="Times New Roman" w:hAnsi="Times New Roman" w:cs="Times New Roman"/>
                <w:kern w:val="0"/>
                <w:sz w:val="18"/>
                <w:szCs w:val="18"/>
                <w:highlight w:val="none"/>
              </w:rPr>
              <w:t>全新</w:t>
            </w:r>
            <w:r>
              <w:rPr>
                <w:rFonts w:hint="eastAsia" w:ascii="Times New Roman" w:hAnsi="Times New Roman" w:cs="Times New Roman"/>
                <w:kern w:val="0"/>
                <w:sz w:val="18"/>
                <w:szCs w:val="18"/>
                <w:highlight w:val="none"/>
                <w:lang w:val="en-US" w:eastAsia="zh-CN"/>
              </w:rPr>
              <w:t>物品</w:t>
            </w:r>
            <w:r>
              <w:rPr>
                <w:rFonts w:hint="eastAsia" w:cs="Times New Roman"/>
                <w:kern w:val="0"/>
                <w:sz w:val="18"/>
                <w:szCs w:val="18"/>
                <w:highlight w:val="none"/>
                <w:lang w:val="en-US" w:eastAsia="zh-CN"/>
              </w:rPr>
              <w:t>生产所产生</w:t>
            </w:r>
            <w:r>
              <w:rPr>
                <w:rFonts w:ascii="Times New Roman" w:hAnsi="Times New Roman" w:cs="Times New Roman"/>
                <w:kern w:val="0"/>
                <w:sz w:val="18"/>
                <w:szCs w:val="18"/>
                <w:highlight w:val="none"/>
              </w:rPr>
              <w:t>的</w:t>
            </w:r>
            <w:r>
              <w:rPr>
                <w:rFonts w:hint="eastAsia" w:cs="Times New Roman"/>
                <w:kern w:val="0"/>
                <w:sz w:val="18"/>
                <w:szCs w:val="18"/>
                <w:highlight w:val="none"/>
                <w:lang w:val="en-US" w:eastAsia="zh-CN"/>
              </w:rPr>
              <w:t>碳</w:t>
            </w:r>
            <w:r>
              <w:rPr>
                <w:rFonts w:ascii="Times New Roman" w:hAnsi="Times New Roman" w:cs="Times New Roman"/>
                <w:kern w:val="0"/>
                <w:sz w:val="18"/>
                <w:szCs w:val="18"/>
                <w:highlight w:val="none"/>
              </w:rPr>
              <w:t>排放量</w:t>
            </w:r>
            <w:r>
              <w:rPr>
                <w:rFonts w:hint="eastAsia" w:cs="Times New Roman"/>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pPr>
              <w:spacing w:line="240" w:lineRule="atLeast"/>
              <w:ind w:firstLine="0" w:firstLineChars="0"/>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rPr>
              <w:t>按照以下优先次序选取来源：</w:t>
            </w:r>
          </w:p>
          <w:p>
            <w:pPr>
              <w:spacing w:line="240" w:lineRule="atLeast"/>
              <w:ind w:firstLine="0" w:firstLineChars="0"/>
              <w:rPr>
                <w:rFonts w:hint="eastAsia" w:ascii="Times New Roman" w:hAnsi="Times New Roman" w:cs="Times New Roman"/>
                <w:kern w:val="0"/>
                <w:sz w:val="18"/>
                <w:szCs w:val="18"/>
                <w:highlight w:val="none"/>
                <w:lang w:eastAsia="zh-CN"/>
              </w:rPr>
            </w:pPr>
            <w:r>
              <w:rPr>
                <w:rFonts w:hint="eastAsia" w:ascii="Times New Roman" w:hAnsi="Times New Roman" w:cs="Times New Roman"/>
                <w:kern w:val="0"/>
                <w:sz w:val="18"/>
                <w:szCs w:val="18"/>
                <w:highlight w:val="none"/>
                <w:lang w:val="en-US" w:eastAsia="zh-CN"/>
              </w:rPr>
              <w:t>1.物品</w:t>
            </w:r>
            <w:r>
              <w:rPr>
                <w:rFonts w:hint="eastAsia" w:ascii="Times New Roman" w:hAnsi="Times New Roman" w:cs="Times New Roman"/>
                <w:kern w:val="0"/>
                <w:sz w:val="18"/>
                <w:szCs w:val="18"/>
                <w:highlight w:val="none"/>
              </w:rPr>
              <w:t>生产企业的年报、环境发展报告和可持续发展报告等披露信息中数据</w:t>
            </w:r>
            <w:r>
              <w:rPr>
                <w:rFonts w:hint="eastAsia" w:ascii="Times New Roman" w:hAnsi="Times New Roman" w:cs="Times New Roman"/>
                <w:kern w:val="0"/>
                <w:sz w:val="18"/>
                <w:szCs w:val="18"/>
                <w:highlight w:val="none"/>
                <w:lang w:eastAsia="zh-CN"/>
              </w:rPr>
              <w:t>；</w:t>
            </w:r>
          </w:p>
          <w:p>
            <w:pPr>
              <w:spacing w:line="240" w:lineRule="atLeast"/>
              <w:ind w:firstLine="0" w:firstLineChars="0"/>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ascii="Times New Roman" w:hAnsi="Times New Roman" w:cs="Times New Roman"/>
                <w:kern w:val="0"/>
                <w:sz w:val="18"/>
                <w:szCs w:val="18"/>
                <w:highlight w:val="none"/>
              </w:rPr>
              <w:t>减排量</w:t>
            </w:r>
            <w:r>
              <w:rPr>
                <w:rFonts w:ascii="Times New Roman" w:hAnsi="Times New Roman" w:cs="Times New Roman"/>
                <w:i/>
                <w:iCs/>
                <w:kern w:val="0"/>
                <w:sz w:val="18"/>
                <w:szCs w:val="18"/>
                <w:highlight w:val="none"/>
              </w:rPr>
              <w:t>ER</w:t>
            </w:r>
            <w:r>
              <w:rPr>
                <w:rFonts w:ascii="Times New Roman" w:hAnsi="Times New Roman" w:cs="Times New Roman"/>
                <w:i/>
                <w:iCs/>
                <w:kern w:val="0"/>
                <w:sz w:val="18"/>
                <w:szCs w:val="18"/>
                <w:highlight w:val="none"/>
                <w:vertAlign w:val="subscript"/>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备注</w:t>
            </w:r>
          </w:p>
        </w:tc>
        <w:tc>
          <w:tcPr>
            <w:tcW w:w="4237" w:type="pct"/>
            <w:shd w:val="clear" w:color="auto" w:fill="auto"/>
            <w:vAlign w:val="center"/>
          </w:tcPr>
          <w:p>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w:t>
            </w:r>
          </w:p>
        </w:tc>
      </w:tr>
    </w:tbl>
    <w:p>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96" w:name="_Toc29909"/>
      <w:r>
        <w:rPr>
          <w:rFonts w:hint="eastAsia" w:ascii="Times New Roman" w:hAnsi="Times New Roman"/>
          <w:color w:val="000000" w:themeColor="text1"/>
          <w:highlight w:val="none"/>
          <w:lang w:val="en-US" w:eastAsia="zh-CN"/>
          <w14:textFill>
            <w14:solidFill>
              <w14:schemeClr w14:val="tx1"/>
            </w14:solidFill>
          </w14:textFill>
        </w:rPr>
        <w:t xml:space="preserve">7.3 </w:t>
      </w:r>
      <w:r>
        <w:rPr>
          <w:rFonts w:hint="eastAsia" w:ascii="Times New Roman" w:hAnsi="Times New Roman"/>
          <w:color w:val="000000" w:themeColor="text1"/>
          <w:highlight w:val="none"/>
          <w14:textFill>
            <w14:solidFill>
              <w14:schemeClr w14:val="tx1"/>
            </w14:solidFill>
          </w14:textFill>
        </w:rPr>
        <w:t>实施及监测的数据管理要求</w:t>
      </w:r>
      <w:bookmarkEnd w:id="94"/>
      <w:bookmarkEnd w:id="95"/>
      <w:bookmarkEnd w:id="96"/>
    </w:p>
    <w:p>
      <w:pPr>
        <w:pStyle w:val="24"/>
        <w:ind w:firstLine="420"/>
        <w:rPr>
          <w:rFonts w:ascii="Times New Roman" w:cs="Times New Roman"/>
          <w:color w:val="000000" w:themeColor="text1"/>
          <w:highlight w:val="none"/>
          <w14:textFill>
            <w14:solidFill>
              <w14:schemeClr w14:val="tx1"/>
            </w14:solidFill>
          </w14:textFill>
        </w:rPr>
      </w:pPr>
      <w:bookmarkStart w:id="97" w:name="_Toc175936574"/>
      <w:bookmarkStart w:id="98" w:name="OLE_LINK10"/>
      <w:bookmarkStart w:id="99" w:name="_Toc8682"/>
      <w:bookmarkStart w:id="100" w:name="_Toc23346"/>
      <w:bookmarkStart w:id="101" w:name="_Toc164770410"/>
      <w:bookmarkStart w:id="102" w:name="_Toc17397"/>
      <w:bookmarkStart w:id="103" w:name="_Toc172906190"/>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1）与本方法学对应的碳普惠行为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应当遵守相关法律法规，保护</w:t>
      </w:r>
      <w:r>
        <w:rPr>
          <w:rFonts w:hint="eastAsia" w:ascii="Times New Roman" w:cs="Times New Roman"/>
          <w:color w:val="000000" w:themeColor="text1"/>
          <w:highlight w:val="none"/>
          <w:lang w:val="en-US" w:eastAsia="zh-CN"/>
          <w14:textFill>
            <w14:solidFill>
              <w14:schemeClr w14:val="tx1"/>
            </w14:solidFill>
          </w14:textFill>
        </w:rPr>
        <w:t>用户</w:t>
      </w:r>
      <w:r>
        <w:rPr>
          <w:rFonts w:hint="eastAsia" w:ascii="Times New Roman" w:cs="Times New Roman"/>
          <w:color w:val="000000" w:themeColor="text1"/>
          <w:highlight w:val="none"/>
          <w14:textFill>
            <w14:solidFill>
              <w14:schemeClr w14:val="tx1"/>
            </w14:solidFill>
          </w14:textFill>
        </w:rPr>
        <w:t>隐私，在用户授权允许的前提下，合法收集、使用、加工</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传输用户的碳普惠行为数据</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并切实保护用户隐私与信息安全。</w:t>
      </w:r>
    </w:p>
    <w:p>
      <w:pPr>
        <w:pStyle w:val="24"/>
        <w:ind w:firstLine="420"/>
        <w:rPr>
          <w:rFonts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2）碳普惠行为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应对碳普惠行为</w:t>
      </w:r>
      <w:r>
        <w:rPr>
          <w:rFonts w:hint="eastAsia" w:ascii="Times New Roman" w:cs="Times New Roman"/>
          <w:color w:val="000000" w:themeColor="text1"/>
          <w:highlight w:val="none"/>
          <w:lang w:val="en-US" w:eastAsia="zh-CN"/>
          <w14:textFill>
            <w14:solidFill>
              <w14:schemeClr w14:val="tx1"/>
            </w14:solidFill>
          </w14:textFill>
        </w:rPr>
        <w:t>数据</w:t>
      </w:r>
      <w:r>
        <w:rPr>
          <w:rFonts w:hint="eastAsia" w:ascii="Times New Roman" w:cs="Times New Roman"/>
          <w:color w:val="000000" w:themeColor="text1"/>
          <w:highlight w:val="none"/>
          <w14:textFill>
            <w14:solidFill>
              <w14:schemeClr w14:val="tx1"/>
            </w14:solidFill>
          </w14:textFill>
        </w:rPr>
        <w:t>分用户、分订单记录与储存，并确保数据具备真实</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、唯一</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、可追溯</w:t>
      </w:r>
      <w:r>
        <w:rPr>
          <w:rFonts w:hint="eastAsia" w:ascii="Times New Roman" w:cs="Times New Roman"/>
          <w:color w:val="000000" w:themeColor="text1"/>
          <w:highlight w:val="none"/>
          <w:lang w:val="en-US" w:eastAsia="zh-CN"/>
          <w14:textFill>
            <w14:solidFill>
              <w14:schemeClr w14:val="tx1"/>
            </w14:solidFill>
          </w14:textFill>
        </w:rPr>
        <w:t>性与</w:t>
      </w:r>
      <w:r>
        <w:rPr>
          <w:rFonts w:hint="eastAsia" w:ascii="Times New Roman" w:cs="Times New Roman"/>
          <w:color w:val="000000" w:themeColor="text1"/>
          <w:highlight w:val="none"/>
          <w14:textFill>
            <w14:solidFill>
              <w14:schemeClr w14:val="tx1"/>
            </w14:solidFill>
          </w14:textFill>
        </w:rPr>
        <w:t>不可篡改性。</w:t>
      </w:r>
    </w:p>
    <w:p>
      <w:pPr>
        <w:pStyle w:val="24"/>
        <w:ind w:firstLine="420"/>
        <w:rPr>
          <w:rFonts w:hint="eastAsia"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3</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14:textFill>
            <w14:solidFill>
              <w14:schemeClr w14:val="tx1"/>
            </w14:solidFill>
          </w14:textFill>
        </w:rPr>
        <w:t>数据来源平台应与碳普惠平台建立安全、稳定的标准化数据接口，确保</w:t>
      </w:r>
      <w:r>
        <w:rPr>
          <w:rFonts w:hint="eastAsia" w:ascii="Times New Roman" w:cs="Times New Roman"/>
          <w:color w:val="000000" w:themeColor="text1"/>
          <w:highlight w:val="none"/>
          <w:lang w:val="en-US" w:eastAsia="zh-CN"/>
          <w14:textFill>
            <w14:solidFill>
              <w14:schemeClr w14:val="tx1"/>
            </w14:solidFill>
          </w14:textFill>
        </w:rPr>
        <w:t>碳普惠</w:t>
      </w:r>
      <w:r>
        <w:rPr>
          <w:rFonts w:hint="eastAsia" w:ascii="Times New Roman" w:cs="Times New Roman"/>
          <w:color w:val="000000" w:themeColor="text1"/>
          <w:highlight w:val="none"/>
          <w14:textFill>
            <w14:solidFill>
              <w14:schemeClr w14:val="tx1"/>
            </w14:solidFill>
          </w14:textFill>
        </w:rPr>
        <w:t>行为数据能够准确、完整</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及时地同步至碳普惠平台。双方平台需共同制定并执行数据校验规则，以保障数据在传输与核算过程中的一致性。</w:t>
      </w:r>
    </w:p>
    <w:p>
      <w:pPr>
        <w:pStyle w:val="24"/>
        <w:ind w:firstLine="420"/>
        <w:rPr>
          <w:rFonts w:hint="eastAsia" w:ascii="Times New Roman" w:cs="Times New Roman"/>
          <w:color w:val="000000" w:themeColor="text1"/>
          <w:highlight w:val="none"/>
          <w:lang w:eastAsia="zh"/>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4</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及碳普惠平台应对所有监测数据进行存档、备份，保存期限自减排量</w:t>
      </w:r>
      <w:r>
        <w:rPr>
          <w:rFonts w:hint="eastAsia" w:ascii="Times New Roman" w:cs="Times New Roman"/>
          <w:color w:val="000000" w:themeColor="text1"/>
          <w:highlight w:val="none"/>
          <w:lang w:eastAsia="zh-CN"/>
          <w14:textFill>
            <w14:solidFill>
              <w14:schemeClr w14:val="tx1"/>
            </w14:solidFill>
          </w14:textFill>
        </w:rPr>
        <w:t>核算</w:t>
      </w:r>
      <w:r>
        <w:rPr>
          <w:rFonts w:hint="eastAsia" w:ascii="Times New Roman" w:cs="Times New Roman"/>
          <w:color w:val="000000" w:themeColor="text1"/>
          <w:highlight w:val="none"/>
          <w14:textFill>
            <w14:solidFill>
              <w14:schemeClr w14:val="tx1"/>
            </w14:solidFill>
          </w14:textFill>
        </w:rPr>
        <w:t>之日起不少于3年。除法律、行政法规等另有规定外，未经用户同意，</w:t>
      </w:r>
      <w:r>
        <w:rPr>
          <w:rFonts w:hint="eastAsia" w:ascii="Times New Roman" w:cs="Times New Roman"/>
          <w:color w:val="000000" w:themeColor="text1"/>
          <w:highlight w:val="none"/>
          <w:lang w:val="en-US" w:eastAsia="zh-CN"/>
          <w14:textFill>
            <w14:solidFill>
              <w14:schemeClr w14:val="tx1"/>
            </w14:solidFill>
          </w14:textFill>
        </w:rPr>
        <w:t>任何一方</w:t>
      </w:r>
      <w:r>
        <w:rPr>
          <w:rFonts w:hint="eastAsia" w:ascii="Times New Roman" w:cs="Times New Roman"/>
          <w:color w:val="000000" w:themeColor="text1"/>
          <w:highlight w:val="none"/>
          <w14:textFill>
            <w14:solidFill>
              <w14:schemeClr w14:val="tx1"/>
            </w14:solidFill>
          </w14:textFill>
        </w:rPr>
        <w:t>不得将数据提供给第三方</w:t>
      </w:r>
      <w:r>
        <w:rPr>
          <w:rFonts w:hint="eastAsia" w:ascii="Times New Roman" w:cs="Times New Roman"/>
          <w:color w:val="000000" w:themeColor="text1"/>
          <w:highlight w:val="none"/>
          <w:lang w:eastAsia="zh"/>
          <w14:textFill>
            <w14:solidFill>
              <w14:schemeClr w14:val="tx1"/>
            </w14:solidFill>
          </w14:textFill>
        </w:rPr>
        <w:t>。</w:t>
      </w:r>
    </w:p>
    <w:bookmarkEnd w:id="97"/>
    <w:bookmarkEnd w:id="98"/>
    <w:bookmarkEnd w:id="99"/>
    <w:bookmarkEnd w:id="100"/>
    <w:bookmarkEnd w:id="101"/>
    <w:p>
      <w:pPr>
        <w:pStyle w:val="3"/>
        <w:spacing w:before="312" w:after="312"/>
        <w:rPr>
          <w:rFonts w:hint="eastAsia"/>
          <w:highlight w:val="none"/>
        </w:rPr>
      </w:pPr>
      <w:bookmarkStart w:id="104" w:name="_Toc22587"/>
      <w:r>
        <w:rPr>
          <w:rFonts w:hint="eastAsia"/>
          <w:highlight w:val="none"/>
        </w:rPr>
        <w:t>8 方法学</w:t>
      </w:r>
      <w:bookmarkEnd w:id="102"/>
      <w:r>
        <w:rPr>
          <w:rFonts w:hint="eastAsia"/>
          <w:highlight w:val="none"/>
        </w:rPr>
        <w:t>编制单位</w:t>
      </w:r>
      <w:bookmarkEnd w:id="103"/>
      <w:bookmarkEnd w:id="104"/>
    </w:p>
    <w:p>
      <w:pPr>
        <w:pStyle w:val="24"/>
        <w:ind w:firstLine="420"/>
        <w:rPr>
          <w:rFonts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pPr>
        <w:rPr>
          <w:rFonts w:ascii="Times New Roman" w:hAnsi="Times New Roman" w:cs="Times New Roman"/>
          <w:color w:val="000000" w:themeColor="text1"/>
          <w:kern w:val="0"/>
          <w:highlight w:val="none"/>
          <w14:textFill>
            <w14:solidFill>
              <w14:schemeClr w14:val="tx1"/>
            </w14:solidFill>
          </w14:textFill>
        </w:rPr>
        <w:sectPr>
          <w:footerReference r:id="rId13" w:type="default"/>
          <w:footnotePr>
            <w:numRestart w:val="eachSect"/>
          </w:footnotePr>
          <w:pgSz w:w="11906" w:h="16838"/>
          <w:pgMar w:top="1440" w:right="1800" w:bottom="1440" w:left="1800" w:header="851" w:footer="992" w:gutter="0"/>
          <w:pgNumType w:start="1"/>
          <w:cols w:space="425" w:num="1"/>
          <w:docGrid w:type="lines" w:linePitch="312" w:charSpace="0"/>
        </w:sectPr>
      </w:pPr>
    </w:p>
    <w:p>
      <w:pPr>
        <w:pStyle w:val="3"/>
        <w:spacing w:before="312" w:after="312"/>
        <w:rPr>
          <w:rFonts w:ascii="Times New Roman" w:hAnsi="Times New Roman"/>
          <w:highlight w:val="none"/>
        </w:rPr>
      </w:pPr>
      <w:bookmarkStart w:id="105" w:name="_Toc164770424"/>
      <w:bookmarkStart w:id="106" w:name="_Toc172906192"/>
      <w:bookmarkStart w:id="107" w:name="_Toc10281"/>
      <w:bookmarkStart w:id="108" w:name="_Toc14775"/>
      <w:r>
        <w:rPr>
          <w:rFonts w:hint="eastAsia" w:ascii="Times New Roman" w:hAnsi="Times New Roman"/>
          <w:highlight w:val="none"/>
        </w:rPr>
        <w:t>附录</w:t>
      </w:r>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156" w:beforeLines="50" w:after="156" w:afterLines="50"/>
        <w:ind w:firstLine="0" w:firstLineChars="0"/>
        <w:jc w:val="center"/>
        <w:textAlignment w:val="auto"/>
        <w:rPr>
          <w:rFonts w:hint="eastAsia" w:eastAsia="黑体" w:cs="黑体"/>
          <w:highlight w:val="none"/>
          <w:lang w:val="en-US" w:eastAsia="zh-CN"/>
        </w:rPr>
      </w:pPr>
      <w:r>
        <w:rPr>
          <w:rFonts w:hint="eastAsia" w:eastAsia="黑体" w:cs="黑体"/>
          <w:highlight w:val="none"/>
          <w:lang w:val="en-US" w:eastAsia="zh-CN"/>
        </w:rPr>
        <w:t>附表1</w:t>
      </w:r>
      <w:r>
        <w:rPr>
          <w:rFonts w:hint="eastAsia" w:ascii="Times New Roman" w:hAnsi="Times New Roman" w:eastAsia="黑体" w:cs="黑体"/>
          <w:highlight w:val="none"/>
        </w:rPr>
        <w:t xml:space="preserve"> </w:t>
      </w:r>
      <w:r>
        <w:rPr>
          <w:rFonts w:hint="eastAsia" w:ascii="Times New Roman" w:hAnsi="Times New Roman" w:eastAsia="黑体" w:cs="黑体"/>
          <w:highlight w:val="none"/>
          <w:lang w:val="en-US" w:eastAsia="zh-CN"/>
        </w:rPr>
        <w:t>常见物品生产过程碳排放</w:t>
      </w:r>
      <w:r>
        <w:rPr>
          <w:rFonts w:hint="eastAsia" w:eastAsia="黑体" w:cs="黑体"/>
          <w:highlight w:val="none"/>
          <w:lang w:val="en-US" w:eastAsia="zh-CN"/>
        </w:rPr>
        <w:t>量缺省值表</w:t>
      </w:r>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1"/>
        <w:gridCol w:w="2849"/>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kern w:val="0"/>
                <w:sz w:val="18"/>
                <w:szCs w:val="18"/>
                <w:highlight w:val="none"/>
                <w:lang w:val="en-US" w:eastAsia="zh-CN"/>
              </w:rPr>
            </w:pPr>
            <w:r>
              <w:rPr>
                <w:rFonts w:hint="eastAsia" w:ascii="Times New Roman" w:hAnsi="Times New Roman" w:cs="Times New Roman"/>
                <w:b/>
                <w:bCs/>
                <w:kern w:val="0"/>
                <w:sz w:val="18"/>
                <w:szCs w:val="18"/>
                <w:highlight w:val="none"/>
                <w:lang w:val="en-US" w:eastAsia="zh-CN"/>
              </w:rPr>
              <w:t>品类</w:t>
            </w: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kern w:val="0"/>
                <w:sz w:val="18"/>
                <w:szCs w:val="18"/>
                <w:highlight w:val="none"/>
                <w:lang w:val="en-US" w:eastAsia="zh-CN"/>
              </w:rPr>
            </w:pPr>
            <w:r>
              <w:rPr>
                <w:rFonts w:hint="eastAsia" w:ascii="Times New Roman" w:hAnsi="Times New Roman" w:cs="Times New Roman"/>
                <w:b/>
                <w:bCs/>
                <w:kern w:val="0"/>
                <w:sz w:val="18"/>
                <w:szCs w:val="18"/>
                <w:highlight w:val="none"/>
                <w:lang w:val="en-US" w:eastAsia="zh-CN"/>
              </w:rPr>
              <w:t>名称</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cs="Times New Roman"/>
                <w:b/>
                <w:bCs/>
                <w:kern w:val="0"/>
                <w:sz w:val="18"/>
                <w:szCs w:val="18"/>
                <w:highlight w:val="none"/>
                <w:lang w:val="en-US" w:eastAsia="zh-CN"/>
              </w:rPr>
            </w:pPr>
            <w:r>
              <w:rPr>
                <w:rFonts w:hint="eastAsia" w:cs="Times New Roman"/>
                <w:b/>
                <w:bCs/>
                <w:kern w:val="0"/>
                <w:sz w:val="18"/>
                <w:szCs w:val="18"/>
                <w:highlight w:val="none"/>
                <w:lang w:val="en-US" w:eastAsia="zh-CN"/>
              </w:rPr>
              <w:t>碳排放量缺省值</w:t>
            </w:r>
          </w:p>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kern w:val="0"/>
                <w:sz w:val="18"/>
                <w:szCs w:val="18"/>
                <w:highlight w:val="none"/>
                <w:lang w:val="en-US" w:eastAsia="zh-CN"/>
              </w:rPr>
            </w:pPr>
            <w:r>
              <w:rPr>
                <w:rFonts w:hint="eastAsia" w:ascii="Times New Roman" w:hAnsi="Times New Roman" w:cs="Times New Roman"/>
                <w:b/>
                <w:bCs/>
                <w:kern w:val="0"/>
                <w:sz w:val="18"/>
                <w:szCs w:val="18"/>
                <w:highlight w:val="none"/>
                <w:lang w:val="en-US" w:eastAsia="zh-CN"/>
              </w:rPr>
              <w:t>kgCO</w:t>
            </w:r>
            <w:r>
              <w:rPr>
                <w:rFonts w:hint="eastAsia" w:ascii="Times New Roman" w:hAnsi="Times New Roman" w:cs="Times New Roman"/>
                <w:b/>
                <w:bCs/>
                <w:kern w:val="0"/>
                <w:sz w:val="18"/>
                <w:szCs w:val="18"/>
                <w:highlight w:val="none"/>
                <w:vertAlign w:val="subscript"/>
                <w:lang w:val="en-US" w:eastAsia="zh-CN"/>
              </w:rPr>
              <w:t>2</w:t>
            </w:r>
            <w:r>
              <w:rPr>
                <w:rFonts w:hint="eastAsia" w:ascii="Times New Roman" w:hAnsi="Times New Roman" w:cs="Times New Roman"/>
                <w:b/>
                <w:bCs/>
                <w:kern w:val="0"/>
                <w:sz w:val="18"/>
                <w:szCs w:val="18"/>
                <w:highlight w:val="none"/>
                <w:lang w:val="en-US" w:eastAsia="zh-CN"/>
              </w:rPr>
              <w:t>/</w:t>
            </w:r>
            <w:r>
              <w:rPr>
                <w:rFonts w:hint="eastAsia" w:cs="Times New Roman"/>
                <w:b/>
                <w:bCs/>
                <w:kern w:val="0"/>
                <w:sz w:val="18"/>
                <w:szCs w:val="18"/>
                <w:highlight w:val="none"/>
                <w:lang w:val="en-US" w:eastAsia="zh-CN"/>
              </w:rPr>
              <w:t>（</w:t>
            </w:r>
            <w:r>
              <w:rPr>
                <w:rFonts w:hint="eastAsia" w:ascii="Times New Roman" w:hAnsi="Times New Roman" w:cs="Times New Roman"/>
                <w:b/>
                <w:bCs/>
                <w:kern w:val="0"/>
                <w:sz w:val="18"/>
                <w:szCs w:val="18"/>
                <w:highlight w:val="none"/>
                <w:lang w:val="en-US" w:eastAsia="zh-CN"/>
              </w:rPr>
              <w:t>件</w:t>
            </w:r>
            <w:r>
              <w:rPr>
                <w:rFonts w:hint="eastAsia" w:cs="Times New Roman"/>
                <w:b/>
                <w:bCs/>
                <w:kern w:val="0"/>
                <w:sz w:val="18"/>
                <w:szCs w:val="18"/>
                <w:highlight w:val="none"/>
                <w:lang w:val="en-US" w:eastAsia="zh-CN"/>
              </w:rPr>
              <w:t>/台/部）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服装</w:t>
            </w:r>
            <w:r>
              <w:rPr>
                <w:rFonts w:hint="eastAsia" w:cs="Times New Roman"/>
                <w:kern w:val="0"/>
                <w:sz w:val="18"/>
                <w:szCs w:val="18"/>
                <w:highlight w:val="none"/>
                <w:lang w:val="en-US" w:eastAsia="zh-CN"/>
              </w:rPr>
              <w:t>产品</w:t>
            </w: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牛仔制品</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棉质服装</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棉质T恤</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莫代尔家居服</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4.34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夹克衫</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羽绒制品</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鞋</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帽子</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手套</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泳衣</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围巾</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领带</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其他服饰</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家用电器</w:t>
            </w: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空调</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滚筒洗衣机</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328.77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电冰箱</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166.79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微波炉</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热水器</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68.69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真空吸尘器</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电视机</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30.08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电水壶</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燃气灶</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电磁炉</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榨汁机</w:t>
            </w:r>
            <w:r>
              <w:rPr>
                <w:rFonts w:hint="default" w:ascii="Times New Roman" w:hAnsi="Times New Roman" w:cs="Times New Roman"/>
                <w:kern w:val="0"/>
                <w:sz w:val="18"/>
                <w:szCs w:val="18"/>
                <w:highlight w:val="none"/>
                <w:lang w:val="en-US" w:eastAsia="zh-CN"/>
              </w:rPr>
              <w:t>/</w:t>
            </w:r>
            <w:r>
              <w:rPr>
                <w:rFonts w:hint="eastAsia" w:ascii="Times New Roman" w:hAnsi="Times New Roman" w:cs="Times New Roman"/>
                <w:kern w:val="0"/>
                <w:sz w:val="18"/>
                <w:szCs w:val="18"/>
                <w:highlight w:val="none"/>
                <w:lang w:val="en-US" w:eastAsia="zh-CN"/>
              </w:rPr>
              <w:t>破壁机</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31.08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洗碗机</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豆浆机</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其他大型家电</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restar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3C产品</w:t>
            </w: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手机</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49.18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笔记本电脑</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448.44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平板电脑</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177.83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台式电脑</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830.77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交通产品</w:t>
            </w: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自行车或电动车</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图书</w:t>
            </w:r>
          </w:p>
        </w:tc>
        <w:tc>
          <w:tcPr>
            <w:tcW w:w="1672"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图书</w:t>
            </w:r>
          </w:p>
        </w:tc>
        <w:tc>
          <w:tcPr>
            <w:tcW w:w="166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0.3</w:t>
            </w:r>
          </w:p>
        </w:tc>
      </w:tr>
    </w:tbl>
    <w:p>
      <w:pPr>
        <w:ind w:firstLine="0" w:firstLineChars="0"/>
        <w:rPr>
          <w:rFonts w:ascii="Times New Roman" w:hAnsi="Times New Roman"/>
          <w:highlight w:val="none"/>
        </w:rPr>
      </w:pPr>
    </w:p>
    <w:sectPr>
      <w:footerReference r:id="rId14" w:type="default"/>
      <w:footnotePr>
        <w:numRestart w:val="eachSect"/>
      </w:foot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仿宋">
    <w:altName w:val="微软雅黑"/>
    <w:panose1 w:val="02010609060101010101"/>
    <w:charset w:val="86"/>
    <w:family w:val="auto"/>
    <w:pitch w:val="default"/>
    <w:sig w:usb0="00000000" w:usb1="00000000" w:usb2="00000016" w:usb3="00000000" w:csb0="00040001" w:csb1="00000000"/>
  </w:font>
  <w:font w:name="等线 Light">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icrosoft YaHei UI">
    <w:altName w:val="微软雅黑"/>
    <w:panose1 w:val="020B0503020204020204"/>
    <w:charset w:val="86"/>
    <w:family w:val="swiss"/>
    <w:pitch w:val="default"/>
    <w:sig w:usb0="00000000" w:usb1="00000000" w:usb2="00000016" w:usb3="00000000" w:csb0="0004001F" w:csb1="00000000"/>
  </w:font>
  <w:font w:name="Cambria">
    <w:altName w:val="Noto Sans Syriac Eastern"/>
    <w:panose1 w:val="02040503050406030204"/>
    <w:charset w:val="00"/>
    <w:family w:val="roman"/>
    <w:pitch w:val="default"/>
    <w:sig w:usb0="00000000" w:usb1="00000000" w:usb2="02000000" w:usb3="00000000" w:csb0="2000019F" w:csb1="00000000"/>
  </w:font>
  <w:font w:name="MS Mincho">
    <w:altName w:val="方正书宋_GBK"/>
    <w:panose1 w:val="02020609040205080304"/>
    <w:charset w:val="80"/>
    <w:family w:val="modern"/>
    <w:pitch w:val="default"/>
    <w:sig w:usb0="00000000" w:usb1="00000000"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keepNext w:val="0"/>
      <w:keepLines w:val="0"/>
      <w:pageBreakBefore w:val="0"/>
      <w:widowControl w:val="0"/>
      <w:kinsoku/>
      <w:wordWrap/>
      <w:overflowPunct/>
      <w:topLinePunct w:val="0"/>
      <w:bidi w:val="0"/>
      <w:adjustRightInd/>
      <w:snapToGrid w:val="0"/>
      <w:ind w:firstLine="0" w:firstLineChars="0"/>
      <w:textAlignment w:val="auto"/>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862"/>
    </w:sdtPr>
    <w:sdtContent>
      <w:p>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CtF1p01wAAAAcBAAAPAAAAAAAAAAEAIAAAADgAAABkcnMv&#10;ZG93bnJldi54bWxQSwECFAAUAAAACACHTuJAoo8S3rUBAABEAwAADgAAAAAAAAABACAAAAA8AQAA&#10;ZHJzL2Uyb0RvYy54bWxQSwUGAAAAAAYABgBZAQAAYwUAAAAA&#10;">
              <v:fill on="f" focussize="0,0"/>
              <v:stroke on="f"/>
              <v:imagedata o:title=""/>
              <o:lock v:ext="edit" aspectratio="f"/>
              <v:textbox inset="0mm,0mm,0mm,0mm" style="mso-fit-shape-to-text:t;">
                <w:txbxContent>
                  <w:p>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4">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435"/>
  <w:displayHorizontalDrawingGridEvery w:val="1"/>
  <w:displayVerticalDrawingGridEvery w:val="1"/>
  <w:noPunctuationKerning w:val="true"/>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F41B4B"/>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4765"/>
    <w:rsid w:val="00F720FE"/>
    <w:rsid w:val="00F878DE"/>
    <w:rsid w:val="00F90536"/>
    <w:rsid w:val="00F90D9B"/>
    <w:rsid w:val="00FC57AB"/>
    <w:rsid w:val="00FD075B"/>
    <w:rsid w:val="00FE4B3F"/>
    <w:rsid w:val="00FE5985"/>
    <w:rsid w:val="00FF1CCC"/>
    <w:rsid w:val="01E33B8E"/>
    <w:rsid w:val="01E93011"/>
    <w:rsid w:val="01F40C7E"/>
    <w:rsid w:val="02A51C3D"/>
    <w:rsid w:val="030D1C18"/>
    <w:rsid w:val="05742940"/>
    <w:rsid w:val="07911761"/>
    <w:rsid w:val="088E4086"/>
    <w:rsid w:val="088F0EC7"/>
    <w:rsid w:val="08D12032"/>
    <w:rsid w:val="095F1537"/>
    <w:rsid w:val="0C14470F"/>
    <w:rsid w:val="0C825CB4"/>
    <w:rsid w:val="0C8B7EA5"/>
    <w:rsid w:val="0CD8455E"/>
    <w:rsid w:val="0D14725F"/>
    <w:rsid w:val="0DED5218"/>
    <w:rsid w:val="0E444210"/>
    <w:rsid w:val="0F625791"/>
    <w:rsid w:val="0FFA4ABF"/>
    <w:rsid w:val="10F5344E"/>
    <w:rsid w:val="12942106"/>
    <w:rsid w:val="13BB1914"/>
    <w:rsid w:val="14516CDD"/>
    <w:rsid w:val="152446DB"/>
    <w:rsid w:val="15B12FCF"/>
    <w:rsid w:val="1659113B"/>
    <w:rsid w:val="169365FF"/>
    <w:rsid w:val="16C6695D"/>
    <w:rsid w:val="16EC6B3C"/>
    <w:rsid w:val="19393A07"/>
    <w:rsid w:val="1A3A7A37"/>
    <w:rsid w:val="1AD25EB0"/>
    <w:rsid w:val="1B844ABD"/>
    <w:rsid w:val="1CB2D89F"/>
    <w:rsid w:val="1D573B70"/>
    <w:rsid w:val="1D971AF1"/>
    <w:rsid w:val="1ED41ADC"/>
    <w:rsid w:val="20177A5A"/>
    <w:rsid w:val="213F3B84"/>
    <w:rsid w:val="220C6519"/>
    <w:rsid w:val="231D7342"/>
    <w:rsid w:val="233D54CD"/>
    <w:rsid w:val="235E50C8"/>
    <w:rsid w:val="236E7BCE"/>
    <w:rsid w:val="24805A2B"/>
    <w:rsid w:val="24857B00"/>
    <w:rsid w:val="26771E8D"/>
    <w:rsid w:val="26DD00C8"/>
    <w:rsid w:val="2797165B"/>
    <w:rsid w:val="29A9794B"/>
    <w:rsid w:val="2A1B6F98"/>
    <w:rsid w:val="2A351FC9"/>
    <w:rsid w:val="2B285689"/>
    <w:rsid w:val="2B917590"/>
    <w:rsid w:val="2C33526B"/>
    <w:rsid w:val="2C5F50DB"/>
    <w:rsid w:val="2CA608AF"/>
    <w:rsid w:val="2D975240"/>
    <w:rsid w:val="2F2264BF"/>
    <w:rsid w:val="2FD14C2F"/>
    <w:rsid w:val="2FFF530F"/>
    <w:rsid w:val="307355F9"/>
    <w:rsid w:val="30F3375D"/>
    <w:rsid w:val="318E562B"/>
    <w:rsid w:val="33841C80"/>
    <w:rsid w:val="33AD0E22"/>
    <w:rsid w:val="34212EAB"/>
    <w:rsid w:val="34E750E6"/>
    <w:rsid w:val="355175A8"/>
    <w:rsid w:val="36A1760F"/>
    <w:rsid w:val="36B27E2E"/>
    <w:rsid w:val="36F179B1"/>
    <w:rsid w:val="3848736B"/>
    <w:rsid w:val="38B14F10"/>
    <w:rsid w:val="38C24EC3"/>
    <w:rsid w:val="38D266E7"/>
    <w:rsid w:val="38D96215"/>
    <w:rsid w:val="39A04C83"/>
    <w:rsid w:val="3AAC1418"/>
    <w:rsid w:val="3AF87682"/>
    <w:rsid w:val="3BEE1FD7"/>
    <w:rsid w:val="3CBB491E"/>
    <w:rsid w:val="3E155F41"/>
    <w:rsid w:val="3E3A7756"/>
    <w:rsid w:val="3EF71EDA"/>
    <w:rsid w:val="3F1B7587"/>
    <w:rsid w:val="3F4563B2"/>
    <w:rsid w:val="3F95DF3F"/>
    <w:rsid w:val="3FC47A2D"/>
    <w:rsid w:val="41087697"/>
    <w:rsid w:val="41A15710"/>
    <w:rsid w:val="446217B4"/>
    <w:rsid w:val="45285971"/>
    <w:rsid w:val="45A504B5"/>
    <w:rsid w:val="46731A57"/>
    <w:rsid w:val="46FA5CD4"/>
    <w:rsid w:val="477B4125"/>
    <w:rsid w:val="479C1245"/>
    <w:rsid w:val="47D66741"/>
    <w:rsid w:val="47F07D69"/>
    <w:rsid w:val="48657AC5"/>
    <w:rsid w:val="48DE5904"/>
    <w:rsid w:val="49753D38"/>
    <w:rsid w:val="4A6D32C0"/>
    <w:rsid w:val="4BF87112"/>
    <w:rsid w:val="4CBD1C7E"/>
    <w:rsid w:val="4CBE1552"/>
    <w:rsid w:val="4CE83F7F"/>
    <w:rsid w:val="4D3B2BA3"/>
    <w:rsid w:val="4D7B064A"/>
    <w:rsid w:val="4E6C6F55"/>
    <w:rsid w:val="4E830CA5"/>
    <w:rsid w:val="4F786330"/>
    <w:rsid w:val="506348EA"/>
    <w:rsid w:val="51181B78"/>
    <w:rsid w:val="51DB1B1B"/>
    <w:rsid w:val="52E011ED"/>
    <w:rsid w:val="52FB2EB8"/>
    <w:rsid w:val="5305612D"/>
    <w:rsid w:val="547E17D0"/>
    <w:rsid w:val="56D373CE"/>
    <w:rsid w:val="579F66F9"/>
    <w:rsid w:val="581FCC70"/>
    <w:rsid w:val="58312308"/>
    <w:rsid w:val="58EE31BF"/>
    <w:rsid w:val="58F5279F"/>
    <w:rsid w:val="5A867B53"/>
    <w:rsid w:val="5B712790"/>
    <w:rsid w:val="5BF44F90"/>
    <w:rsid w:val="5CA4290E"/>
    <w:rsid w:val="5DBF01E4"/>
    <w:rsid w:val="5DC837B2"/>
    <w:rsid w:val="5EDF780A"/>
    <w:rsid w:val="5F1F4CEF"/>
    <w:rsid w:val="5F3F6522"/>
    <w:rsid w:val="61137C66"/>
    <w:rsid w:val="61677D60"/>
    <w:rsid w:val="63D731CD"/>
    <w:rsid w:val="64800402"/>
    <w:rsid w:val="64EC2CA8"/>
    <w:rsid w:val="65326240"/>
    <w:rsid w:val="654725D5"/>
    <w:rsid w:val="654C185B"/>
    <w:rsid w:val="65C436BF"/>
    <w:rsid w:val="66007B4C"/>
    <w:rsid w:val="66490568"/>
    <w:rsid w:val="670352EA"/>
    <w:rsid w:val="67D26195"/>
    <w:rsid w:val="68C33D20"/>
    <w:rsid w:val="69B11CDD"/>
    <w:rsid w:val="6A2E78BF"/>
    <w:rsid w:val="6A7F53AB"/>
    <w:rsid w:val="6BBD0EFB"/>
    <w:rsid w:val="6C795DE6"/>
    <w:rsid w:val="6DC60044"/>
    <w:rsid w:val="6E0E5FA2"/>
    <w:rsid w:val="6EBC193D"/>
    <w:rsid w:val="6FC7CDA8"/>
    <w:rsid w:val="713954C7"/>
    <w:rsid w:val="72FF250F"/>
    <w:rsid w:val="732F5A65"/>
    <w:rsid w:val="739A66BC"/>
    <w:rsid w:val="73CD62E5"/>
    <w:rsid w:val="760763B8"/>
    <w:rsid w:val="76197675"/>
    <w:rsid w:val="76684494"/>
    <w:rsid w:val="76CC46E8"/>
    <w:rsid w:val="776E1387"/>
    <w:rsid w:val="77BB738F"/>
    <w:rsid w:val="785B0380"/>
    <w:rsid w:val="7AC7188D"/>
    <w:rsid w:val="7ADE5410"/>
    <w:rsid w:val="7B6F15E2"/>
    <w:rsid w:val="7B7C537E"/>
    <w:rsid w:val="7BB265A2"/>
    <w:rsid w:val="7D787D79"/>
    <w:rsid w:val="7D7F5B38"/>
    <w:rsid w:val="7DFF661E"/>
    <w:rsid w:val="7E8C432D"/>
    <w:rsid w:val="7F0013D2"/>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character" w:customStyle="1" w:styleId="130">
    <w:name w:val="font11"/>
    <w:basedOn w:val="34"/>
    <w:qFormat/>
    <w:uiPriority w:val="0"/>
    <w:rPr>
      <w:rFonts w:hint="eastAsia" w:ascii="宋体" w:hAnsi="宋体" w:eastAsia="宋体" w:cs="宋体"/>
      <w:color w:val="000000"/>
      <w:sz w:val="20"/>
      <w:szCs w:val="20"/>
      <w:u w:val="none"/>
    </w:rPr>
  </w:style>
  <w:style w:type="character" w:customStyle="1" w:styleId="131">
    <w:name w:val="font21"/>
    <w:basedOn w:val="34"/>
    <w:qFormat/>
    <w:uiPriority w:val="0"/>
    <w:rPr>
      <w:rFonts w:hint="default" w:ascii="Times New Roman" w:hAnsi="Times New Roman" w:cs="Times New Roman"/>
      <w:color w:val="000000"/>
      <w:sz w:val="20"/>
      <w:szCs w:val="20"/>
      <w:u w:val="none"/>
    </w:rPr>
  </w:style>
  <w:style w:type="character" w:customStyle="1" w:styleId="132">
    <w:name w:val="font31"/>
    <w:basedOn w:val="3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2526</Words>
  <Characters>2702</Characters>
  <Lines>33</Lines>
  <Paragraphs>9</Paragraphs>
  <TotalTime>4</TotalTime>
  <ScaleCrop>false</ScaleCrop>
  <LinksUpToDate>false</LinksUpToDate>
  <CharactersWithSpaces>2821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2024-08-01T01:12:00Z</dcterms:created>
  <dc:creator>Shu Liu</dc:creator>
  <cp:lastModifiedBy>uos</cp:lastModifiedBy>
  <cp:lastPrinted>2026-03-02T09:21:00Z</cp:lastPrinted>
  <dcterms:modified xsi:type="dcterms:W3CDTF">2026-06-08T14:26:39Z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A4CB27FC6BA049848C53D3BF39744946_13</vt:lpwstr>
  </property>
  <property fmtid="{D5CDD505-2E9C-101B-9397-08002B2CF9AE}" pid="4" name="KSOTemplateDocerSaveRecord">
    <vt:lpwstr>eyJoZGlkIjoiOTA5Njk0Mjc0MWE3MGQzZWMzNWJiNTE5ZDcxOGNlMGQiLCJ1c2VySWQiOiIxNjk4MjcwMjg1In0=</vt:lpwstr>
  </property>
</Properties>
</file>