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line="240" w:lineRule="auto"/>
        <w:ind w:firstLine="640"/>
        <w:textAlignment w:val="auto"/>
        <w:rPr>
          <w:b w:val="0"/>
          <w:bCs w:val="0"/>
          <w:color w:val="000000" w:themeColor="text1"/>
          <w:kern w:val="0"/>
        </w:rPr>
      </w:pPr>
    </w:p>
    <w:p>
      <w:pPr>
        <w:keepNext w:val="0"/>
        <w:keepLines w:val="0"/>
        <w:pageBreakBefore w:val="0"/>
        <w:widowControl w:val="0"/>
        <w:shd w:val="clear"/>
        <w:kinsoku/>
        <w:wordWrap/>
        <w:overflowPunct/>
        <w:topLinePunct w:val="0"/>
        <w:autoSpaceDE/>
        <w:autoSpaceDN/>
        <w:bidi w:val="0"/>
        <w:adjustRightInd/>
        <w:snapToGrid/>
        <w:spacing w:line="240" w:lineRule="auto"/>
        <w:ind w:firstLine="640"/>
        <w:textAlignment w:val="auto"/>
        <w:rPr>
          <w:b w:val="0"/>
          <w:bCs w:val="0"/>
          <w:color w:val="000000" w:themeColor="text1"/>
        </w:rPr>
      </w:pPr>
    </w:p>
    <w:p>
      <w:pPr>
        <w:keepNext w:val="0"/>
        <w:keepLines w:val="0"/>
        <w:pageBreakBefore w:val="0"/>
        <w:widowControl w:val="0"/>
        <w:shd w:val="clear"/>
        <w:kinsoku/>
        <w:wordWrap/>
        <w:overflowPunct/>
        <w:topLinePunct w:val="0"/>
        <w:autoSpaceDE/>
        <w:autoSpaceDN/>
        <w:bidi w:val="0"/>
        <w:adjustRightInd/>
        <w:snapToGrid/>
        <w:spacing w:line="240" w:lineRule="auto"/>
        <w:ind w:firstLine="640"/>
        <w:textAlignment w:val="auto"/>
        <w:rPr>
          <w:b w:val="0"/>
          <w:bCs w:val="0"/>
          <w:color w:val="000000" w:themeColor="text1"/>
        </w:rPr>
      </w:pPr>
    </w:p>
    <w:p>
      <w:pPr>
        <w:keepNext w:val="0"/>
        <w:keepLines w:val="0"/>
        <w:pageBreakBefore w:val="0"/>
        <w:widowControl w:val="0"/>
        <w:shd w:val="clear"/>
        <w:kinsoku/>
        <w:wordWrap/>
        <w:overflowPunct/>
        <w:topLinePunct w:val="0"/>
        <w:autoSpaceDE/>
        <w:autoSpaceDN/>
        <w:bidi w:val="0"/>
        <w:adjustRightInd/>
        <w:snapToGrid/>
        <w:spacing w:line="240" w:lineRule="auto"/>
        <w:ind w:firstLine="640"/>
        <w:textAlignment w:val="auto"/>
        <w:rPr>
          <w:b w:val="0"/>
          <w:bCs w:val="0"/>
          <w:color w:val="000000" w:themeColor="text1"/>
        </w:rPr>
      </w:pPr>
    </w:p>
    <w:p>
      <w:pPr>
        <w:keepNext w:val="0"/>
        <w:keepLines w:val="0"/>
        <w:pageBreakBefore w:val="0"/>
        <w:widowControl w:val="0"/>
        <w:shd w:val="clear"/>
        <w:kinsoku/>
        <w:wordWrap/>
        <w:overflowPunct/>
        <w:topLinePunct w:val="0"/>
        <w:autoSpaceDE/>
        <w:autoSpaceDN/>
        <w:bidi w:val="0"/>
        <w:adjustRightInd/>
        <w:snapToGrid/>
        <w:spacing w:line="240" w:lineRule="auto"/>
        <w:ind w:firstLine="640"/>
        <w:textAlignment w:val="auto"/>
        <w:rPr>
          <w:b w:val="0"/>
          <w:bCs w:val="0"/>
          <w:color w:val="000000" w:themeColor="text1"/>
        </w:rPr>
      </w:pPr>
    </w:p>
    <w:p>
      <w:pPr>
        <w:keepNext w:val="0"/>
        <w:keepLines w:val="0"/>
        <w:pageBreakBefore w:val="0"/>
        <w:widowControl w:val="0"/>
        <w:shd w:val="clear"/>
        <w:kinsoku/>
        <w:wordWrap/>
        <w:overflowPunct/>
        <w:topLinePunct w:val="0"/>
        <w:autoSpaceDE/>
        <w:autoSpaceDN/>
        <w:bidi w:val="0"/>
        <w:adjustRightInd/>
        <w:snapToGrid/>
        <w:spacing w:line="240" w:lineRule="auto"/>
        <w:ind w:firstLine="640"/>
        <w:textAlignment w:val="auto"/>
        <w:rPr>
          <w:b w:val="0"/>
          <w:bCs w:val="0"/>
          <w:color w:val="000000" w:themeColor="text1"/>
        </w:rPr>
      </w:pPr>
    </w:p>
    <w:p>
      <w:pPr>
        <w:keepNext w:val="0"/>
        <w:keepLines w:val="0"/>
        <w:pageBreakBefore w:val="0"/>
        <w:widowControl w:val="0"/>
        <w:shd w:val="clear"/>
        <w:kinsoku/>
        <w:wordWrap/>
        <w:overflowPunct/>
        <w:topLinePunct w:val="0"/>
        <w:autoSpaceDE/>
        <w:autoSpaceDN/>
        <w:bidi w:val="0"/>
        <w:adjustRightInd/>
        <w:snapToGrid/>
        <w:spacing w:beforeLines="20" w:line="240" w:lineRule="auto"/>
        <w:ind w:firstLine="640"/>
        <w:textAlignment w:val="auto"/>
        <w:rPr>
          <w:b w:val="0"/>
          <w:bCs w:val="0"/>
          <w:color w:val="000000" w:themeColor="text1"/>
        </w:rPr>
      </w:pPr>
    </w:p>
    <w:p>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方正仿宋_GBK"/>
          <w:b w:val="0"/>
          <w:bCs w:val="0"/>
          <w:color w:val="000000" w:themeColor="text1"/>
        </w:rPr>
      </w:pPr>
      <w:r>
        <w:rPr>
          <w:rFonts w:hint="eastAsia" w:ascii="方正仿宋_GBK"/>
          <w:b w:val="0"/>
          <w:bCs w:val="0"/>
          <w:color w:val="000000" w:themeColor="text1"/>
        </w:rPr>
        <w:t>渝安监发〔2018〕</w:t>
      </w:r>
      <w:r>
        <w:rPr>
          <w:rFonts w:hint="eastAsia" w:ascii="方正仿宋_GBK"/>
          <w:b w:val="0"/>
          <w:bCs w:val="0"/>
          <w:color w:val="000000" w:themeColor="text1"/>
          <w:lang w:val="en-US" w:eastAsia="zh-CN"/>
        </w:rPr>
        <w:t>19</w:t>
      </w:r>
      <w:r>
        <w:rPr>
          <w:rFonts w:hint="eastAsia" w:ascii="方正仿宋_GBK"/>
          <w:b w:val="0"/>
          <w:bCs w:val="0"/>
          <w:color w:val="000000" w:themeColor="text1"/>
        </w:rPr>
        <w:t>号</w:t>
      </w: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both"/>
        <w:textAlignment w:val="auto"/>
        <w:outlineLvl w:val="9"/>
        <w:rPr>
          <w:b w:val="0"/>
          <w:bCs w:val="0"/>
          <w:color w:val="000000" w:themeColor="text1"/>
        </w:rPr>
      </w:pPr>
    </w:p>
    <w:p>
      <w:pPr>
        <w:keepNext w:val="0"/>
        <w:keepLines w:val="0"/>
        <w:pageBreakBefore w:val="0"/>
        <w:widowControl w:val="0"/>
        <w:shd w:val="clear"/>
        <w:kinsoku/>
        <w:wordWrap/>
        <w:overflowPunct/>
        <w:topLinePunct w:val="0"/>
        <w:autoSpaceDE/>
        <w:autoSpaceDN/>
        <w:bidi w:val="0"/>
        <w:adjustRightInd/>
        <w:snapToGrid/>
        <w:spacing w:line="240" w:lineRule="auto"/>
        <w:ind w:right="0" w:rightChars="0"/>
        <w:jc w:val="both"/>
        <w:textAlignment w:val="auto"/>
        <w:outlineLvl w:val="9"/>
        <w:rPr>
          <w:b w:val="0"/>
          <w:bCs w:val="0"/>
          <w:color w:val="000000" w:themeColor="text1"/>
        </w:rPr>
      </w:pPr>
    </w:p>
    <w:p>
      <w:pPr>
        <w:snapToGrid w:val="0"/>
        <w:spacing w:line="540" w:lineRule="exact"/>
        <w:jc w:val="center"/>
        <w:rPr>
          <w:rFonts w:ascii="方正小标宋_GBK" w:hAnsi="宋体" w:eastAsia="方正小标宋_GBK" w:cs="宋体"/>
          <w:b w:val="0"/>
          <w:bCs w:val="0"/>
          <w:sz w:val="44"/>
          <w:szCs w:val="44"/>
        </w:rPr>
      </w:pPr>
      <w:r>
        <w:rPr>
          <w:rFonts w:hint="eastAsia" w:ascii="方正小标宋_GBK" w:hAnsi="宋体" w:eastAsia="方正小标宋_GBK" w:cs="宋体"/>
          <w:b w:val="0"/>
          <w:bCs w:val="0"/>
          <w:color w:val="000000" w:themeColor="text1"/>
          <w:sz w:val="44"/>
          <w:szCs w:val="44"/>
        </w:rPr>
        <w:t>重庆市安全生产监督管理局</w:t>
      </w:r>
      <w:r>
        <w:rPr>
          <w:rFonts w:hint="eastAsia" w:ascii="方正小标宋_GBK" w:hAnsi="宋体" w:eastAsia="方正小标宋_GBK" w:cs="宋体"/>
          <w:b w:val="0"/>
          <w:bCs w:val="0"/>
          <w:sz w:val="44"/>
          <w:szCs w:val="44"/>
        </w:rPr>
        <w:t>关于</w:t>
      </w:r>
    </w:p>
    <w:p>
      <w:pPr>
        <w:tabs>
          <w:tab w:val="left" w:pos="142"/>
        </w:tabs>
        <w:snapToGrid w:val="0"/>
        <w:jc w:val="center"/>
        <w:rPr>
          <w:rFonts w:hint="eastAsia" w:ascii="方正小标宋_GBK" w:hAnsi="Calibri" w:eastAsia="方正小标宋_GBK" w:cs="Times New Roman"/>
          <w:sz w:val="44"/>
          <w:szCs w:val="44"/>
        </w:rPr>
      </w:pPr>
      <w:r>
        <w:rPr>
          <w:rFonts w:hint="eastAsia" w:ascii="方正小标宋_GBK" w:hAnsi="Calibri" w:eastAsia="方正小标宋_GBK" w:cs="Times New Roman"/>
          <w:sz w:val="44"/>
          <w:szCs w:val="44"/>
        </w:rPr>
        <w:t>全面开展职业</w:t>
      </w:r>
      <w:r>
        <w:rPr>
          <w:rFonts w:ascii="方正小标宋_GBK" w:hAnsi="Calibri" w:eastAsia="方正小标宋_GBK" w:cs="Times New Roman"/>
          <w:sz w:val="44"/>
          <w:szCs w:val="44"/>
        </w:rPr>
        <w:t>健康基础建设</w:t>
      </w:r>
      <w:r>
        <w:rPr>
          <w:rFonts w:hint="eastAsia" w:ascii="方正小标宋_GBK" w:hAnsi="Calibri" w:eastAsia="方正小标宋_GBK" w:cs="Times New Roman"/>
          <w:sz w:val="44"/>
          <w:szCs w:val="44"/>
        </w:rPr>
        <w:t>监督执法工作</w:t>
      </w:r>
    </w:p>
    <w:p>
      <w:pPr>
        <w:tabs>
          <w:tab w:val="left" w:pos="142"/>
        </w:tabs>
        <w:snapToGrid w:val="0"/>
        <w:jc w:val="center"/>
        <w:rPr>
          <w:rFonts w:ascii="方正小标宋_GBK" w:hAnsi="Calibri" w:eastAsia="方正小标宋_GBK" w:cs="Times New Roman"/>
          <w:sz w:val="44"/>
          <w:szCs w:val="44"/>
        </w:rPr>
      </w:pPr>
      <w:r>
        <w:rPr>
          <w:rFonts w:hint="eastAsia" w:ascii="方正小标宋_GBK" w:hAnsi="Calibri" w:eastAsia="方正小标宋_GBK" w:cs="Times New Roman"/>
          <w:sz w:val="44"/>
          <w:szCs w:val="44"/>
        </w:rPr>
        <w:t>（试行）的通知</w:t>
      </w:r>
    </w:p>
    <w:p>
      <w:pPr>
        <w:tabs>
          <w:tab w:val="left" w:pos="142"/>
        </w:tabs>
        <w:jc w:val="left"/>
        <w:rPr>
          <w:rFonts w:ascii="方正仿宋_GBK" w:hAnsi="方正仿宋_GBK" w:eastAsia="方正仿宋_GBK" w:cs="方正仿宋_GBK"/>
          <w:sz w:val="32"/>
          <w:szCs w:val="32"/>
        </w:rPr>
      </w:pP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right="0" w:rightChars="0"/>
        <w:jc w:val="left"/>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各区县（自治县）安监局，有关单位：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华文仿宋" w:eastAsia="方正仿宋_GBK" w:cs="方正仿宋_GBK"/>
          <w:sz w:val="32"/>
          <w:szCs w:val="32"/>
        </w:rPr>
      </w:pPr>
      <w:r>
        <w:rPr>
          <w:rFonts w:hint="eastAsia" w:ascii="方正仿宋_GBK" w:hAnsi="华文仿宋" w:eastAsia="方正仿宋_GBK" w:cs="方正仿宋_GBK"/>
          <w:sz w:val="32"/>
          <w:szCs w:val="32"/>
        </w:rPr>
        <w:t>为进一</w:t>
      </w:r>
      <w:r>
        <w:rPr>
          <w:rFonts w:ascii="方正仿宋_GBK" w:hAnsi="华文仿宋" w:eastAsia="方正仿宋_GBK" w:cs="方正仿宋_GBK"/>
          <w:sz w:val="32"/>
          <w:szCs w:val="32"/>
        </w:rPr>
        <w:t>步</w:t>
      </w:r>
      <w:r>
        <w:rPr>
          <w:rFonts w:hint="eastAsia" w:ascii="方正仿宋_GBK" w:hAnsi="华文仿宋" w:eastAsia="方正仿宋_GBK" w:cs="方正仿宋_GBK"/>
          <w:sz w:val="32"/>
          <w:szCs w:val="32"/>
        </w:rPr>
        <w:t>巩固用人单位职业健康基础建设成果，</w:t>
      </w:r>
      <w:r>
        <w:rPr>
          <w:rFonts w:hint="eastAsia" w:ascii="方正仿宋_GBK" w:hAnsi="方正仿宋_GBK" w:eastAsia="方正仿宋_GBK" w:cs="方正仿宋_GBK"/>
          <w:sz w:val="32"/>
          <w:szCs w:val="32"/>
        </w:rPr>
        <w:t>提高职业</w:t>
      </w:r>
      <w:r>
        <w:rPr>
          <w:rFonts w:ascii="方正仿宋_GBK" w:hAnsi="方正仿宋_GBK" w:eastAsia="方正仿宋_GBK" w:cs="方正仿宋_GBK"/>
          <w:sz w:val="32"/>
          <w:szCs w:val="32"/>
        </w:rPr>
        <w:t>健康</w:t>
      </w:r>
      <w:r>
        <w:rPr>
          <w:rFonts w:hint="eastAsia" w:ascii="方正仿宋_GBK" w:hAnsi="方正仿宋_GBK" w:eastAsia="方正仿宋_GBK" w:cs="方正仿宋_GBK"/>
          <w:sz w:val="32"/>
          <w:szCs w:val="32"/>
        </w:rPr>
        <w:t>监督执法效能，</w:t>
      </w:r>
      <w:r>
        <w:rPr>
          <w:rFonts w:hint="eastAsia" w:ascii="方正仿宋_GBK" w:hAnsi="华文仿宋" w:eastAsia="方正仿宋_GBK" w:cs="方正仿宋_GBK"/>
          <w:sz w:val="32"/>
          <w:szCs w:val="32"/>
        </w:rPr>
        <w:t>提升用人单位职业健康管理</w:t>
      </w:r>
      <w:r>
        <w:rPr>
          <w:rFonts w:ascii="方正仿宋_GBK" w:hAnsi="华文仿宋" w:eastAsia="方正仿宋_GBK" w:cs="方正仿宋_GBK"/>
          <w:sz w:val="32"/>
          <w:szCs w:val="32"/>
        </w:rPr>
        <w:t>水平</w:t>
      </w:r>
      <w:r>
        <w:rPr>
          <w:rFonts w:hint="eastAsia" w:ascii="方正仿宋_GBK" w:hAnsi="华文仿宋" w:eastAsia="方正仿宋_GBK" w:cs="方正仿宋_GBK"/>
          <w:sz w:val="32"/>
          <w:szCs w:val="32"/>
        </w:rPr>
        <w:t>，按照国家安全监管总局将2018年确定为“职业健康执法年”的总体要求，</w:t>
      </w:r>
      <w:r>
        <w:rPr>
          <w:rFonts w:hint="eastAsia" w:ascii="方正仿宋_GBK" w:hAnsi="方正仿宋_GBK" w:eastAsia="方正仿宋_GBK" w:cs="方正仿宋_GBK"/>
          <w:sz w:val="32"/>
          <w:szCs w:val="32"/>
        </w:rPr>
        <w:t>经研究，决定在2018-2020年全面开展职业健康基础建设监督执法工作</w:t>
      </w:r>
      <w:r>
        <w:rPr>
          <w:rFonts w:hint="eastAsia" w:ascii="方正仿宋_GBK" w:hAnsi="华文仿宋" w:eastAsia="方正仿宋_GBK" w:cs="方正仿宋_GBK"/>
          <w:sz w:val="32"/>
          <w:szCs w:val="32"/>
        </w:rPr>
        <w:t>。现将有关事项</w:t>
      </w:r>
      <w:r>
        <w:rPr>
          <w:rFonts w:ascii="方正仿宋_GBK" w:hAnsi="华文仿宋" w:eastAsia="方正仿宋_GBK" w:cs="方正仿宋_GBK"/>
          <w:sz w:val="32"/>
          <w:szCs w:val="32"/>
        </w:rPr>
        <w:t>通知如下</w:t>
      </w:r>
      <w:r>
        <w:rPr>
          <w:rFonts w:hint="eastAsia" w:ascii="方正仿宋_GBK" w:hAnsi="华文仿宋"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黑体_GBK" w:hAnsi="华文仿宋" w:eastAsia="方正黑体_GBK" w:cs="方正仿宋_GBK"/>
          <w:sz w:val="32"/>
          <w:szCs w:val="32"/>
        </w:rPr>
      </w:pPr>
      <w:r>
        <w:rPr>
          <w:rFonts w:hint="eastAsia" w:ascii="方正黑体_GBK" w:hAnsi="华文仿宋" w:eastAsia="方正黑体_GBK" w:cs="方正仿宋_GBK"/>
          <w:sz w:val="32"/>
          <w:szCs w:val="32"/>
        </w:rPr>
        <w:t>一、重要意义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napToGrid w:val="0"/>
          <w:kern w:val="0"/>
          <w:sz w:val="32"/>
          <w:szCs w:val="32"/>
        </w:rPr>
      </w:pPr>
      <w:r>
        <w:rPr>
          <w:rFonts w:hint="eastAsia" w:ascii="方正仿宋_GBK" w:hAnsi="方正仿宋_GBK" w:eastAsia="方正仿宋_GBK" w:cs="方正仿宋_GBK"/>
          <w:sz w:val="32"/>
          <w:szCs w:val="32"/>
        </w:rPr>
        <w:t>目前，我市职业病防控形势仍然严峻，近几</w:t>
      </w:r>
      <w:r>
        <w:rPr>
          <w:rFonts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rPr>
        <w:t>报告职业病例数呈上升趋势。其重要原因是用人单位主体责任不落实，历史欠账多，基础工作薄弱，作业环境恶劣。虽然</w:t>
      </w:r>
      <w:r>
        <w:rPr>
          <w:rFonts w:ascii="方正仿宋_GBK" w:hAnsi="方正仿宋_GBK" w:eastAsia="方正仿宋_GBK" w:cs="方正仿宋_GBK"/>
          <w:sz w:val="32"/>
          <w:szCs w:val="32"/>
        </w:rPr>
        <w:t>近几年广泛开展了</w:t>
      </w:r>
      <w:r>
        <w:rPr>
          <w:rFonts w:hint="eastAsia" w:ascii="方正仿宋_GBK" w:hAnsi="方正仿宋_GBK" w:eastAsia="方正仿宋_GBK" w:cs="方正仿宋_GBK"/>
          <w:sz w:val="32"/>
          <w:szCs w:val="32"/>
        </w:rPr>
        <w:t>用</w:t>
      </w:r>
      <w:r>
        <w:rPr>
          <w:rFonts w:ascii="方正仿宋_GBK" w:hAnsi="方正仿宋_GBK" w:eastAsia="方正仿宋_GBK" w:cs="方正仿宋_GBK"/>
          <w:sz w:val="32"/>
          <w:szCs w:val="32"/>
        </w:rPr>
        <w:t>人单位职业健康基础建设工作，</w:t>
      </w:r>
      <w:r>
        <w:rPr>
          <w:rFonts w:hint="eastAsia" w:ascii="方正仿宋_GBK" w:hAnsi="方正仿宋_GBK" w:eastAsia="方正仿宋_GBK" w:cs="方正仿宋_GBK"/>
          <w:sz w:val="32"/>
          <w:szCs w:val="32"/>
        </w:rPr>
        <w:t>但基础建设的覆盖面和质量仍有差距。一些企业完成基础建设之后，不注重持续巩固提升，出现了滑坡现象。一些企业未将基础建设活动与有效防控职业病的根本目标相结合，对检测超标岗位，未按规定采取有效的工程防护及个体防护措施。为此，各区县（自治</w:t>
      </w:r>
      <w:r>
        <w:rPr>
          <w:rFonts w:ascii="方正仿宋_GBK" w:hAnsi="方正仿宋_GBK" w:eastAsia="方正仿宋_GBK" w:cs="方正仿宋_GBK"/>
          <w:sz w:val="32"/>
          <w:szCs w:val="32"/>
        </w:rPr>
        <w:t>县</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以下简称区县</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安监局、</w:t>
      </w:r>
      <w:r>
        <w:rPr>
          <w:rFonts w:hint="eastAsia" w:ascii="方正仿宋_GBK" w:hAnsi="方正仿宋_GBK" w:eastAsia="方正仿宋_GBK" w:cs="方正仿宋_GBK"/>
          <w:sz w:val="32"/>
          <w:szCs w:val="32"/>
        </w:rPr>
        <w:t>有关</w:t>
      </w:r>
      <w:r>
        <w:rPr>
          <w:rFonts w:ascii="方正仿宋_GBK" w:hAnsi="方正仿宋_GBK" w:eastAsia="方正仿宋_GBK" w:cs="方正仿宋_GBK"/>
          <w:sz w:val="32"/>
          <w:szCs w:val="32"/>
        </w:rPr>
        <w:t>单位要</w:t>
      </w:r>
      <w:r>
        <w:rPr>
          <w:rFonts w:hint="eastAsia" w:ascii="方正仿宋_GBK" w:hAnsi="方正仿宋_GBK" w:eastAsia="方正仿宋_GBK" w:cs="方正仿宋_GBK"/>
          <w:sz w:val="32"/>
          <w:szCs w:val="32"/>
        </w:rPr>
        <w:t>充分认识职业健康基础建设监督执法工作的重要意义，</w:t>
      </w:r>
      <w:r>
        <w:rPr>
          <w:rFonts w:ascii="方正仿宋_GBK" w:hAnsi="方正仿宋_GBK" w:eastAsia="方正仿宋_GBK" w:cs="方正仿宋_GBK"/>
          <w:sz w:val="32"/>
          <w:szCs w:val="32"/>
        </w:rPr>
        <w:t>以严格的执法推动，</w:t>
      </w:r>
      <w:r>
        <w:rPr>
          <w:rFonts w:hint="eastAsia" w:ascii="方正仿宋_GBK" w:hAnsi="方正仿宋_GBK" w:eastAsia="方正仿宋_GBK" w:cs="方正仿宋_GBK"/>
          <w:sz w:val="32"/>
          <w:szCs w:val="32"/>
        </w:rPr>
        <w:t>有</w:t>
      </w:r>
      <w:r>
        <w:rPr>
          <w:rFonts w:ascii="方正仿宋_GBK" w:hAnsi="方正仿宋_GBK" w:eastAsia="方正仿宋_GBK" w:cs="方正仿宋_GBK"/>
          <w:sz w:val="32"/>
          <w:szCs w:val="32"/>
        </w:rPr>
        <w:t>效</w:t>
      </w:r>
      <w:r>
        <w:rPr>
          <w:rFonts w:hint="eastAsia" w:ascii="方正仿宋_GBK" w:hAnsi="方正仿宋_GBK" w:eastAsia="方正仿宋_GBK" w:cs="方正仿宋_GBK"/>
          <w:sz w:val="32"/>
          <w:szCs w:val="32"/>
        </w:rPr>
        <w:t>巩固、</w:t>
      </w:r>
      <w:r>
        <w:rPr>
          <w:rFonts w:ascii="方正仿宋_GBK" w:hAnsi="方正仿宋_GBK" w:eastAsia="方正仿宋_GBK" w:cs="方正仿宋_GBK"/>
          <w:sz w:val="32"/>
          <w:szCs w:val="32"/>
        </w:rPr>
        <w:t>提升基础建设</w:t>
      </w:r>
      <w:r>
        <w:rPr>
          <w:rFonts w:hint="eastAsia" w:ascii="方正仿宋_GBK" w:hAnsi="方正仿宋_GBK" w:eastAsia="方正仿宋_GBK" w:cs="方正仿宋_GBK"/>
          <w:sz w:val="32"/>
          <w:szCs w:val="32"/>
        </w:rPr>
        <w:t>成果</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有效督促用人单位落实职业病防治主体责任，有</w:t>
      </w:r>
      <w:r>
        <w:rPr>
          <w:rFonts w:ascii="方正仿宋_GBK" w:hAnsi="方正仿宋_GBK" w:eastAsia="方正仿宋_GBK" w:cs="方正仿宋_GBK"/>
          <w:sz w:val="32"/>
          <w:szCs w:val="32"/>
        </w:rPr>
        <w:t>效</w:t>
      </w:r>
      <w:r>
        <w:rPr>
          <w:rFonts w:hint="eastAsia" w:ascii="方正仿宋_GBK" w:hAnsi="方正仿宋_GBK" w:eastAsia="方正仿宋_GBK" w:cs="方正仿宋_GBK"/>
          <w:sz w:val="32"/>
          <w:szCs w:val="32"/>
        </w:rPr>
        <w:t>提高用人</w:t>
      </w:r>
      <w:r>
        <w:rPr>
          <w:rFonts w:ascii="方正仿宋_GBK" w:hAnsi="方正仿宋_GBK" w:eastAsia="方正仿宋_GBK" w:cs="方正仿宋_GBK"/>
          <w:sz w:val="32"/>
          <w:szCs w:val="32"/>
        </w:rPr>
        <w:t>单位</w:t>
      </w:r>
      <w:r>
        <w:rPr>
          <w:rFonts w:hint="eastAsia" w:ascii="方正仿宋_GBK" w:hAnsi="方正仿宋_GBK" w:eastAsia="方正仿宋_GBK" w:cs="方正仿宋_GBK"/>
          <w:sz w:val="32"/>
          <w:szCs w:val="32"/>
        </w:rPr>
        <w:t>管理水平，</w:t>
      </w:r>
      <w:r>
        <w:rPr>
          <w:rFonts w:hint="eastAsia" w:ascii="方正仿宋_GBK" w:hAnsi="华文仿宋" w:eastAsia="方正仿宋_GBK" w:cs="方正仿宋_GBK"/>
          <w:sz w:val="32"/>
          <w:szCs w:val="32"/>
        </w:rPr>
        <w:t>改善劳动者的工作环境和条件，</w:t>
      </w:r>
      <w:r>
        <w:rPr>
          <w:rFonts w:hint="eastAsia" w:ascii="方正仿宋_GBK" w:hAnsi="Times New Roman" w:eastAsia="方正仿宋_GBK" w:cs="Times New Roman"/>
          <w:snapToGrid w:val="0"/>
          <w:kern w:val="0"/>
          <w:sz w:val="32"/>
          <w:szCs w:val="32"/>
        </w:rPr>
        <w:t>有效预防、控制、减少和消除职业病危害，保障劳动者的生命健康权益。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黑体_GBK" w:hAnsi="仿宋" w:eastAsia="方正黑体_GBK" w:cs="Times New Roman"/>
          <w:sz w:val="32"/>
          <w:szCs w:val="32"/>
        </w:rPr>
      </w:pPr>
      <w:r>
        <w:rPr>
          <w:rFonts w:hint="eastAsia" w:ascii="方正黑体_GBK" w:hAnsi="Times New Roman" w:eastAsia="方正黑体_GBK" w:cs="Times New Roman"/>
          <w:snapToGrid w:val="0"/>
          <w:kern w:val="0"/>
          <w:sz w:val="32"/>
          <w:szCs w:val="32"/>
        </w:rPr>
        <w:t>二、工作目标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楷体_GBK" w:hAnsi="Times New Roman" w:eastAsia="方正楷体_GBK" w:cs="Times New Roman"/>
          <w:snapToGrid w:val="0"/>
          <w:kern w:val="0"/>
          <w:sz w:val="32"/>
          <w:szCs w:val="32"/>
        </w:rPr>
      </w:pPr>
      <w:r>
        <w:rPr>
          <w:rFonts w:hint="eastAsia" w:ascii="方正楷体_GBK" w:hAnsi="Times New Roman" w:eastAsia="方正楷体_GBK" w:cs="Times New Roman"/>
          <w:snapToGrid w:val="0"/>
          <w:kern w:val="0"/>
          <w:sz w:val="32"/>
          <w:szCs w:val="32"/>
        </w:rPr>
        <w:t>（一）总体目标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Times New Roman" w:hAnsi="Times New Roman" w:eastAsia="方正仿宋_GBK" w:cs="Times New Roman"/>
          <w:color w:val="000000"/>
          <w:sz w:val="32"/>
          <w:szCs w:val="32"/>
        </w:rPr>
      </w:pPr>
      <w:r>
        <w:rPr>
          <w:rFonts w:hint="eastAsia" w:ascii="方正仿宋_GBK" w:hAnsi="华文仿宋" w:eastAsia="方正仿宋_GBK" w:cs="方正仿宋_GBK"/>
          <w:sz w:val="32"/>
          <w:szCs w:val="32"/>
        </w:rPr>
        <w:t>通过对</w:t>
      </w:r>
      <w:r>
        <w:rPr>
          <w:rFonts w:ascii="方正仿宋_GBK" w:hAnsi="华文仿宋" w:eastAsia="方正仿宋_GBK" w:cs="方正仿宋_GBK"/>
          <w:sz w:val="32"/>
          <w:szCs w:val="32"/>
        </w:rPr>
        <w:t>纳入申报的企业</w:t>
      </w:r>
      <w:r>
        <w:rPr>
          <w:rFonts w:hint="eastAsia" w:ascii="方正仿宋_GBK" w:hAnsi="华文仿宋" w:eastAsia="方正仿宋_GBK" w:cs="方正仿宋_GBK"/>
          <w:sz w:val="32"/>
          <w:szCs w:val="32"/>
        </w:rPr>
        <w:t>进行</w:t>
      </w:r>
      <w:r>
        <w:rPr>
          <w:rFonts w:ascii="方正仿宋_GBK" w:hAnsi="华文仿宋" w:eastAsia="方正仿宋_GBK" w:cs="方正仿宋_GBK"/>
          <w:sz w:val="32"/>
          <w:szCs w:val="32"/>
        </w:rPr>
        <w:t>全覆盖监督执法</w:t>
      </w:r>
      <w:r>
        <w:rPr>
          <w:rFonts w:hint="eastAsia" w:ascii="方正仿宋_GBK" w:hAnsi="华文仿宋" w:eastAsia="方正仿宋_GBK" w:cs="方正仿宋_GBK"/>
          <w:sz w:val="32"/>
          <w:szCs w:val="32"/>
        </w:rPr>
        <w:t>检查</w:t>
      </w:r>
      <w:r>
        <w:rPr>
          <w:rFonts w:ascii="方正仿宋_GBK" w:hAnsi="华文仿宋" w:eastAsia="方正仿宋_GBK" w:cs="方正仿宋_GBK"/>
          <w:sz w:val="32"/>
          <w:szCs w:val="32"/>
        </w:rPr>
        <w:t>，</w:t>
      </w:r>
      <w:r>
        <w:rPr>
          <w:rFonts w:hint="eastAsia" w:ascii="方正仿宋_GBK" w:hAnsi="华文仿宋" w:eastAsia="方正仿宋_GBK" w:cs="方正仿宋_GBK"/>
          <w:sz w:val="32"/>
          <w:szCs w:val="32"/>
        </w:rPr>
        <w:t>力争到2020年</w:t>
      </w:r>
      <w:r>
        <w:rPr>
          <w:rFonts w:ascii="方正仿宋_GBK" w:hAnsi="华文仿宋" w:eastAsia="方正仿宋_GBK" w:cs="方正仿宋_GBK"/>
          <w:sz w:val="32"/>
          <w:szCs w:val="32"/>
        </w:rPr>
        <w:t>，</w:t>
      </w:r>
      <w:r>
        <w:rPr>
          <w:rFonts w:hint="eastAsia" w:ascii="Times New Roman" w:hAnsi="Times New Roman" w:eastAsia="方正仿宋_GBK" w:cs="Times New Roman"/>
          <w:color w:val="000000"/>
          <w:sz w:val="32"/>
          <w:szCs w:val="32"/>
        </w:rPr>
        <w:t>《国家职业病防治规划（2016-2020年）》和《职业病危害治理“十三五”规划》下达的目标任务</w:t>
      </w:r>
      <w:r>
        <w:rPr>
          <w:rFonts w:ascii="方正仿宋_GBK" w:hAnsi="华文仿宋" w:eastAsia="方正仿宋_GBK" w:cs="方正仿宋_GBK"/>
          <w:sz w:val="32"/>
          <w:szCs w:val="32"/>
        </w:rPr>
        <w:t>全面</w:t>
      </w:r>
      <w:r>
        <w:rPr>
          <w:rFonts w:hint="eastAsia" w:ascii="方正仿宋_GBK" w:hAnsi="华文仿宋" w:eastAsia="方正仿宋_GBK" w:cs="方正仿宋_GBK"/>
          <w:sz w:val="32"/>
          <w:szCs w:val="32"/>
        </w:rPr>
        <w:t>完成</w:t>
      </w:r>
      <w:r>
        <w:rPr>
          <w:rFonts w:hint="eastAsia" w:ascii="Times New Roman" w:hAnsi="Times New Roman" w:eastAsia="方正仿宋_GBK"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楷体_GBK" w:hAnsi="Times New Roman" w:eastAsia="方正楷体_GBK" w:cs="Times New Roman"/>
          <w:snapToGrid w:val="0"/>
          <w:kern w:val="0"/>
          <w:sz w:val="32"/>
          <w:szCs w:val="32"/>
        </w:rPr>
      </w:pPr>
      <w:r>
        <w:rPr>
          <w:rFonts w:hint="eastAsia" w:ascii="方正楷体_GBK" w:hAnsi="Times New Roman" w:eastAsia="方正楷体_GBK" w:cs="Times New Roman"/>
          <w:snapToGrid w:val="0"/>
          <w:kern w:val="0"/>
          <w:sz w:val="32"/>
          <w:szCs w:val="32"/>
        </w:rPr>
        <w:t>（二）</w:t>
      </w:r>
      <w:r>
        <w:rPr>
          <w:rFonts w:ascii="方正楷体_GBK" w:hAnsi="Times New Roman" w:eastAsia="方正楷体_GBK" w:cs="Times New Roman"/>
          <w:snapToGrid w:val="0"/>
          <w:kern w:val="0"/>
          <w:sz w:val="32"/>
          <w:szCs w:val="32"/>
        </w:rPr>
        <w:t>年度目标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Times New Roman" w:hAnsi="Times New Roman" w:eastAsia="方正仿宋_GBK" w:cs="Times New Roman"/>
          <w:color w:val="000000"/>
          <w:sz w:val="32"/>
          <w:szCs w:val="32"/>
        </w:rPr>
      </w:pPr>
      <w:r>
        <w:rPr>
          <w:rFonts w:ascii="方正楷体_GBK" w:hAnsi="Times New Roman" w:eastAsia="方正楷体_GBK" w:cs="Times New Roman"/>
          <w:snapToGrid w:val="0"/>
          <w:kern w:val="0"/>
          <w:sz w:val="32"/>
          <w:szCs w:val="32"/>
        </w:rPr>
        <w:t xml:space="preserve">1. </w:t>
      </w:r>
      <w:r>
        <w:rPr>
          <w:rFonts w:hint="eastAsia" w:ascii="方正仿宋_GBK" w:hAnsi="Times New Roman" w:eastAsia="方正仿宋_GBK" w:cs="Times New Roman"/>
          <w:snapToGrid w:val="0"/>
          <w:kern w:val="0"/>
          <w:sz w:val="32"/>
          <w:szCs w:val="32"/>
        </w:rPr>
        <w:t>201</w:t>
      </w:r>
      <w:r>
        <w:rPr>
          <w:rFonts w:ascii="方正仿宋_GBK" w:hAnsi="Times New Roman" w:eastAsia="方正仿宋_GBK" w:cs="Times New Roman"/>
          <w:snapToGrid w:val="0"/>
          <w:kern w:val="0"/>
          <w:sz w:val="32"/>
          <w:szCs w:val="32"/>
        </w:rPr>
        <w:t>8</w:t>
      </w:r>
      <w:r>
        <w:rPr>
          <w:rFonts w:hint="eastAsia" w:ascii="方正仿宋_GBK" w:hAnsi="Times New Roman" w:eastAsia="方正仿宋_GBK" w:cs="Times New Roman"/>
          <w:snapToGrid w:val="0"/>
          <w:kern w:val="0"/>
          <w:sz w:val="32"/>
          <w:szCs w:val="32"/>
        </w:rPr>
        <w:t>年度目标：</w:t>
      </w:r>
      <w:r>
        <w:rPr>
          <w:rFonts w:hint="eastAsia" w:ascii="Times New Roman" w:hAnsi="Times New Roman" w:eastAsia="方正仿宋_GBK" w:cs="Times New Roman"/>
          <w:color w:val="000000"/>
          <w:sz w:val="32"/>
          <w:szCs w:val="32"/>
        </w:rPr>
        <w:t>工作场所职业病危害因素定期检测率达到</w:t>
      </w:r>
      <w:r>
        <w:rPr>
          <w:rFonts w:ascii="Times New Roman" w:hAnsi="Times New Roman" w:eastAsia="方正仿宋_GBK" w:cs="Times New Roman"/>
          <w:color w:val="000000"/>
          <w:sz w:val="32"/>
          <w:szCs w:val="32"/>
        </w:rPr>
        <w:t>60%</w:t>
      </w:r>
      <w:r>
        <w:rPr>
          <w:rFonts w:hint="eastAsia" w:ascii="Times New Roman" w:hAnsi="Times New Roman" w:eastAsia="方正仿宋_GBK" w:cs="Times New Roman"/>
          <w:color w:val="000000"/>
          <w:sz w:val="32"/>
          <w:szCs w:val="32"/>
        </w:rPr>
        <w:t>以上，接触职业病危害的劳动者在岗期间职业健康检查率达到</w:t>
      </w:r>
      <w:r>
        <w:rPr>
          <w:rFonts w:ascii="Times New Roman" w:hAnsi="Times New Roman" w:eastAsia="方正仿宋_GBK" w:cs="Times New Roman"/>
          <w:color w:val="000000"/>
          <w:sz w:val="32"/>
          <w:szCs w:val="32"/>
        </w:rPr>
        <w:t>70%</w:t>
      </w:r>
      <w:r>
        <w:rPr>
          <w:rFonts w:hint="eastAsia" w:ascii="Times New Roman" w:hAnsi="Times New Roman" w:eastAsia="方正仿宋_GBK" w:cs="Times New Roman"/>
          <w:color w:val="000000"/>
          <w:sz w:val="32"/>
          <w:szCs w:val="32"/>
        </w:rPr>
        <w:t>以上，主要负责人、职业卫生管理人员职业卫生培训率均达到</w:t>
      </w:r>
      <w:r>
        <w:rPr>
          <w:rFonts w:ascii="Times New Roman" w:hAnsi="Times New Roman" w:eastAsia="方正仿宋_GBK" w:cs="Times New Roman"/>
          <w:color w:val="000000"/>
          <w:sz w:val="32"/>
          <w:szCs w:val="32"/>
        </w:rPr>
        <w:t>90%</w:t>
      </w:r>
      <w:r>
        <w:rPr>
          <w:rFonts w:hint="eastAsia" w:ascii="Times New Roman" w:hAnsi="Times New Roman" w:eastAsia="方正仿宋_GBK" w:cs="Times New Roman"/>
          <w:color w:val="000000"/>
          <w:sz w:val="32"/>
          <w:szCs w:val="32"/>
        </w:rPr>
        <w:t>以上。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Times New Roman" w:hAnsi="Times New Roman" w:eastAsia="方正仿宋_GBK" w:cs="Times New Roman"/>
          <w:color w:val="000000"/>
          <w:sz w:val="32"/>
          <w:szCs w:val="32"/>
        </w:rPr>
      </w:pPr>
      <w:r>
        <w:rPr>
          <w:rFonts w:ascii="方正楷体_GBK" w:hAnsi="Times New Roman" w:eastAsia="方正楷体_GBK" w:cs="Times New Roman"/>
          <w:snapToGrid w:val="0"/>
          <w:kern w:val="0"/>
          <w:sz w:val="32"/>
          <w:szCs w:val="32"/>
        </w:rPr>
        <w:t xml:space="preserve">2. </w:t>
      </w:r>
      <w:r>
        <w:rPr>
          <w:rFonts w:hint="eastAsia" w:ascii="方正仿宋_GBK" w:hAnsi="Times New Roman" w:eastAsia="方正仿宋_GBK" w:cs="Times New Roman"/>
          <w:snapToGrid w:val="0"/>
          <w:kern w:val="0"/>
          <w:sz w:val="32"/>
          <w:szCs w:val="32"/>
        </w:rPr>
        <w:t>201</w:t>
      </w:r>
      <w:r>
        <w:rPr>
          <w:rFonts w:ascii="方正仿宋_GBK" w:hAnsi="Times New Roman" w:eastAsia="方正仿宋_GBK" w:cs="Times New Roman"/>
          <w:snapToGrid w:val="0"/>
          <w:kern w:val="0"/>
          <w:sz w:val="32"/>
          <w:szCs w:val="32"/>
        </w:rPr>
        <w:t>9</w:t>
      </w:r>
      <w:r>
        <w:rPr>
          <w:rFonts w:hint="eastAsia" w:ascii="方正仿宋_GBK" w:hAnsi="Times New Roman" w:eastAsia="方正仿宋_GBK" w:cs="Times New Roman"/>
          <w:snapToGrid w:val="0"/>
          <w:kern w:val="0"/>
          <w:sz w:val="32"/>
          <w:szCs w:val="32"/>
        </w:rPr>
        <w:t>年工</w:t>
      </w:r>
      <w:r>
        <w:rPr>
          <w:rFonts w:ascii="方正仿宋_GBK" w:hAnsi="Times New Roman" w:eastAsia="方正仿宋_GBK" w:cs="Times New Roman"/>
          <w:snapToGrid w:val="0"/>
          <w:kern w:val="0"/>
          <w:sz w:val="32"/>
          <w:szCs w:val="32"/>
        </w:rPr>
        <w:t>作</w:t>
      </w:r>
      <w:r>
        <w:rPr>
          <w:rFonts w:hint="eastAsia" w:ascii="方正仿宋_GBK" w:hAnsi="Times New Roman" w:eastAsia="方正仿宋_GBK" w:cs="Times New Roman"/>
          <w:snapToGrid w:val="0"/>
          <w:kern w:val="0"/>
          <w:sz w:val="32"/>
          <w:szCs w:val="32"/>
        </w:rPr>
        <w:t>目标：</w:t>
      </w:r>
      <w:r>
        <w:rPr>
          <w:rFonts w:hint="eastAsia" w:ascii="Times New Roman" w:hAnsi="Times New Roman" w:eastAsia="方正仿宋_GBK" w:cs="Times New Roman"/>
          <w:color w:val="000000"/>
          <w:sz w:val="32"/>
          <w:szCs w:val="32"/>
        </w:rPr>
        <w:t>工作场所职业病危害因素定期检测率达到</w:t>
      </w:r>
      <w:r>
        <w:rPr>
          <w:rFonts w:ascii="Times New Roman" w:hAnsi="Times New Roman" w:eastAsia="方正仿宋_GBK" w:cs="Times New Roman"/>
          <w:color w:val="000000"/>
          <w:sz w:val="32"/>
          <w:szCs w:val="32"/>
        </w:rPr>
        <w:t>70%</w:t>
      </w:r>
      <w:r>
        <w:rPr>
          <w:rFonts w:hint="eastAsia" w:ascii="Times New Roman" w:hAnsi="Times New Roman" w:eastAsia="方正仿宋_GBK" w:cs="Times New Roman"/>
          <w:color w:val="000000"/>
          <w:sz w:val="32"/>
          <w:szCs w:val="32"/>
        </w:rPr>
        <w:t>以上，接触职业病危害的劳动者在岗期间职业健康检查率达到</w:t>
      </w:r>
      <w:r>
        <w:rPr>
          <w:rFonts w:ascii="Times New Roman" w:hAnsi="Times New Roman" w:eastAsia="方正仿宋_GBK" w:cs="Times New Roman"/>
          <w:color w:val="000000"/>
          <w:sz w:val="32"/>
          <w:szCs w:val="32"/>
        </w:rPr>
        <w:t>80%</w:t>
      </w:r>
      <w:r>
        <w:rPr>
          <w:rFonts w:hint="eastAsia" w:ascii="Times New Roman" w:hAnsi="Times New Roman" w:eastAsia="方正仿宋_GBK" w:cs="Times New Roman"/>
          <w:color w:val="000000"/>
          <w:sz w:val="32"/>
          <w:szCs w:val="32"/>
        </w:rPr>
        <w:t>以上。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Times New Roman" w:hAnsi="Times New Roman" w:eastAsia="方正仿宋_GBK" w:cs="Times New Roman"/>
          <w:color w:val="000000"/>
          <w:sz w:val="32"/>
          <w:szCs w:val="32"/>
        </w:rPr>
      </w:pPr>
      <w:r>
        <w:rPr>
          <w:rFonts w:ascii="方正楷体_GBK" w:hAnsi="Times New Roman" w:eastAsia="方正楷体_GBK" w:cs="Times New Roman"/>
          <w:snapToGrid w:val="0"/>
          <w:kern w:val="0"/>
          <w:sz w:val="32"/>
          <w:szCs w:val="32"/>
        </w:rPr>
        <w:t xml:space="preserve">3. </w:t>
      </w:r>
      <w:r>
        <w:rPr>
          <w:rFonts w:hint="eastAsia" w:ascii="方正仿宋_GBK" w:hAnsi="Times New Roman" w:eastAsia="方正仿宋_GBK" w:cs="Times New Roman"/>
          <w:snapToGrid w:val="0"/>
          <w:kern w:val="0"/>
          <w:sz w:val="32"/>
          <w:szCs w:val="32"/>
        </w:rPr>
        <w:t>20</w:t>
      </w:r>
      <w:r>
        <w:rPr>
          <w:rFonts w:ascii="方正仿宋_GBK" w:hAnsi="Times New Roman" w:eastAsia="方正仿宋_GBK" w:cs="Times New Roman"/>
          <w:snapToGrid w:val="0"/>
          <w:kern w:val="0"/>
          <w:sz w:val="32"/>
          <w:szCs w:val="32"/>
        </w:rPr>
        <w:t>20</w:t>
      </w:r>
      <w:r>
        <w:rPr>
          <w:rFonts w:hint="eastAsia" w:ascii="方正仿宋_GBK" w:hAnsi="Times New Roman" w:eastAsia="方正仿宋_GBK" w:cs="Times New Roman"/>
          <w:snapToGrid w:val="0"/>
          <w:kern w:val="0"/>
          <w:sz w:val="32"/>
          <w:szCs w:val="32"/>
        </w:rPr>
        <w:t>年工</w:t>
      </w:r>
      <w:r>
        <w:rPr>
          <w:rFonts w:ascii="方正仿宋_GBK" w:hAnsi="Times New Roman" w:eastAsia="方正仿宋_GBK" w:cs="Times New Roman"/>
          <w:snapToGrid w:val="0"/>
          <w:kern w:val="0"/>
          <w:sz w:val="32"/>
          <w:szCs w:val="32"/>
        </w:rPr>
        <w:t>作</w:t>
      </w:r>
      <w:r>
        <w:rPr>
          <w:rFonts w:hint="eastAsia" w:ascii="方正仿宋_GBK" w:hAnsi="Times New Roman" w:eastAsia="方正仿宋_GBK" w:cs="Times New Roman"/>
          <w:snapToGrid w:val="0"/>
          <w:kern w:val="0"/>
          <w:sz w:val="32"/>
          <w:szCs w:val="32"/>
        </w:rPr>
        <w:t>目标：</w:t>
      </w:r>
      <w:r>
        <w:rPr>
          <w:rFonts w:hint="eastAsia" w:ascii="Times New Roman" w:hAnsi="Times New Roman" w:eastAsia="方正仿宋_GBK" w:cs="Times New Roman"/>
          <w:color w:val="000000"/>
          <w:sz w:val="32"/>
          <w:szCs w:val="32"/>
        </w:rPr>
        <w:t>重点行业的用人单位职业病危害项目申报率达到</w:t>
      </w:r>
      <w:r>
        <w:rPr>
          <w:rFonts w:ascii="Times New Roman" w:hAnsi="Times New Roman" w:eastAsia="方正仿宋_GBK" w:cs="Times New Roman"/>
          <w:color w:val="000000"/>
          <w:sz w:val="32"/>
          <w:szCs w:val="32"/>
        </w:rPr>
        <w:t>85%</w:t>
      </w:r>
      <w:r>
        <w:rPr>
          <w:rFonts w:hint="eastAsia" w:ascii="Times New Roman" w:hAnsi="Times New Roman" w:eastAsia="方正仿宋_GBK" w:cs="Times New Roman"/>
          <w:color w:val="000000"/>
          <w:sz w:val="32"/>
          <w:szCs w:val="32"/>
        </w:rPr>
        <w:t>以上，工作场所职业病危害因素定期检测率达到</w:t>
      </w:r>
      <w:r>
        <w:rPr>
          <w:rFonts w:ascii="Times New Roman" w:hAnsi="Times New Roman" w:eastAsia="方正仿宋_GBK" w:cs="Times New Roman"/>
          <w:color w:val="000000"/>
          <w:sz w:val="32"/>
          <w:szCs w:val="32"/>
        </w:rPr>
        <w:t>80%</w:t>
      </w:r>
      <w:r>
        <w:rPr>
          <w:rFonts w:hint="eastAsia" w:ascii="Times New Roman" w:hAnsi="Times New Roman" w:eastAsia="方正仿宋_GBK" w:cs="Times New Roman"/>
          <w:color w:val="000000"/>
          <w:sz w:val="32"/>
          <w:szCs w:val="32"/>
        </w:rPr>
        <w:t>以上，接触职业病危害的劳动者在岗期间职业健康检查率达到</w:t>
      </w:r>
      <w:r>
        <w:rPr>
          <w:rFonts w:ascii="Times New Roman" w:hAnsi="Times New Roman" w:eastAsia="方正仿宋_GBK" w:cs="Times New Roman"/>
          <w:color w:val="000000"/>
          <w:sz w:val="32"/>
          <w:szCs w:val="32"/>
        </w:rPr>
        <w:t>90%</w:t>
      </w:r>
      <w:r>
        <w:rPr>
          <w:rFonts w:hint="eastAsia" w:ascii="Times New Roman" w:hAnsi="Times New Roman" w:eastAsia="方正仿宋_GBK" w:cs="Times New Roman"/>
          <w:color w:val="000000"/>
          <w:sz w:val="32"/>
          <w:szCs w:val="32"/>
        </w:rPr>
        <w:t>以上，主要负责人、职业卫生管理人员职业卫生培训率均达到</w:t>
      </w:r>
      <w:r>
        <w:rPr>
          <w:rFonts w:ascii="Times New Roman" w:hAnsi="Times New Roman" w:eastAsia="方正仿宋_GBK" w:cs="Times New Roman"/>
          <w:color w:val="000000"/>
          <w:sz w:val="32"/>
          <w:szCs w:val="32"/>
        </w:rPr>
        <w:t>95%</w:t>
      </w:r>
      <w:r>
        <w:rPr>
          <w:rFonts w:hint="eastAsia" w:ascii="Times New Roman" w:hAnsi="Times New Roman" w:eastAsia="方正仿宋_GBK" w:cs="Times New Roman"/>
          <w:color w:val="000000"/>
          <w:sz w:val="32"/>
          <w:szCs w:val="32"/>
        </w:rPr>
        <w:t>以上。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黑体_GBK" w:hAnsi="仿宋" w:eastAsia="方正黑体_GBK" w:cs="Times New Roman"/>
          <w:sz w:val="32"/>
          <w:szCs w:val="32"/>
        </w:rPr>
      </w:pPr>
      <w:r>
        <w:rPr>
          <w:rFonts w:hint="eastAsia" w:ascii="方正黑体_GBK" w:hAnsi="仿宋" w:eastAsia="方正黑体_GBK" w:cs="Times New Roman"/>
          <w:sz w:val="32"/>
          <w:szCs w:val="32"/>
        </w:rPr>
        <w:t>三、主要内容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将</w:t>
      </w:r>
      <w:r>
        <w:rPr>
          <w:rFonts w:ascii="方正仿宋_GBK" w:hAnsi="Times New Roman" w:eastAsia="方正仿宋_GBK" w:cs="Times New Roman"/>
          <w:sz w:val="32"/>
          <w:szCs w:val="32"/>
        </w:rPr>
        <w:t>职业</w:t>
      </w:r>
      <w:r>
        <w:rPr>
          <w:rFonts w:hint="eastAsia" w:ascii="方正仿宋_GBK" w:hAnsi="Times New Roman" w:eastAsia="方正仿宋_GBK" w:cs="Times New Roman"/>
          <w:sz w:val="32"/>
          <w:szCs w:val="32"/>
        </w:rPr>
        <w:t>健康</w:t>
      </w:r>
      <w:r>
        <w:rPr>
          <w:rFonts w:ascii="方正仿宋_GBK" w:hAnsi="Times New Roman" w:eastAsia="方正仿宋_GBK" w:cs="Times New Roman"/>
          <w:sz w:val="32"/>
          <w:szCs w:val="32"/>
        </w:rPr>
        <w:t>基础建设内容与监督</w:t>
      </w:r>
      <w:r>
        <w:rPr>
          <w:rFonts w:hint="eastAsia" w:ascii="方正仿宋_GBK" w:hAnsi="Times New Roman" w:eastAsia="方正仿宋_GBK" w:cs="Times New Roman"/>
          <w:sz w:val="32"/>
          <w:szCs w:val="32"/>
        </w:rPr>
        <w:t>检查</w:t>
      </w:r>
      <w:r>
        <w:rPr>
          <w:rFonts w:ascii="方正仿宋_GBK" w:hAnsi="Times New Roman" w:eastAsia="方正仿宋_GBK" w:cs="Times New Roman"/>
          <w:sz w:val="32"/>
          <w:szCs w:val="32"/>
        </w:rPr>
        <w:t>执法手册</w:t>
      </w:r>
      <w:r>
        <w:rPr>
          <w:rFonts w:hint="eastAsia" w:ascii="方正仿宋_GBK" w:hAnsi="Times New Roman" w:eastAsia="方正仿宋_GBK" w:cs="Times New Roman"/>
          <w:sz w:val="32"/>
          <w:szCs w:val="32"/>
        </w:rPr>
        <w:t>内容</w:t>
      </w:r>
      <w:r>
        <w:rPr>
          <w:rFonts w:ascii="方正仿宋_GBK" w:hAnsi="Times New Roman" w:eastAsia="方正仿宋_GBK" w:cs="Times New Roman"/>
          <w:sz w:val="32"/>
          <w:szCs w:val="32"/>
        </w:rPr>
        <w:t>整合，制定</w:t>
      </w:r>
      <w:r>
        <w:rPr>
          <w:rFonts w:hint="eastAsia" w:ascii="方正仿宋_GBK" w:hAnsi="Times New Roman" w:eastAsia="方正仿宋_GBK" w:cs="Times New Roman"/>
          <w:sz w:val="32"/>
          <w:szCs w:val="32"/>
        </w:rPr>
        <w:t>《用人单位职业卫生基础建设监督</w:t>
      </w:r>
      <w:r>
        <w:rPr>
          <w:rFonts w:ascii="方正仿宋_GBK" w:hAnsi="Times New Roman" w:eastAsia="方正仿宋_GBK" w:cs="Times New Roman"/>
          <w:sz w:val="32"/>
          <w:szCs w:val="32"/>
        </w:rPr>
        <w:t>执法清单</w:t>
      </w:r>
      <w:r>
        <w:rPr>
          <w:rFonts w:hint="eastAsia" w:ascii="方正仿宋_GBK" w:hAnsi="Times New Roman" w:cs="Times New Roman"/>
          <w:sz w:val="32"/>
          <w:szCs w:val="32"/>
          <w:lang w:eastAsia="zh-CN"/>
        </w:rPr>
        <w:t>（试行）</w:t>
      </w:r>
      <w:r>
        <w:rPr>
          <w:rFonts w:hint="eastAsia" w:ascii="方正仿宋_GBK" w:hAnsi="Times New Roman" w:eastAsia="方正仿宋_GBK" w:cs="Times New Roman"/>
          <w:sz w:val="32"/>
          <w:szCs w:val="32"/>
        </w:rPr>
        <w:t>》（详见附件</w:t>
      </w:r>
      <w:r>
        <w:rPr>
          <w:rFonts w:ascii="方正仿宋_GBK" w:hAnsi="Times New Roman" w:eastAsia="方正仿宋_GBK" w:cs="Times New Roman"/>
          <w:sz w:val="32"/>
          <w:szCs w:val="32"/>
        </w:rPr>
        <w:t>4</w:t>
      </w:r>
      <w:r>
        <w:rPr>
          <w:rFonts w:hint="eastAsia" w:ascii="方正仿宋_GBK" w:hAnsi="Times New Roman" w:eastAsia="方正仿宋_GBK" w:cs="Times New Roman"/>
          <w:sz w:val="32"/>
          <w:szCs w:val="32"/>
        </w:rPr>
        <w:t>）。基础建设监督</w:t>
      </w:r>
      <w:r>
        <w:rPr>
          <w:rFonts w:ascii="方正仿宋_GBK" w:hAnsi="Times New Roman" w:eastAsia="方正仿宋_GBK" w:cs="Times New Roman"/>
          <w:sz w:val="32"/>
          <w:szCs w:val="32"/>
        </w:rPr>
        <w:t>执法</w:t>
      </w:r>
      <w:r>
        <w:rPr>
          <w:rFonts w:hint="eastAsia" w:ascii="方正仿宋_GBK" w:hAnsi="Times New Roman" w:eastAsia="方正仿宋_GBK" w:cs="Times New Roman"/>
          <w:sz w:val="32"/>
          <w:szCs w:val="32"/>
        </w:rPr>
        <w:t>重点突出职业卫生管理、</w:t>
      </w:r>
      <w:r>
        <w:rPr>
          <w:rFonts w:ascii="方正仿宋_GBK" w:hAnsi="Times New Roman" w:eastAsia="方正仿宋_GBK" w:cs="Times New Roman"/>
          <w:sz w:val="32"/>
          <w:szCs w:val="32"/>
        </w:rPr>
        <w:t>前期预防、</w:t>
      </w:r>
      <w:r>
        <w:rPr>
          <w:rFonts w:hint="eastAsia" w:ascii="方正仿宋_GBK" w:hAnsi="Times New Roman" w:eastAsia="方正仿宋_GBK" w:cs="Times New Roman"/>
          <w:sz w:val="32"/>
          <w:szCs w:val="32"/>
        </w:rPr>
        <w:t>工作场所管理、危害因素检测、职业病防护设施</w:t>
      </w:r>
      <w:r>
        <w:rPr>
          <w:rFonts w:ascii="方正仿宋_GBK" w:hAnsi="Times New Roman" w:eastAsia="方正仿宋_GBK" w:cs="Times New Roman"/>
          <w:sz w:val="32"/>
          <w:szCs w:val="32"/>
        </w:rPr>
        <w:t>、</w:t>
      </w:r>
      <w:r>
        <w:rPr>
          <w:rFonts w:hint="eastAsia" w:ascii="方正仿宋_GBK" w:hAnsi="Times New Roman" w:eastAsia="方正仿宋_GBK" w:cs="Times New Roman"/>
          <w:sz w:val="32"/>
          <w:szCs w:val="32"/>
        </w:rPr>
        <w:t>应急管理、个人防护、职业危害告知与警示标识、教育培训、健康</w:t>
      </w:r>
      <w:r>
        <w:rPr>
          <w:rFonts w:ascii="方正仿宋_GBK" w:hAnsi="Times New Roman" w:eastAsia="方正仿宋_GBK" w:cs="Times New Roman"/>
          <w:sz w:val="32"/>
          <w:szCs w:val="32"/>
        </w:rPr>
        <w:t>监护</w:t>
      </w:r>
      <w:r>
        <w:rPr>
          <w:rFonts w:hint="eastAsia" w:ascii="方正仿宋_GBK" w:hAnsi="Times New Roman" w:eastAsia="方正仿宋_GBK" w:cs="Times New Roman"/>
          <w:sz w:val="32"/>
          <w:szCs w:val="32"/>
        </w:rPr>
        <w:t>10个方面，共</w:t>
      </w:r>
      <w:r>
        <w:rPr>
          <w:rFonts w:ascii="方正仿宋_GBK" w:hAnsi="Times New Roman" w:eastAsia="方正仿宋_GBK" w:cs="Times New Roman"/>
          <w:sz w:val="32"/>
          <w:szCs w:val="32"/>
        </w:rPr>
        <w:t>29</w:t>
      </w:r>
      <w:r>
        <w:rPr>
          <w:rFonts w:hint="eastAsia" w:ascii="方正仿宋_GBK" w:hAnsi="Times New Roman" w:eastAsia="方正仿宋_GBK" w:cs="Times New Roman"/>
          <w:sz w:val="32"/>
          <w:szCs w:val="32"/>
        </w:rPr>
        <w:t>项</w:t>
      </w:r>
      <w:r>
        <w:rPr>
          <w:rFonts w:ascii="方正仿宋_GBK" w:hAnsi="Times New Roman" w:eastAsia="方正仿宋_GBK" w:cs="Times New Roman"/>
          <w:sz w:val="32"/>
          <w:szCs w:val="32"/>
        </w:rPr>
        <w:t>内容</w:t>
      </w:r>
      <w:r>
        <w:rPr>
          <w:rFonts w:hint="eastAsia" w:ascii="方正仿宋_GBK" w:hAnsi="Times New Roman" w:eastAsia="方正仿宋_GBK" w:cs="Times New Roman"/>
          <w:sz w:val="32"/>
          <w:szCs w:val="32"/>
        </w:rPr>
        <w:t>。</w:t>
      </w:r>
      <w:r>
        <w:rPr>
          <w:rFonts w:ascii="方正仿宋_GBK" w:hAnsi="Times New Roman" w:eastAsia="方正仿宋_GBK" w:cs="Times New Roman"/>
          <w:sz w:val="32"/>
          <w:szCs w:val="32"/>
        </w:rPr>
        <w:t>对</w:t>
      </w:r>
      <w:r>
        <w:rPr>
          <w:rFonts w:hint="eastAsia" w:ascii="方正仿宋_GBK" w:hAnsi="Times New Roman" w:eastAsia="方正仿宋_GBK" w:cs="Times New Roman"/>
          <w:sz w:val="32"/>
          <w:szCs w:val="32"/>
        </w:rPr>
        <w:t>重点</w:t>
      </w:r>
      <w:r>
        <w:rPr>
          <w:rFonts w:ascii="方正仿宋_GBK" w:hAnsi="Times New Roman" w:eastAsia="方正仿宋_GBK" w:cs="Times New Roman"/>
          <w:sz w:val="32"/>
          <w:szCs w:val="32"/>
        </w:rPr>
        <w:t>指标设置进行严格把关，防止</w:t>
      </w:r>
      <w:r>
        <w:rPr>
          <w:rFonts w:hint="eastAsia" w:ascii="方正仿宋_GBK" w:hAnsi="Times New Roman" w:eastAsia="方正仿宋_GBK" w:cs="Times New Roman"/>
          <w:sz w:val="32"/>
          <w:szCs w:val="32"/>
        </w:rPr>
        <w:t>用</w:t>
      </w:r>
      <w:r>
        <w:rPr>
          <w:rFonts w:ascii="方正仿宋_GBK" w:hAnsi="Times New Roman" w:eastAsia="方正仿宋_GBK" w:cs="Times New Roman"/>
          <w:sz w:val="32"/>
          <w:szCs w:val="32"/>
        </w:rPr>
        <w:t>人单位在</w:t>
      </w:r>
      <w:r>
        <w:rPr>
          <w:rFonts w:hint="eastAsia" w:ascii="方正仿宋_GBK" w:hAnsi="Times New Roman" w:eastAsia="方正仿宋_GBK" w:cs="Times New Roman"/>
          <w:sz w:val="32"/>
          <w:szCs w:val="32"/>
        </w:rPr>
        <w:t>职业</w:t>
      </w:r>
      <w:r>
        <w:rPr>
          <w:rFonts w:ascii="方正仿宋_GBK" w:hAnsi="Times New Roman" w:eastAsia="方正仿宋_GBK" w:cs="Times New Roman"/>
          <w:sz w:val="32"/>
          <w:szCs w:val="32"/>
        </w:rPr>
        <w:t>病</w:t>
      </w:r>
      <w:r>
        <w:rPr>
          <w:rFonts w:hint="eastAsia" w:ascii="方正仿宋_GBK" w:hAnsi="Times New Roman" w:eastAsia="方正仿宋_GBK" w:cs="Times New Roman"/>
          <w:sz w:val="32"/>
          <w:szCs w:val="32"/>
        </w:rPr>
        <w:t>防治</w:t>
      </w:r>
      <w:r>
        <w:rPr>
          <w:rFonts w:ascii="方正仿宋_GBK" w:hAnsi="Times New Roman" w:eastAsia="方正仿宋_GBK" w:cs="Times New Roman"/>
          <w:sz w:val="32"/>
          <w:szCs w:val="32"/>
        </w:rPr>
        <w:t>过程中</w:t>
      </w:r>
      <w:r>
        <w:rPr>
          <w:rFonts w:hint="eastAsia" w:ascii="方正仿宋_GBK" w:hAnsi="Times New Roman" w:eastAsia="方正仿宋_GBK" w:cs="Times New Roman"/>
          <w:sz w:val="32"/>
          <w:szCs w:val="32"/>
        </w:rPr>
        <w:t>因</w:t>
      </w:r>
      <w:r>
        <w:rPr>
          <w:rFonts w:ascii="方正仿宋_GBK" w:hAnsi="Times New Roman" w:eastAsia="方正仿宋_GBK" w:cs="Times New Roman"/>
          <w:sz w:val="32"/>
          <w:szCs w:val="32"/>
        </w:rPr>
        <w:t>重点工作</w:t>
      </w:r>
      <w:r>
        <w:rPr>
          <w:rFonts w:hint="eastAsia" w:ascii="方正仿宋_GBK" w:hAnsi="Times New Roman" w:eastAsia="方正仿宋_GBK" w:cs="Times New Roman"/>
          <w:sz w:val="32"/>
          <w:szCs w:val="32"/>
        </w:rPr>
        <w:t>缺失而</w:t>
      </w:r>
      <w:r>
        <w:rPr>
          <w:rFonts w:ascii="方正仿宋_GBK" w:hAnsi="Times New Roman" w:eastAsia="方正仿宋_GBK" w:cs="Times New Roman"/>
          <w:sz w:val="32"/>
          <w:szCs w:val="32"/>
        </w:rPr>
        <w:t>引发职业病</w:t>
      </w:r>
      <w:r>
        <w:rPr>
          <w:rFonts w:hint="eastAsia" w:ascii="方正仿宋_GBK"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黑体_GBK" w:hAnsi="仿宋" w:eastAsia="方正黑体_GBK" w:cs="Times New Roman"/>
          <w:sz w:val="32"/>
          <w:szCs w:val="32"/>
        </w:rPr>
      </w:pPr>
      <w:r>
        <w:rPr>
          <w:rFonts w:hint="eastAsia" w:ascii="方正黑体_GBK" w:hAnsi="仿宋" w:eastAsia="方正黑体_GBK" w:cs="Times New Roman"/>
          <w:sz w:val="32"/>
          <w:szCs w:val="32"/>
        </w:rPr>
        <w:t>四、主要范围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仿宋_GBK" w:hAnsi="仿宋" w:eastAsia="方正仿宋_GBK" w:cs="Times New Roman"/>
          <w:sz w:val="32"/>
          <w:szCs w:val="32"/>
        </w:rPr>
        <w:t>（一）纳入申报</w:t>
      </w:r>
      <w:r>
        <w:rPr>
          <w:rFonts w:ascii="方正仿宋_GBK" w:hAnsi="仿宋" w:eastAsia="方正仿宋_GBK" w:cs="Times New Roman"/>
          <w:sz w:val="32"/>
          <w:szCs w:val="32"/>
        </w:rPr>
        <w:t>系统</w:t>
      </w:r>
      <w:r>
        <w:rPr>
          <w:rFonts w:hint="eastAsia" w:ascii="方正仿宋_GBK" w:hAnsi="仿宋" w:eastAsia="方正仿宋_GBK" w:cs="Times New Roman"/>
          <w:sz w:val="32"/>
          <w:szCs w:val="32"/>
        </w:rPr>
        <w:t>的</w:t>
      </w:r>
      <w:r>
        <w:rPr>
          <w:rFonts w:hint="eastAsia" w:ascii="方正仿宋_GBK" w:hAnsi="Times New Roman" w:eastAsia="方正仿宋_GBK" w:cs="Times New Roman"/>
          <w:sz w:val="32"/>
          <w:szCs w:val="32"/>
        </w:rPr>
        <w:t>用人单位。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（二）重点突出木质家具（门业）制造、制鞋（革）、非煤矿山开采与加工、</w:t>
      </w:r>
      <w:r>
        <w:rPr>
          <w:rFonts w:ascii="方正仿宋_GBK" w:hAnsi="Times New Roman" w:eastAsia="方正仿宋_GBK" w:cs="Times New Roman"/>
          <w:sz w:val="32"/>
          <w:szCs w:val="32"/>
        </w:rPr>
        <w:t>化工、</w:t>
      </w:r>
      <w:r>
        <w:rPr>
          <w:rFonts w:hint="eastAsia" w:ascii="方正仿宋_GBK" w:hAnsi="Times New Roman" w:eastAsia="方正仿宋_GBK" w:cs="Times New Roman"/>
          <w:sz w:val="32"/>
          <w:szCs w:val="32"/>
        </w:rPr>
        <w:t>建材生产与加工（水泥、石材、陶瓷、玻璃、涂料、耐火材料）、金属冶炼、机械（机电）制造与加工、化工产品生产、纺织、印染、汽车</w:t>
      </w:r>
      <w:r>
        <w:rPr>
          <w:rFonts w:ascii="方正仿宋_GBK" w:hAnsi="Times New Roman" w:eastAsia="方正仿宋_GBK" w:cs="Times New Roman"/>
          <w:sz w:val="32"/>
          <w:szCs w:val="32"/>
        </w:rPr>
        <w:t>制造</w:t>
      </w:r>
      <w:r>
        <w:rPr>
          <w:rFonts w:hint="eastAsia" w:ascii="方正仿宋_GBK" w:hAnsi="Times New Roman" w:eastAsia="方正仿宋_GBK" w:cs="Times New Roman"/>
          <w:sz w:val="32"/>
          <w:szCs w:val="32"/>
        </w:rPr>
        <w:t>（汽车4Ｓ店修理厂）、铅蓄电池生产、火力发电、城市供水生产或污水处理、造纸、电子产品制造、橡胶或塑料制品的生产与加工等产生粉尘与有毒有害物质较多的重点行业（领域）。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黑体_GBK" w:hAnsi="仿宋" w:eastAsia="方正黑体_GBK" w:cs="Times New Roman"/>
          <w:sz w:val="32"/>
          <w:szCs w:val="32"/>
        </w:rPr>
      </w:pPr>
      <w:r>
        <w:rPr>
          <w:rFonts w:hint="eastAsia" w:ascii="方正黑体_GBK" w:hAnsi="仿宋" w:eastAsia="方正黑体_GBK" w:cs="Times New Roman"/>
          <w:sz w:val="32"/>
          <w:szCs w:val="32"/>
        </w:rPr>
        <w:t>五</w:t>
      </w:r>
      <w:r>
        <w:rPr>
          <w:rFonts w:ascii="方正黑体_GBK" w:hAnsi="仿宋" w:eastAsia="方正黑体_GBK" w:cs="Times New Roman"/>
          <w:sz w:val="32"/>
          <w:szCs w:val="32"/>
        </w:rPr>
        <w:t>、</w:t>
      </w:r>
      <w:r>
        <w:rPr>
          <w:rFonts w:hint="eastAsia" w:ascii="方正黑体_GBK" w:hAnsi="仿宋" w:eastAsia="方正黑体_GBK" w:cs="Times New Roman"/>
          <w:sz w:val="32"/>
          <w:szCs w:val="32"/>
        </w:rPr>
        <w:t>工作程序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将基础</w:t>
      </w:r>
      <w:r>
        <w:rPr>
          <w:rFonts w:ascii="方正仿宋_GBK" w:hAnsi="Times New Roman" w:eastAsia="方正仿宋_GBK" w:cs="Times New Roman"/>
          <w:sz w:val="32"/>
          <w:szCs w:val="32"/>
        </w:rPr>
        <w:t>建设监督执法</w:t>
      </w:r>
      <w:r>
        <w:rPr>
          <w:rFonts w:hint="eastAsia" w:ascii="方正仿宋_GBK" w:hAnsi="Times New Roman" w:eastAsia="方正仿宋_GBK" w:cs="Times New Roman"/>
          <w:sz w:val="32"/>
          <w:szCs w:val="32"/>
        </w:rPr>
        <w:t>、基础建设创建</w:t>
      </w:r>
      <w:r>
        <w:rPr>
          <w:rFonts w:ascii="方正仿宋_GBK" w:hAnsi="Times New Roman" w:eastAsia="方正仿宋_GBK" w:cs="Times New Roman"/>
          <w:sz w:val="32"/>
          <w:szCs w:val="32"/>
        </w:rPr>
        <w:t>与</w:t>
      </w:r>
      <w:r>
        <w:rPr>
          <w:rFonts w:hint="eastAsia" w:ascii="方正仿宋_GBK" w:hAnsi="Times New Roman" w:eastAsia="方正仿宋_GBK" w:cs="Times New Roman"/>
          <w:sz w:val="32"/>
          <w:szCs w:val="32"/>
        </w:rPr>
        <w:t>职业健康分类分级监管有</w:t>
      </w:r>
      <w:r>
        <w:rPr>
          <w:rFonts w:ascii="方正仿宋_GBK" w:hAnsi="Times New Roman" w:eastAsia="方正仿宋_GBK" w:cs="Times New Roman"/>
          <w:sz w:val="32"/>
          <w:szCs w:val="32"/>
        </w:rPr>
        <w:t>机结合</w:t>
      </w:r>
      <w:r>
        <w:rPr>
          <w:rFonts w:hint="eastAsia" w:ascii="方正仿宋_GBK" w:hAnsi="Times New Roman" w:eastAsia="方正仿宋_GBK" w:cs="Times New Roman"/>
          <w:sz w:val="32"/>
          <w:szCs w:val="32"/>
        </w:rPr>
        <w:t>起来</w:t>
      </w:r>
      <w:r>
        <w:rPr>
          <w:rFonts w:ascii="方正仿宋_GBK" w:hAnsi="Times New Roman" w:eastAsia="方正仿宋_GBK" w:cs="Times New Roman"/>
          <w:sz w:val="32"/>
          <w:szCs w:val="32"/>
        </w:rPr>
        <w:t>。</w:t>
      </w:r>
      <w:r>
        <w:rPr>
          <w:rFonts w:hint="eastAsia" w:ascii="方正仿宋_GBK" w:hAnsi="Times New Roman" w:eastAsia="方正仿宋_GBK" w:cs="Times New Roman"/>
          <w:sz w:val="32"/>
          <w:szCs w:val="32"/>
        </w:rPr>
        <w:t>安</w:t>
      </w:r>
      <w:r>
        <w:rPr>
          <w:rFonts w:ascii="方正仿宋_GBK" w:hAnsi="Times New Roman" w:eastAsia="方正仿宋_GBK" w:cs="Times New Roman"/>
          <w:sz w:val="32"/>
          <w:szCs w:val="32"/>
        </w:rPr>
        <w:t>监</w:t>
      </w:r>
      <w:r>
        <w:rPr>
          <w:rFonts w:hint="eastAsia" w:ascii="方正仿宋_GBK" w:hAnsi="Times New Roman" w:eastAsia="方正仿宋_GBK" w:cs="Times New Roman"/>
          <w:sz w:val="32"/>
          <w:szCs w:val="32"/>
        </w:rPr>
        <w:t>部门按照年初制定</w:t>
      </w:r>
      <w:r>
        <w:rPr>
          <w:rFonts w:ascii="方正仿宋_GBK" w:hAnsi="Times New Roman" w:eastAsia="方正仿宋_GBK" w:cs="Times New Roman"/>
          <w:sz w:val="32"/>
          <w:szCs w:val="32"/>
        </w:rPr>
        <w:t>的监督执法工作方案，组成</w:t>
      </w:r>
      <w:r>
        <w:rPr>
          <w:rFonts w:hint="eastAsia" w:ascii="方正仿宋_GBK" w:hAnsi="Times New Roman" w:eastAsia="方正仿宋_GBK" w:cs="Times New Roman"/>
          <w:sz w:val="32"/>
          <w:szCs w:val="32"/>
        </w:rPr>
        <w:t>基础</w:t>
      </w:r>
      <w:r>
        <w:rPr>
          <w:rFonts w:ascii="方正仿宋_GBK" w:hAnsi="Times New Roman" w:eastAsia="方正仿宋_GBK" w:cs="Times New Roman"/>
          <w:sz w:val="32"/>
          <w:szCs w:val="32"/>
        </w:rPr>
        <w:t>建设监督执法组</w:t>
      </w:r>
      <w:r>
        <w:rPr>
          <w:rFonts w:hint="eastAsia" w:ascii="方正仿宋_GBK" w:hAnsi="Times New Roman" w:eastAsia="方正仿宋_GBK" w:cs="Times New Roman"/>
          <w:sz w:val="32"/>
          <w:szCs w:val="32"/>
        </w:rPr>
        <w:t>，</w:t>
      </w:r>
      <w:r>
        <w:rPr>
          <w:rFonts w:ascii="方正仿宋_GBK" w:hAnsi="Times New Roman" w:eastAsia="方正仿宋_GBK" w:cs="Times New Roman"/>
          <w:sz w:val="32"/>
          <w:szCs w:val="32"/>
        </w:rPr>
        <w:t>由</w:t>
      </w:r>
      <w:r>
        <w:rPr>
          <w:rFonts w:hint="eastAsia" w:ascii="方正仿宋_GBK" w:hAnsi="Times New Roman" w:eastAsia="方正仿宋_GBK" w:cs="Times New Roman"/>
          <w:sz w:val="32"/>
          <w:szCs w:val="32"/>
        </w:rPr>
        <w:t>2名</w:t>
      </w:r>
      <w:r>
        <w:rPr>
          <w:rFonts w:ascii="方正仿宋_GBK" w:hAnsi="Times New Roman" w:eastAsia="方正仿宋_GBK" w:cs="Times New Roman"/>
          <w:sz w:val="32"/>
          <w:szCs w:val="32"/>
        </w:rPr>
        <w:t>以上监管人员</w:t>
      </w:r>
      <w:r>
        <w:rPr>
          <w:rFonts w:hint="eastAsia" w:ascii="方正仿宋_GBK" w:hAnsi="Times New Roman" w:eastAsia="方正仿宋_GBK" w:cs="Times New Roman"/>
          <w:sz w:val="32"/>
          <w:szCs w:val="32"/>
        </w:rPr>
        <w:t>组成，</w:t>
      </w:r>
      <w:r>
        <w:rPr>
          <w:rFonts w:ascii="方正仿宋_GBK" w:hAnsi="Times New Roman" w:eastAsia="方正仿宋_GBK" w:cs="Times New Roman"/>
          <w:sz w:val="32"/>
          <w:szCs w:val="32"/>
        </w:rPr>
        <w:t>必要时</w:t>
      </w:r>
      <w:r>
        <w:rPr>
          <w:rFonts w:hint="eastAsia" w:ascii="方正仿宋_GBK" w:hAnsi="Times New Roman" w:eastAsia="方正仿宋_GBK" w:cs="Times New Roman"/>
          <w:sz w:val="32"/>
          <w:szCs w:val="32"/>
        </w:rPr>
        <w:t>邀请职业</w:t>
      </w:r>
      <w:r>
        <w:rPr>
          <w:rFonts w:ascii="方正仿宋_GBK" w:hAnsi="Times New Roman" w:eastAsia="方正仿宋_GBK" w:cs="Times New Roman"/>
          <w:sz w:val="32"/>
          <w:szCs w:val="32"/>
        </w:rPr>
        <w:t>卫生专家</w:t>
      </w:r>
      <w:r>
        <w:rPr>
          <w:rFonts w:hint="eastAsia" w:ascii="方正仿宋_GBK" w:hAnsi="Times New Roman" w:eastAsia="方正仿宋_GBK" w:cs="Times New Roman"/>
          <w:sz w:val="32"/>
          <w:szCs w:val="32"/>
        </w:rPr>
        <w:t>参与</w:t>
      </w:r>
      <w:r>
        <w:rPr>
          <w:rFonts w:ascii="方正仿宋_GBK" w:hAnsi="Times New Roman" w:eastAsia="方正仿宋_GBK" w:cs="Times New Roman"/>
          <w:sz w:val="32"/>
          <w:szCs w:val="32"/>
        </w:rPr>
        <w:t>。</w:t>
      </w:r>
      <w:r>
        <w:rPr>
          <w:rFonts w:hint="eastAsia" w:ascii="方正仿宋_GBK" w:hAnsi="Times New Roman" w:eastAsia="方正仿宋_GBK" w:cs="Times New Roman"/>
          <w:sz w:val="32"/>
          <w:szCs w:val="32"/>
        </w:rPr>
        <w:t>按照“检查</w:t>
      </w:r>
      <w:r>
        <w:rPr>
          <w:rFonts w:ascii="方正仿宋_GBK" w:hAnsi="Times New Roman" w:eastAsia="方正仿宋_GBK" w:cs="Times New Roman"/>
          <w:sz w:val="32"/>
          <w:szCs w:val="32"/>
        </w:rPr>
        <w:t>评定、行政处罚、整改验收</w:t>
      </w:r>
      <w:r>
        <w:rPr>
          <w:rFonts w:hint="eastAsia" w:ascii="方正仿宋_GBK" w:hAnsi="Times New Roman" w:eastAsia="方正仿宋_GBK" w:cs="Times New Roman"/>
          <w:sz w:val="32"/>
          <w:szCs w:val="32"/>
        </w:rPr>
        <w:t>”的</w:t>
      </w:r>
      <w:r>
        <w:rPr>
          <w:rFonts w:ascii="方正仿宋_GBK" w:hAnsi="Times New Roman" w:eastAsia="方正仿宋_GBK" w:cs="Times New Roman"/>
          <w:sz w:val="32"/>
          <w:szCs w:val="32"/>
        </w:rPr>
        <w:t>程序</w:t>
      </w:r>
      <w:r>
        <w:rPr>
          <w:rFonts w:hint="eastAsia" w:ascii="方正仿宋_GBK" w:hAnsi="Times New Roman" w:eastAsia="方正仿宋_GBK" w:cs="Times New Roman"/>
          <w:sz w:val="32"/>
          <w:szCs w:val="32"/>
        </w:rPr>
        <w:t>和“</w:t>
      </w:r>
      <w:r>
        <w:rPr>
          <w:rFonts w:ascii="方正仿宋_GBK" w:hAnsi="Times New Roman" w:eastAsia="方正仿宋_GBK" w:cs="Times New Roman"/>
          <w:sz w:val="32"/>
          <w:szCs w:val="32"/>
        </w:rPr>
        <w:t>先现场检查、</w:t>
      </w:r>
      <w:r>
        <w:rPr>
          <w:rFonts w:hint="eastAsia" w:ascii="方正仿宋_GBK" w:hAnsi="Times New Roman" w:eastAsia="方正仿宋_GBK" w:cs="Times New Roman"/>
          <w:sz w:val="32"/>
          <w:szCs w:val="32"/>
        </w:rPr>
        <w:t>后</w:t>
      </w:r>
      <w:r>
        <w:rPr>
          <w:rFonts w:ascii="方正仿宋_GBK" w:hAnsi="Times New Roman" w:eastAsia="方正仿宋_GBK" w:cs="Times New Roman"/>
          <w:sz w:val="32"/>
          <w:szCs w:val="32"/>
        </w:rPr>
        <w:t>资料印证</w:t>
      </w:r>
      <w:r>
        <w:rPr>
          <w:rFonts w:hint="eastAsia" w:ascii="方正仿宋_GBK" w:hAnsi="Times New Roman" w:eastAsia="方正仿宋_GBK" w:cs="Times New Roman"/>
          <w:sz w:val="32"/>
          <w:szCs w:val="32"/>
        </w:rPr>
        <w:t>”的</w:t>
      </w:r>
      <w:r>
        <w:rPr>
          <w:rFonts w:ascii="方正仿宋_GBK" w:hAnsi="Times New Roman" w:eastAsia="方正仿宋_GBK" w:cs="Times New Roman"/>
          <w:sz w:val="32"/>
          <w:szCs w:val="32"/>
        </w:rPr>
        <w:t>方式</w:t>
      </w:r>
      <w:r>
        <w:rPr>
          <w:rFonts w:hint="eastAsia" w:ascii="方正仿宋_GBK" w:hAnsi="Times New Roman" w:eastAsia="方正仿宋_GBK" w:cs="Times New Roman"/>
          <w:sz w:val="32"/>
          <w:szCs w:val="32"/>
        </w:rPr>
        <w:t>，</w:t>
      </w:r>
      <w:r>
        <w:rPr>
          <w:rFonts w:ascii="方正仿宋_GBK" w:hAnsi="Times New Roman" w:eastAsia="方正仿宋_GBK" w:cs="Times New Roman"/>
          <w:sz w:val="32"/>
          <w:szCs w:val="32"/>
        </w:rPr>
        <w:t>对照</w:t>
      </w:r>
      <w:r>
        <w:rPr>
          <w:rFonts w:hint="eastAsia" w:ascii="方正仿宋_GBK" w:hAnsi="Times New Roman" w:eastAsia="方正仿宋_GBK" w:cs="Times New Roman"/>
          <w:sz w:val="32"/>
          <w:szCs w:val="32"/>
        </w:rPr>
        <w:t>《用人单位职业健康基础建设监督</w:t>
      </w:r>
      <w:r>
        <w:rPr>
          <w:rFonts w:ascii="方正仿宋_GBK" w:hAnsi="Times New Roman" w:eastAsia="方正仿宋_GBK" w:cs="Times New Roman"/>
          <w:sz w:val="32"/>
          <w:szCs w:val="32"/>
        </w:rPr>
        <w:t>执法清单</w:t>
      </w:r>
      <w:r>
        <w:rPr>
          <w:rFonts w:hint="eastAsia" w:ascii="方正仿宋_GBK" w:hAnsi="Times New Roman" w:eastAsia="方正仿宋_GBK" w:cs="Times New Roman"/>
          <w:sz w:val="32"/>
          <w:szCs w:val="32"/>
        </w:rPr>
        <w:t>（试行）》逐项对</w:t>
      </w:r>
      <w:r>
        <w:rPr>
          <w:rFonts w:ascii="方正仿宋_GBK" w:hAnsi="Times New Roman" w:eastAsia="方正仿宋_GBK" w:cs="Times New Roman"/>
          <w:sz w:val="32"/>
          <w:szCs w:val="32"/>
        </w:rPr>
        <w:t>用人单位开展</w:t>
      </w:r>
      <w:r>
        <w:rPr>
          <w:rFonts w:hint="eastAsia" w:ascii="方正仿宋_GBK" w:hAnsi="Times New Roman" w:eastAsia="方正仿宋_GBK" w:cs="Times New Roman"/>
          <w:sz w:val="32"/>
          <w:szCs w:val="32"/>
        </w:rPr>
        <w:t>的</w:t>
      </w:r>
      <w:r>
        <w:rPr>
          <w:rFonts w:ascii="方正仿宋_GBK" w:hAnsi="Times New Roman" w:eastAsia="方正仿宋_GBK" w:cs="Times New Roman"/>
          <w:sz w:val="32"/>
          <w:szCs w:val="32"/>
        </w:rPr>
        <w:t>基础建设工作和巩固情况进行全面</w:t>
      </w:r>
      <w:r>
        <w:rPr>
          <w:rFonts w:hint="eastAsia" w:ascii="方正仿宋_GBK" w:hAnsi="Times New Roman" w:eastAsia="方正仿宋_GBK" w:cs="Times New Roman"/>
          <w:sz w:val="32"/>
          <w:szCs w:val="32"/>
        </w:rPr>
        <w:t>执法检查。检查</w:t>
      </w:r>
      <w:r>
        <w:rPr>
          <w:rFonts w:ascii="方正仿宋_GBK" w:hAnsi="Times New Roman" w:eastAsia="方正仿宋_GBK" w:cs="Times New Roman"/>
          <w:sz w:val="32"/>
          <w:szCs w:val="32"/>
        </w:rPr>
        <w:t>过程中，仍然</w:t>
      </w:r>
      <w:r>
        <w:rPr>
          <w:rFonts w:hint="eastAsia" w:ascii="方正仿宋_GBK" w:hAnsi="Times New Roman" w:eastAsia="方正仿宋_GBK" w:cs="Times New Roman"/>
          <w:sz w:val="32"/>
          <w:szCs w:val="32"/>
        </w:rPr>
        <w:t>采取100分制进行量化打分评定，</w:t>
      </w:r>
      <w:r>
        <w:rPr>
          <w:rFonts w:hint="eastAsia" w:ascii="方正仿宋_GBK" w:hAnsi="Times New Roman" w:eastAsia="方正仿宋_GBK" w:cs="Times New Roman"/>
          <w:color w:val="000000"/>
          <w:sz w:val="32"/>
          <w:szCs w:val="32"/>
        </w:rPr>
        <w:t>由低到高分为4个档次与</w:t>
      </w:r>
      <w:r>
        <w:rPr>
          <w:rFonts w:hint="eastAsia" w:ascii="方正仿宋_GBK" w:hAnsi="Times New Roman" w:eastAsia="方正仿宋_GBK" w:cs="Times New Roman"/>
          <w:sz w:val="32"/>
          <w:szCs w:val="32"/>
        </w:rPr>
        <w:t>基础建设评定</w:t>
      </w:r>
      <w:r>
        <w:rPr>
          <w:rFonts w:ascii="方正仿宋_GBK" w:hAnsi="Times New Roman" w:eastAsia="方正仿宋_GBK" w:cs="Times New Roman"/>
          <w:sz w:val="32"/>
          <w:szCs w:val="32"/>
        </w:rPr>
        <w:t>标准相对应</w:t>
      </w:r>
      <w:r>
        <w:rPr>
          <w:rFonts w:hint="eastAsia" w:ascii="方正仿宋_GBK" w:hAnsi="Times New Roman" w:eastAsia="方正仿宋_GBK" w:cs="Times New Roman"/>
          <w:sz w:val="32"/>
          <w:szCs w:val="32"/>
        </w:rPr>
        <w:t>，当场</w:t>
      </w:r>
      <w:r>
        <w:rPr>
          <w:rFonts w:ascii="方正仿宋_GBK" w:hAnsi="Times New Roman" w:eastAsia="方正仿宋_GBK" w:cs="Times New Roman"/>
          <w:sz w:val="32"/>
          <w:szCs w:val="32"/>
        </w:rPr>
        <w:t>形成</w:t>
      </w:r>
      <w:r>
        <w:rPr>
          <w:rFonts w:hint="eastAsia" w:ascii="方正仿宋_GBK" w:hAnsi="方正仿宋_GBK" w:eastAsia="方正仿宋_GBK" w:cs="方正仿宋_GBK"/>
          <w:sz w:val="32"/>
          <w:szCs w:val="32"/>
        </w:rPr>
        <w:t>《用人单位</w:t>
      </w:r>
      <w:r>
        <w:rPr>
          <w:rFonts w:hint="eastAsia" w:ascii="方正仿宋_GBK" w:hAnsi="Times New Roman" w:eastAsia="方正仿宋_GBK" w:cs="Times New Roman"/>
          <w:sz w:val="32"/>
          <w:szCs w:val="32"/>
        </w:rPr>
        <w:t>职业健康基础建设监督</w:t>
      </w:r>
      <w:r>
        <w:rPr>
          <w:rFonts w:ascii="方正仿宋_GBK" w:hAnsi="Times New Roman" w:eastAsia="方正仿宋_GBK" w:cs="Times New Roman"/>
          <w:sz w:val="32"/>
          <w:szCs w:val="32"/>
        </w:rPr>
        <w:t>执法</w:t>
      </w:r>
      <w:r>
        <w:rPr>
          <w:rFonts w:hint="eastAsia" w:ascii="方正仿宋_GBK" w:hAnsi="方正仿宋_GBK" w:eastAsia="方正仿宋_GBK" w:cs="方正仿宋_GBK"/>
          <w:sz w:val="32"/>
          <w:szCs w:val="32"/>
        </w:rPr>
        <w:t>结果统计表》（见附件</w:t>
      </w:r>
      <w:r>
        <w:rPr>
          <w:rFonts w:ascii="方正仿宋_GBK" w:hAnsi="方正仿宋_GBK" w:eastAsia="方正仿宋_GBK" w:cs="方正仿宋_GBK"/>
          <w:sz w:val="32"/>
          <w:szCs w:val="32"/>
        </w:rPr>
        <w:t>3</w:t>
      </w:r>
      <w:r>
        <w:rPr>
          <w:rFonts w:hint="eastAsia" w:ascii="方正仿宋_GBK" w:hAnsi="方正仿宋_GBK" w:eastAsia="方正仿宋_GBK" w:cs="方正仿宋_GBK"/>
          <w:sz w:val="32"/>
          <w:szCs w:val="32"/>
        </w:rPr>
        <w:t>）</w:t>
      </w:r>
      <w:r>
        <w:rPr>
          <w:rFonts w:hint="eastAsia" w:ascii="方正仿宋_GBK" w:hAnsi="Times New Roman" w:eastAsia="方正仿宋_GBK" w:cs="Times New Roman"/>
          <w:sz w:val="32"/>
          <w:szCs w:val="32"/>
        </w:rPr>
        <w:t>。对现场</w:t>
      </w:r>
      <w:r>
        <w:rPr>
          <w:rFonts w:ascii="方正仿宋_GBK" w:hAnsi="Times New Roman" w:eastAsia="方正仿宋_GBK" w:cs="Times New Roman"/>
          <w:sz w:val="32"/>
          <w:szCs w:val="32"/>
        </w:rPr>
        <w:t>查出</w:t>
      </w:r>
      <w:r>
        <w:rPr>
          <w:rFonts w:hint="eastAsia" w:ascii="方正仿宋_GBK" w:hAnsi="Times New Roman" w:eastAsia="方正仿宋_GBK" w:cs="Times New Roman"/>
          <w:sz w:val="32"/>
          <w:szCs w:val="32"/>
        </w:rPr>
        <w:t>的</w:t>
      </w:r>
      <w:r>
        <w:rPr>
          <w:rFonts w:ascii="方正仿宋_GBK" w:hAnsi="Times New Roman" w:eastAsia="方正仿宋_GBK" w:cs="Times New Roman"/>
          <w:sz w:val="32"/>
          <w:szCs w:val="32"/>
        </w:rPr>
        <w:t>各类问题，</w:t>
      </w:r>
      <w:r>
        <w:rPr>
          <w:rFonts w:hint="eastAsia" w:ascii="方正仿宋_GBK" w:hAnsi="Times New Roman" w:eastAsia="方正仿宋_GBK" w:cs="Times New Roman"/>
          <w:sz w:val="32"/>
          <w:szCs w:val="32"/>
        </w:rPr>
        <w:t>要根据</w:t>
      </w:r>
      <w:r>
        <w:rPr>
          <w:rFonts w:ascii="方正仿宋_GBK" w:hAnsi="Times New Roman" w:eastAsia="方正仿宋_GBK" w:cs="Times New Roman"/>
          <w:sz w:val="32"/>
          <w:szCs w:val="32"/>
        </w:rPr>
        <w:t>《</w:t>
      </w:r>
      <w:r>
        <w:rPr>
          <w:rFonts w:hint="eastAsia" w:ascii="方正仿宋_GBK" w:hAnsi="Times New Roman" w:eastAsia="方正仿宋_GBK" w:cs="Times New Roman"/>
          <w:sz w:val="32"/>
          <w:szCs w:val="32"/>
        </w:rPr>
        <w:t>职业</w:t>
      </w:r>
      <w:r>
        <w:rPr>
          <w:rFonts w:ascii="方正仿宋_GBK" w:hAnsi="Times New Roman" w:eastAsia="方正仿宋_GBK" w:cs="Times New Roman"/>
          <w:sz w:val="32"/>
          <w:szCs w:val="32"/>
        </w:rPr>
        <w:t>病防治法》</w:t>
      </w:r>
      <w:r>
        <w:rPr>
          <w:rFonts w:hint="eastAsia" w:ascii="方正仿宋_GBK" w:hAnsi="Times New Roman" w:eastAsia="方正仿宋_GBK" w:cs="Times New Roman"/>
          <w:sz w:val="32"/>
          <w:szCs w:val="32"/>
        </w:rPr>
        <w:t>相关法律</w:t>
      </w:r>
      <w:r>
        <w:rPr>
          <w:rFonts w:ascii="方正仿宋_GBK" w:hAnsi="Times New Roman" w:eastAsia="方正仿宋_GBK" w:cs="Times New Roman"/>
          <w:sz w:val="32"/>
          <w:szCs w:val="32"/>
        </w:rPr>
        <w:t>法规要求</w:t>
      </w:r>
      <w:r>
        <w:rPr>
          <w:rFonts w:hint="eastAsia" w:ascii="方正仿宋_GBK" w:hAnsi="Times New Roman" w:eastAsia="方正仿宋_GBK" w:cs="Times New Roman"/>
          <w:sz w:val="32"/>
          <w:szCs w:val="32"/>
        </w:rPr>
        <w:t>，依法采取相应</w:t>
      </w:r>
      <w:r>
        <w:rPr>
          <w:rFonts w:ascii="方正仿宋_GBK" w:hAnsi="Times New Roman" w:eastAsia="方正仿宋_GBK" w:cs="Times New Roman"/>
          <w:sz w:val="32"/>
          <w:szCs w:val="32"/>
        </w:rPr>
        <w:t>措施</w:t>
      </w:r>
      <w:r>
        <w:rPr>
          <w:rFonts w:hint="eastAsia" w:ascii="方正仿宋_GBK" w:hAnsi="Times New Roman" w:eastAsia="方正仿宋_GBK" w:cs="Times New Roman"/>
          <w:sz w:val="32"/>
          <w:szCs w:val="32"/>
        </w:rPr>
        <w:t>，违法</w:t>
      </w:r>
      <w:r>
        <w:rPr>
          <w:rFonts w:hint="eastAsia" w:ascii="方正仿宋_GBK" w:hAnsi="Times New Roman" w:eastAsia="方正仿宋_GBK" w:cs="Times New Roman"/>
          <w:snapToGrid w:val="0"/>
          <w:kern w:val="0"/>
          <w:sz w:val="32"/>
          <w:szCs w:val="32"/>
        </w:rPr>
        <w:t>情节严重的，责令停止产生职业病危害的相关作业，或者提请有关人民政府按照国务院规定的权限责令关闭。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（一）</w:t>
      </w:r>
      <w:r>
        <w:rPr>
          <w:rFonts w:hint="eastAsia" w:ascii="方正仿宋_GBK" w:hAnsi="Times New Roman" w:eastAsia="方正仿宋_GBK" w:cs="Times New Roman"/>
          <w:snapToGrid w:val="0"/>
          <w:kern w:val="0"/>
          <w:sz w:val="32"/>
          <w:szCs w:val="32"/>
        </w:rPr>
        <w:t>通过基础建设</w:t>
      </w:r>
      <w:r>
        <w:rPr>
          <w:rFonts w:ascii="方正仿宋_GBK" w:hAnsi="Times New Roman" w:eastAsia="方正仿宋_GBK" w:cs="Times New Roman"/>
          <w:snapToGrid w:val="0"/>
          <w:kern w:val="0"/>
          <w:sz w:val="32"/>
          <w:szCs w:val="32"/>
        </w:rPr>
        <w:t>监督</w:t>
      </w:r>
      <w:r>
        <w:rPr>
          <w:rFonts w:hint="eastAsia" w:ascii="方正仿宋_GBK" w:hAnsi="Times New Roman" w:eastAsia="方正仿宋_GBK" w:cs="Times New Roman"/>
          <w:snapToGrid w:val="0"/>
          <w:kern w:val="0"/>
          <w:sz w:val="32"/>
          <w:szCs w:val="32"/>
        </w:rPr>
        <w:t>执法评定</w:t>
      </w:r>
      <w:r>
        <w:rPr>
          <w:rFonts w:hint="eastAsia" w:ascii="方正仿宋_GBK" w:hAnsi="Times New Roman" w:eastAsia="方正仿宋_GBK" w:cs="Times New Roman"/>
          <w:sz w:val="32"/>
          <w:szCs w:val="32"/>
        </w:rPr>
        <w:t>60分以下的</w:t>
      </w:r>
      <w:r>
        <w:rPr>
          <w:rFonts w:ascii="方正仿宋_GBK" w:hAnsi="Times New Roman" w:eastAsia="方正仿宋_GBK" w:cs="Times New Roman"/>
          <w:sz w:val="32"/>
          <w:szCs w:val="32"/>
        </w:rPr>
        <w:t>企业</w:t>
      </w:r>
      <w:r>
        <w:rPr>
          <w:rFonts w:hint="eastAsia" w:ascii="方正仿宋_GBK" w:hAnsi="Times New Roman" w:eastAsia="方正仿宋_GBK" w:cs="Times New Roman"/>
          <w:sz w:val="32"/>
          <w:szCs w:val="32"/>
        </w:rPr>
        <w:t>，</w:t>
      </w:r>
      <w:r>
        <w:rPr>
          <w:rFonts w:ascii="方正仿宋_GBK" w:hAnsi="Times New Roman" w:eastAsia="方正仿宋_GBK" w:cs="Times New Roman"/>
          <w:sz w:val="32"/>
          <w:szCs w:val="32"/>
        </w:rPr>
        <w:t>与</w:t>
      </w:r>
      <w:r>
        <w:rPr>
          <w:rFonts w:hint="eastAsia" w:ascii="方正仿宋_GBK" w:hAnsi="Times New Roman" w:eastAsia="方正仿宋_GBK" w:cs="Times New Roman"/>
          <w:sz w:val="32"/>
          <w:szCs w:val="32"/>
        </w:rPr>
        <w:t>基础建设不合</w:t>
      </w:r>
      <w:r>
        <w:rPr>
          <w:rFonts w:ascii="方正仿宋_GBK" w:hAnsi="Times New Roman" w:eastAsia="方正仿宋_GBK" w:cs="Times New Roman"/>
          <w:sz w:val="32"/>
          <w:szCs w:val="32"/>
        </w:rPr>
        <w:t>格</w:t>
      </w:r>
      <w:r>
        <w:rPr>
          <w:rFonts w:hint="eastAsia" w:ascii="方正仿宋_GBK" w:hAnsi="Times New Roman" w:eastAsia="方正仿宋_GBK" w:cs="Times New Roman"/>
          <w:sz w:val="32"/>
          <w:szCs w:val="32"/>
        </w:rPr>
        <w:t>企业相</w:t>
      </w:r>
      <w:r>
        <w:rPr>
          <w:rFonts w:ascii="方正仿宋_GBK" w:hAnsi="Times New Roman" w:eastAsia="方正仿宋_GBK" w:cs="Times New Roman"/>
          <w:sz w:val="32"/>
          <w:szCs w:val="32"/>
        </w:rPr>
        <w:t>对应，纳入分类分级中</w:t>
      </w:r>
      <w:r>
        <w:rPr>
          <w:rFonts w:hint="eastAsia" w:ascii="方正仿宋_GBK" w:hAnsi="Times New Roman" w:eastAsia="方正仿宋_GBK" w:cs="Times New Roman"/>
          <w:sz w:val="32"/>
          <w:szCs w:val="32"/>
        </w:rPr>
        <w:t>D级</w:t>
      </w:r>
      <w:r>
        <w:rPr>
          <w:rFonts w:ascii="方正仿宋_GBK" w:hAnsi="Times New Roman" w:eastAsia="方正仿宋_GBK" w:cs="Times New Roman"/>
          <w:sz w:val="32"/>
          <w:szCs w:val="32"/>
        </w:rPr>
        <w:t>企业</w:t>
      </w:r>
      <w:r>
        <w:rPr>
          <w:rFonts w:hint="eastAsia" w:ascii="方正仿宋_GBK" w:hAnsi="Times New Roman" w:eastAsia="方正仿宋_GBK" w:cs="Times New Roman"/>
          <w:sz w:val="32"/>
          <w:szCs w:val="32"/>
        </w:rPr>
        <w:t>进行</w:t>
      </w:r>
      <w:r>
        <w:rPr>
          <w:rFonts w:ascii="方正仿宋_GBK" w:hAnsi="Times New Roman" w:eastAsia="方正仿宋_GBK" w:cs="Times New Roman"/>
          <w:sz w:val="32"/>
          <w:szCs w:val="32"/>
        </w:rPr>
        <w:t>管理</w:t>
      </w:r>
      <w:r>
        <w:rPr>
          <w:rFonts w:hint="eastAsia" w:ascii="方正仿宋_GBK" w:hAnsi="Times New Roman" w:eastAsia="方正仿宋_GBK" w:cs="Times New Roman"/>
          <w:sz w:val="32"/>
          <w:szCs w:val="32"/>
        </w:rPr>
        <w:t>，提高</w:t>
      </w:r>
      <w:r>
        <w:rPr>
          <w:rFonts w:ascii="方正仿宋_GBK" w:hAnsi="Times New Roman" w:eastAsia="方正仿宋_GBK" w:cs="Times New Roman"/>
          <w:sz w:val="32"/>
          <w:szCs w:val="32"/>
        </w:rPr>
        <w:t>监管频次</w:t>
      </w:r>
      <w:r>
        <w:rPr>
          <w:rFonts w:hint="eastAsia" w:ascii="方正仿宋_GBK" w:hAnsi="Times New Roman" w:eastAsia="方正仿宋_GBK" w:cs="Times New Roman"/>
          <w:sz w:val="32"/>
          <w:szCs w:val="32"/>
        </w:rPr>
        <w:t>，依法从严从</w:t>
      </w:r>
      <w:r>
        <w:rPr>
          <w:rFonts w:ascii="方正仿宋_GBK" w:hAnsi="Times New Roman" w:eastAsia="方正仿宋_GBK" w:cs="Times New Roman"/>
          <w:sz w:val="32"/>
          <w:szCs w:val="32"/>
        </w:rPr>
        <w:t>重处罚</w:t>
      </w:r>
      <w:r>
        <w:rPr>
          <w:rFonts w:hint="eastAsia" w:ascii="方正仿宋_GBK"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（二）</w:t>
      </w:r>
      <w:r>
        <w:rPr>
          <w:rFonts w:hint="eastAsia" w:ascii="方正仿宋_GBK" w:hAnsi="Times New Roman" w:eastAsia="方正仿宋_GBK" w:cs="Times New Roman"/>
          <w:snapToGrid w:val="0"/>
          <w:kern w:val="0"/>
          <w:sz w:val="32"/>
          <w:szCs w:val="32"/>
        </w:rPr>
        <w:t>通过基础建设</w:t>
      </w:r>
      <w:r>
        <w:rPr>
          <w:rFonts w:ascii="方正仿宋_GBK" w:hAnsi="Times New Roman" w:eastAsia="方正仿宋_GBK" w:cs="Times New Roman"/>
          <w:snapToGrid w:val="0"/>
          <w:kern w:val="0"/>
          <w:sz w:val="32"/>
          <w:szCs w:val="32"/>
        </w:rPr>
        <w:t>监督</w:t>
      </w:r>
      <w:r>
        <w:rPr>
          <w:rFonts w:hint="eastAsia" w:ascii="方正仿宋_GBK" w:hAnsi="Times New Roman" w:eastAsia="方正仿宋_GBK" w:cs="Times New Roman"/>
          <w:snapToGrid w:val="0"/>
          <w:kern w:val="0"/>
          <w:sz w:val="32"/>
          <w:szCs w:val="32"/>
        </w:rPr>
        <w:t>执法评定</w:t>
      </w:r>
      <w:r>
        <w:rPr>
          <w:rFonts w:hint="eastAsia" w:ascii="方正仿宋_GBK" w:hAnsi="Times New Roman" w:eastAsia="方正仿宋_GBK" w:cs="Times New Roman"/>
          <w:sz w:val="32"/>
          <w:szCs w:val="32"/>
        </w:rPr>
        <w:t>60分-79分的</w:t>
      </w:r>
      <w:r>
        <w:rPr>
          <w:rFonts w:ascii="方正仿宋_GBK" w:hAnsi="Times New Roman" w:eastAsia="方正仿宋_GBK" w:cs="Times New Roman"/>
          <w:sz w:val="32"/>
          <w:szCs w:val="32"/>
        </w:rPr>
        <w:t>企业</w:t>
      </w:r>
      <w:r>
        <w:rPr>
          <w:rFonts w:hint="eastAsia" w:ascii="方正仿宋_GBK" w:hAnsi="Times New Roman" w:eastAsia="方正仿宋_GBK" w:cs="Times New Roman"/>
          <w:sz w:val="32"/>
          <w:szCs w:val="32"/>
        </w:rPr>
        <w:t>，与基础建设合格企业相</w:t>
      </w:r>
      <w:r>
        <w:rPr>
          <w:rFonts w:ascii="方正仿宋_GBK" w:hAnsi="Times New Roman" w:eastAsia="方正仿宋_GBK" w:cs="Times New Roman"/>
          <w:sz w:val="32"/>
          <w:szCs w:val="32"/>
        </w:rPr>
        <w:t>对应，纳入分类分级中</w:t>
      </w:r>
      <w:r>
        <w:rPr>
          <w:rFonts w:hint="eastAsia" w:ascii="方正仿宋_GBK" w:hAnsi="Times New Roman" w:eastAsia="方正仿宋_GBK" w:cs="Times New Roman"/>
          <w:sz w:val="32"/>
          <w:szCs w:val="32"/>
        </w:rPr>
        <w:t>C级</w:t>
      </w:r>
      <w:r>
        <w:rPr>
          <w:rFonts w:ascii="方正仿宋_GBK" w:hAnsi="Times New Roman" w:eastAsia="方正仿宋_GBK" w:cs="Times New Roman"/>
          <w:sz w:val="32"/>
          <w:szCs w:val="32"/>
        </w:rPr>
        <w:t>企业</w:t>
      </w:r>
      <w:r>
        <w:rPr>
          <w:rFonts w:hint="eastAsia" w:ascii="方正仿宋_GBK" w:hAnsi="Times New Roman" w:eastAsia="方正仿宋_GBK" w:cs="Times New Roman"/>
          <w:sz w:val="32"/>
          <w:szCs w:val="32"/>
        </w:rPr>
        <w:t>进行</w:t>
      </w:r>
      <w:r>
        <w:rPr>
          <w:rFonts w:ascii="方正仿宋_GBK" w:hAnsi="Times New Roman" w:eastAsia="方正仿宋_GBK" w:cs="Times New Roman"/>
          <w:sz w:val="32"/>
          <w:szCs w:val="32"/>
        </w:rPr>
        <w:t>管理，以</w:t>
      </w:r>
      <w:r>
        <w:rPr>
          <w:rFonts w:hint="eastAsia" w:ascii="方正仿宋_GBK" w:hAnsi="Times New Roman" w:eastAsia="方正仿宋_GBK" w:cs="Times New Roman"/>
          <w:sz w:val="32"/>
          <w:szCs w:val="32"/>
        </w:rPr>
        <w:t>执法</w:t>
      </w:r>
      <w:r>
        <w:rPr>
          <w:rFonts w:ascii="方正仿宋_GBK" w:hAnsi="Times New Roman" w:eastAsia="方正仿宋_GBK" w:cs="Times New Roman"/>
          <w:sz w:val="32"/>
          <w:szCs w:val="32"/>
        </w:rPr>
        <w:t>为推动，下达限期整改指令，</w:t>
      </w:r>
      <w:r>
        <w:rPr>
          <w:rFonts w:hint="eastAsia" w:ascii="方正仿宋_GBK" w:hAnsi="Times New Roman" w:eastAsia="方正仿宋_GBK" w:cs="Times New Roman"/>
          <w:sz w:val="32"/>
          <w:szCs w:val="32"/>
        </w:rPr>
        <w:t>切实</w:t>
      </w:r>
      <w:r>
        <w:rPr>
          <w:rFonts w:ascii="方正仿宋_GBK" w:hAnsi="Times New Roman" w:eastAsia="方正仿宋_GBK" w:cs="Times New Roman"/>
          <w:sz w:val="32"/>
          <w:szCs w:val="32"/>
        </w:rPr>
        <w:t>完善整改</w:t>
      </w:r>
      <w:r>
        <w:rPr>
          <w:rFonts w:hint="eastAsia" w:ascii="方正仿宋_GBK" w:hAnsi="Times New Roman" w:eastAsia="方正仿宋_GBK" w:cs="Times New Roman"/>
          <w:sz w:val="32"/>
          <w:szCs w:val="32"/>
        </w:rPr>
        <w:t>和定期复查验收</w:t>
      </w:r>
      <w:r>
        <w:rPr>
          <w:rFonts w:ascii="方正仿宋_GBK"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（三）</w:t>
      </w:r>
      <w:r>
        <w:rPr>
          <w:rFonts w:hint="eastAsia" w:ascii="方正仿宋_GBK" w:hAnsi="Times New Roman" w:eastAsia="方正仿宋_GBK" w:cs="Times New Roman"/>
          <w:snapToGrid w:val="0"/>
          <w:kern w:val="0"/>
          <w:sz w:val="32"/>
          <w:szCs w:val="32"/>
        </w:rPr>
        <w:t>通过基础建设</w:t>
      </w:r>
      <w:r>
        <w:rPr>
          <w:rFonts w:ascii="方正仿宋_GBK" w:hAnsi="Times New Roman" w:eastAsia="方正仿宋_GBK" w:cs="Times New Roman"/>
          <w:snapToGrid w:val="0"/>
          <w:kern w:val="0"/>
          <w:sz w:val="32"/>
          <w:szCs w:val="32"/>
        </w:rPr>
        <w:t>监督</w:t>
      </w:r>
      <w:r>
        <w:rPr>
          <w:rFonts w:hint="eastAsia" w:ascii="方正仿宋_GBK" w:hAnsi="Times New Roman" w:eastAsia="方正仿宋_GBK" w:cs="Times New Roman"/>
          <w:snapToGrid w:val="0"/>
          <w:kern w:val="0"/>
          <w:sz w:val="32"/>
          <w:szCs w:val="32"/>
        </w:rPr>
        <w:t>执法评定</w:t>
      </w:r>
      <w:r>
        <w:rPr>
          <w:rFonts w:hint="eastAsia" w:ascii="方正仿宋_GBK" w:hAnsi="Times New Roman" w:eastAsia="方正仿宋_GBK" w:cs="Times New Roman"/>
          <w:sz w:val="32"/>
          <w:szCs w:val="32"/>
        </w:rPr>
        <w:t>80分-89分的</w:t>
      </w:r>
      <w:r>
        <w:rPr>
          <w:rFonts w:ascii="方正仿宋_GBK" w:hAnsi="Times New Roman" w:eastAsia="方正仿宋_GBK" w:cs="Times New Roman"/>
          <w:sz w:val="32"/>
          <w:szCs w:val="32"/>
        </w:rPr>
        <w:t>企业</w:t>
      </w:r>
      <w:r>
        <w:rPr>
          <w:rFonts w:hint="eastAsia" w:ascii="方正仿宋_GBK" w:hAnsi="Times New Roman" w:eastAsia="方正仿宋_GBK" w:cs="Times New Roman"/>
          <w:sz w:val="32"/>
          <w:szCs w:val="32"/>
        </w:rPr>
        <w:t>，与基础建设良好企业相</w:t>
      </w:r>
      <w:r>
        <w:rPr>
          <w:rFonts w:ascii="方正仿宋_GBK" w:hAnsi="Times New Roman" w:eastAsia="方正仿宋_GBK" w:cs="Times New Roman"/>
          <w:sz w:val="32"/>
          <w:szCs w:val="32"/>
        </w:rPr>
        <w:t>对应，纳入分类分级中</w:t>
      </w:r>
      <w:r>
        <w:rPr>
          <w:rFonts w:hint="eastAsia" w:ascii="方正仿宋_GBK" w:hAnsi="Times New Roman" w:eastAsia="方正仿宋_GBK" w:cs="Times New Roman"/>
          <w:sz w:val="32"/>
          <w:szCs w:val="32"/>
        </w:rPr>
        <w:t>B级</w:t>
      </w:r>
      <w:r>
        <w:rPr>
          <w:rFonts w:ascii="方正仿宋_GBK" w:hAnsi="Times New Roman" w:eastAsia="方正仿宋_GBK" w:cs="Times New Roman"/>
          <w:sz w:val="32"/>
          <w:szCs w:val="32"/>
        </w:rPr>
        <w:t>企业</w:t>
      </w:r>
      <w:r>
        <w:rPr>
          <w:rFonts w:hint="eastAsia" w:ascii="方正仿宋_GBK" w:hAnsi="Times New Roman" w:eastAsia="方正仿宋_GBK" w:cs="Times New Roman"/>
          <w:sz w:val="32"/>
          <w:szCs w:val="32"/>
        </w:rPr>
        <w:t>进行</w:t>
      </w:r>
      <w:r>
        <w:rPr>
          <w:rFonts w:ascii="方正仿宋_GBK" w:hAnsi="Times New Roman" w:eastAsia="方正仿宋_GBK" w:cs="Times New Roman"/>
          <w:sz w:val="32"/>
          <w:szCs w:val="32"/>
        </w:rPr>
        <w:t>管理，</w:t>
      </w:r>
      <w:r>
        <w:rPr>
          <w:rFonts w:hint="eastAsia" w:ascii="方正仿宋_GBK" w:hAnsi="Times New Roman" w:eastAsia="方正仿宋_GBK" w:cs="Times New Roman"/>
          <w:sz w:val="32"/>
          <w:szCs w:val="32"/>
        </w:rPr>
        <w:t>抓好查漏补缺和完善工作</w:t>
      </w:r>
      <w:r>
        <w:rPr>
          <w:rFonts w:ascii="方正仿宋_GBK" w:hAnsi="Times New Roman" w:eastAsia="方正仿宋_GBK" w:cs="Times New Roman"/>
          <w:sz w:val="32"/>
          <w:szCs w:val="32"/>
        </w:rPr>
        <w:t>，注重巩固提升。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（四）</w:t>
      </w:r>
      <w:r>
        <w:rPr>
          <w:rFonts w:hint="eastAsia" w:ascii="方正仿宋_GBK" w:hAnsi="Times New Roman" w:eastAsia="方正仿宋_GBK" w:cs="Times New Roman"/>
          <w:snapToGrid w:val="0"/>
          <w:kern w:val="0"/>
          <w:sz w:val="32"/>
          <w:szCs w:val="32"/>
        </w:rPr>
        <w:t>通过基础建设</w:t>
      </w:r>
      <w:r>
        <w:rPr>
          <w:rFonts w:ascii="方正仿宋_GBK" w:hAnsi="Times New Roman" w:eastAsia="方正仿宋_GBK" w:cs="Times New Roman"/>
          <w:snapToGrid w:val="0"/>
          <w:kern w:val="0"/>
          <w:sz w:val="32"/>
          <w:szCs w:val="32"/>
        </w:rPr>
        <w:t>监督</w:t>
      </w:r>
      <w:r>
        <w:rPr>
          <w:rFonts w:hint="eastAsia" w:ascii="方正仿宋_GBK" w:hAnsi="Times New Roman" w:eastAsia="方正仿宋_GBK" w:cs="Times New Roman"/>
          <w:snapToGrid w:val="0"/>
          <w:kern w:val="0"/>
          <w:sz w:val="32"/>
          <w:szCs w:val="32"/>
        </w:rPr>
        <w:t>执法评定</w:t>
      </w:r>
      <w:r>
        <w:rPr>
          <w:rFonts w:hint="eastAsia" w:ascii="方正仿宋_GBK" w:hAnsi="Times New Roman" w:eastAsia="方正仿宋_GBK" w:cs="Times New Roman"/>
          <w:sz w:val="32"/>
          <w:szCs w:val="32"/>
        </w:rPr>
        <w:t>90分以上的</w:t>
      </w:r>
      <w:r>
        <w:rPr>
          <w:rFonts w:ascii="方正仿宋_GBK" w:hAnsi="Times New Roman" w:eastAsia="方正仿宋_GBK" w:cs="Times New Roman"/>
          <w:sz w:val="32"/>
          <w:szCs w:val="32"/>
        </w:rPr>
        <w:t>企业</w:t>
      </w:r>
      <w:r>
        <w:rPr>
          <w:rFonts w:hint="eastAsia" w:ascii="方正仿宋_GBK" w:hAnsi="Times New Roman" w:eastAsia="方正仿宋_GBK" w:cs="Times New Roman"/>
          <w:sz w:val="32"/>
          <w:szCs w:val="32"/>
        </w:rPr>
        <w:t>，与</w:t>
      </w:r>
      <w:r>
        <w:rPr>
          <w:rFonts w:ascii="方正仿宋_GBK" w:hAnsi="Times New Roman" w:eastAsia="方正仿宋_GBK" w:cs="Times New Roman"/>
          <w:sz w:val="32"/>
          <w:szCs w:val="32"/>
        </w:rPr>
        <w:t>基础</w:t>
      </w:r>
      <w:r>
        <w:rPr>
          <w:rFonts w:hint="eastAsia" w:ascii="方正仿宋_GBK" w:hAnsi="Times New Roman" w:eastAsia="方正仿宋_GBK" w:cs="Times New Roman"/>
          <w:sz w:val="32"/>
          <w:szCs w:val="32"/>
        </w:rPr>
        <w:t>建设示范企业相对应，纳入分类分级中A级企业进行管理，作为本地区示范引领企业，</w:t>
      </w:r>
      <w:r>
        <w:rPr>
          <w:rFonts w:hint="eastAsia" w:ascii="方正仿宋_GBK" w:hAnsi="Times New Roman" w:eastAsia="方正仿宋_GBK" w:cs="Times New Roman"/>
          <w:color w:val="000000"/>
          <w:sz w:val="32"/>
          <w:szCs w:val="32"/>
        </w:rPr>
        <w:t>由安监部门纳入诚实守信“红名单”企业管理</w:t>
      </w:r>
      <w:r>
        <w:rPr>
          <w:rFonts w:hint="eastAsia" w:ascii="方正仿宋_GBK"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黑体_GBK" w:hAnsi="仿宋" w:eastAsia="方正黑体_GBK" w:cs="Times New Roman"/>
          <w:sz w:val="32"/>
          <w:szCs w:val="32"/>
        </w:rPr>
        <w:t>六、工作</w:t>
      </w:r>
      <w:r>
        <w:rPr>
          <w:rFonts w:ascii="方正黑体_GBK" w:hAnsi="仿宋" w:eastAsia="方正黑体_GBK" w:cs="Times New Roman"/>
          <w:sz w:val="32"/>
          <w:szCs w:val="32"/>
        </w:rPr>
        <w:t>措施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楷体_GBK" w:hAnsi="仿宋" w:eastAsia="方正楷体_GBK" w:cs="Times New Roman"/>
          <w:sz w:val="32"/>
          <w:szCs w:val="32"/>
        </w:rPr>
        <w:t>（一）用人</w:t>
      </w:r>
      <w:r>
        <w:rPr>
          <w:rFonts w:ascii="方正楷体_GBK" w:hAnsi="仿宋" w:eastAsia="方正楷体_GBK" w:cs="Times New Roman"/>
          <w:sz w:val="32"/>
          <w:szCs w:val="32"/>
        </w:rPr>
        <w:t>单位</w:t>
      </w:r>
      <w:r>
        <w:rPr>
          <w:rFonts w:hint="eastAsia" w:ascii="方正楷体_GBK" w:hAnsi="仿宋" w:eastAsia="方正楷体_GBK" w:cs="Times New Roman"/>
          <w:sz w:val="32"/>
          <w:szCs w:val="32"/>
        </w:rPr>
        <w:t>。</w:t>
      </w:r>
      <w:r>
        <w:rPr>
          <w:rFonts w:hint="eastAsia" w:ascii="方正仿宋_GBK" w:hAnsi="Times New Roman" w:eastAsia="方正仿宋_GBK" w:cs="Times New Roman"/>
          <w:sz w:val="32"/>
          <w:szCs w:val="32"/>
        </w:rPr>
        <w:t>全面</w:t>
      </w:r>
      <w:r>
        <w:rPr>
          <w:rFonts w:ascii="方正仿宋_GBK" w:hAnsi="Times New Roman" w:eastAsia="方正仿宋_GBK" w:cs="Times New Roman"/>
          <w:sz w:val="32"/>
          <w:szCs w:val="32"/>
        </w:rPr>
        <w:t>落实职业健康主体责任，以</w:t>
      </w:r>
      <w:r>
        <w:rPr>
          <w:rFonts w:hint="eastAsia" w:ascii="方正仿宋_GBK" w:hAnsi="Times New Roman" w:eastAsia="方正仿宋_GBK" w:cs="Times New Roman"/>
          <w:sz w:val="32"/>
          <w:szCs w:val="32"/>
        </w:rPr>
        <w:t>自查</w:t>
      </w:r>
      <w:r>
        <w:rPr>
          <w:rFonts w:ascii="方正仿宋_GBK" w:hAnsi="Times New Roman" w:eastAsia="方正仿宋_GBK" w:cs="Times New Roman"/>
          <w:sz w:val="32"/>
          <w:szCs w:val="32"/>
        </w:rPr>
        <w:t>、自改</w:t>
      </w:r>
      <w:r>
        <w:rPr>
          <w:rFonts w:hint="eastAsia" w:ascii="方正仿宋_GBK" w:hAnsi="Times New Roman" w:eastAsia="方正仿宋_GBK" w:cs="Times New Roman"/>
          <w:sz w:val="32"/>
          <w:szCs w:val="32"/>
        </w:rPr>
        <w:t>为主，中介技术服务机构参与指导为辅。一</w:t>
      </w:r>
      <w:r>
        <w:rPr>
          <w:rFonts w:ascii="方正仿宋_GBK" w:hAnsi="Times New Roman" w:eastAsia="方正仿宋_GBK" w:cs="Times New Roman"/>
          <w:sz w:val="32"/>
          <w:szCs w:val="32"/>
        </w:rPr>
        <w:t>是</w:t>
      </w:r>
      <w:r>
        <w:rPr>
          <w:rFonts w:hint="eastAsia" w:ascii="方正仿宋_GBK" w:hAnsi="Times New Roman" w:eastAsia="方正仿宋_GBK" w:cs="Times New Roman"/>
          <w:sz w:val="32"/>
          <w:szCs w:val="32"/>
        </w:rPr>
        <w:t>对照《用人单位职业卫生基础建设监督</w:t>
      </w:r>
      <w:r>
        <w:rPr>
          <w:rFonts w:ascii="方正仿宋_GBK" w:hAnsi="Times New Roman" w:eastAsia="方正仿宋_GBK" w:cs="Times New Roman"/>
          <w:sz w:val="32"/>
          <w:szCs w:val="32"/>
        </w:rPr>
        <w:t>执法清单</w:t>
      </w:r>
      <w:r>
        <w:rPr>
          <w:rFonts w:hint="eastAsia" w:ascii="方正仿宋_GBK" w:hAnsi="Times New Roman" w:eastAsia="方正仿宋_GBK" w:cs="Times New Roman"/>
          <w:sz w:val="32"/>
          <w:szCs w:val="32"/>
        </w:rPr>
        <w:t>（试行）》进行全面自查、自改和自我完善。要注重</w:t>
      </w:r>
      <w:r>
        <w:rPr>
          <w:rFonts w:hint="eastAsia" w:ascii="方正仿宋_GBK" w:hAnsi="Times New Roman" w:eastAsia="方正仿宋_GBK" w:cs="Times New Roman"/>
          <w:snapToGrid w:val="0"/>
          <w:color w:val="000000"/>
          <w:kern w:val="0"/>
          <w:sz w:val="32"/>
          <w:szCs w:val="32"/>
        </w:rPr>
        <w:t>职业卫生培训、职业病危害项目申报、职业病危害告知和警示标识设置、职业病危害因素监测、职业健康体检以</w:t>
      </w:r>
      <w:r>
        <w:rPr>
          <w:rFonts w:ascii="方正仿宋_GBK" w:hAnsi="Times New Roman" w:eastAsia="方正仿宋_GBK" w:cs="Times New Roman"/>
          <w:snapToGrid w:val="0"/>
          <w:color w:val="000000"/>
          <w:kern w:val="0"/>
          <w:sz w:val="32"/>
          <w:szCs w:val="32"/>
        </w:rPr>
        <w:t>及工程防护和个人防护</w:t>
      </w:r>
      <w:r>
        <w:rPr>
          <w:rFonts w:hint="eastAsia" w:ascii="方正仿宋_GBK" w:hAnsi="Times New Roman" w:eastAsia="方正仿宋_GBK" w:cs="Times New Roman"/>
          <w:snapToGrid w:val="0"/>
          <w:color w:val="000000"/>
          <w:kern w:val="0"/>
          <w:sz w:val="32"/>
          <w:szCs w:val="32"/>
        </w:rPr>
        <w:t>等重点</w:t>
      </w:r>
      <w:r>
        <w:rPr>
          <w:rFonts w:ascii="方正仿宋_GBK" w:hAnsi="Times New Roman" w:eastAsia="方正仿宋_GBK" w:cs="Times New Roman"/>
          <w:snapToGrid w:val="0"/>
          <w:color w:val="000000"/>
          <w:kern w:val="0"/>
          <w:sz w:val="32"/>
          <w:szCs w:val="32"/>
        </w:rPr>
        <w:t>工作的</w:t>
      </w:r>
      <w:r>
        <w:rPr>
          <w:rFonts w:hint="eastAsia" w:ascii="方正仿宋_GBK" w:hAnsi="Times New Roman" w:eastAsia="方正仿宋_GBK" w:cs="Times New Roman"/>
          <w:snapToGrid w:val="0"/>
          <w:color w:val="000000"/>
          <w:kern w:val="0"/>
          <w:sz w:val="32"/>
          <w:szCs w:val="32"/>
        </w:rPr>
        <w:t>完成情况，重点</w:t>
      </w:r>
      <w:r>
        <w:rPr>
          <w:rFonts w:hint="eastAsia" w:ascii="方正仿宋_GBK" w:hAnsi="仿宋" w:eastAsia="方正仿宋_GBK" w:cs="Times New Roman"/>
          <w:color w:val="000000"/>
          <w:sz w:val="32"/>
          <w:szCs w:val="32"/>
        </w:rPr>
        <w:t>突出粉尘与毒物整治，</w:t>
      </w:r>
      <w:r>
        <w:rPr>
          <w:rFonts w:hint="eastAsia" w:ascii="方正仿宋_GBK" w:hAnsi="Times New Roman" w:eastAsia="方正仿宋_GBK" w:cs="Times New Roman"/>
          <w:sz w:val="32"/>
          <w:szCs w:val="32"/>
        </w:rPr>
        <w:t>并</w:t>
      </w:r>
      <w:r>
        <w:rPr>
          <w:rFonts w:ascii="方正仿宋_GBK" w:hAnsi="Times New Roman" w:eastAsia="方正仿宋_GBK" w:cs="Times New Roman"/>
          <w:sz w:val="32"/>
          <w:szCs w:val="32"/>
        </w:rPr>
        <w:t>全</w:t>
      </w:r>
      <w:r>
        <w:rPr>
          <w:rFonts w:hint="eastAsia" w:ascii="方正仿宋_GBK" w:hAnsi="Times New Roman" w:eastAsia="方正仿宋_GBK" w:cs="Times New Roman"/>
          <w:sz w:val="32"/>
          <w:szCs w:val="32"/>
        </w:rPr>
        <w:t>力</w:t>
      </w:r>
      <w:r>
        <w:rPr>
          <w:rFonts w:ascii="方正仿宋_GBK" w:hAnsi="Times New Roman" w:eastAsia="方正仿宋_GBK" w:cs="Times New Roman"/>
          <w:sz w:val="32"/>
          <w:szCs w:val="32"/>
        </w:rPr>
        <w:t>配合安全监管部门开展</w:t>
      </w:r>
      <w:r>
        <w:rPr>
          <w:rFonts w:hint="eastAsia" w:ascii="方正仿宋_GBK" w:hAnsi="Times New Roman" w:eastAsia="方正仿宋_GBK" w:cs="Times New Roman"/>
          <w:sz w:val="32"/>
          <w:szCs w:val="32"/>
        </w:rPr>
        <w:t>好</w:t>
      </w:r>
      <w:r>
        <w:rPr>
          <w:rFonts w:ascii="方正仿宋_GBK" w:hAnsi="Times New Roman" w:eastAsia="方正仿宋_GBK" w:cs="Times New Roman"/>
          <w:sz w:val="32"/>
          <w:szCs w:val="32"/>
        </w:rPr>
        <w:t>基础建设监管执法工作</w:t>
      </w:r>
      <w:r>
        <w:rPr>
          <w:rFonts w:hint="eastAsia" w:ascii="方正仿宋_GBK" w:hAnsi="Times New Roman" w:eastAsia="方正仿宋_GBK" w:cs="Times New Roman"/>
          <w:sz w:val="32"/>
          <w:szCs w:val="32"/>
        </w:rPr>
        <w:t>。二</w:t>
      </w:r>
      <w:r>
        <w:rPr>
          <w:rFonts w:ascii="方正仿宋_GBK" w:hAnsi="Times New Roman" w:eastAsia="方正仿宋_GBK" w:cs="Times New Roman"/>
          <w:sz w:val="32"/>
          <w:szCs w:val="32"/>
        </w:rPr>
        <w:t>是</w:t>
      </w:r>
      <w:r>
        <w:rPr>
          <w:rFonts w:hint="eastAsia" w:ascii="方正仿宋_GBK" w:hAnsi="仿宋" w:eastAsia="方正仿宋_GBK" w:cs="Times New Roman"/>
          <w:color w:val="000000"/>
          <w:sz w:val="32"/>
          <w:szCs w:val="32"/>
        </w:rPr>
        <w:t>规模较大、作业场所较多、从业人员较多、粉尘毒物等危害因素种类较多、容易引起群发性职业病事故的企业，要按照</w:t>
      </w:r>
      <w:r>
        <w:rPr>
          <w:rFonts w:hint="eastAsia" w:ascii="方正仿宋_GBK" w:hAnsi="仿宋" w:cs="Times New Roman"/>
          <w:color w:val="000000"/>
          <w:sz w:val="32"/>
          <w:szCs w:val="32"/>
          <w:lang w:eastAsia="zh-CN"/>
        </w:rPr>
        <w:t>国家安全监管</w:t>
      </w:r>
      <w:r>
        <w:rPr>
          <w:rFonts w:hint="eastAsia" w:ascii="方正仿宋_GBK" w:hAnsi="仿宋" w:eastAsia="方正仿宋_GBK" w:cs="Times New Roman"/>
          <w:color w:val="000000"/>
          <w:sz w:val="32"/>
          <w:szCs w:val="32"/>
        </w:rPr>
        <w:t>总局</w:t>
      </w:r>
      <w:r>
        <w:rPr>
          <w:rFonts w:hint="eastAsia" w:ascii="方正仿宋_GBK" w:hAnsi="仿宋" w:cs="Times New Roman"/>
          <w:color w:val="000000"/>
          <w:sz w:val="32"/>
          <w:szCs w:val="32"/>
          <w:lang w:eastAsia="zh-CN"/>
        </w:rPr>
        <w:t>第</w:t>
      </w:r>
      <w:r>
        <w:rPr>
          <w:rFonts w:hint="eastAsia" w:ascii="方正仿宋_GBK" w:hAnsi="仿宋" w:eastAsia="方正仿宋_GBK" w:cs="Times New Roman"/>
          <w:color w:val="000000"/>
          <w:sz w:val="32"/>
          <w:szCs w:val="32"/>
        </w:rPr>
        <w:t>47号令的要求，开展职业危害现状评价，全面弄清本企业现状，开展针对性、系统性的综合整治。三</w:t>
      </w:r>
      <w:r>
        <w:rPr>
          <w:rFonts w:ascii="方正仿宋_GBK" w:hAnsi="仿宋" w:eastAsia="方正仿宋_GBK" w:cs="Times New Roman"/>
          <w:color w:val="000000"/>
          <w:sz w:val="32"/>
          <w:szCs w:val="32"/>
        </w:rPr>
        <w:t>是</w:t>
      </w:r>
      <w:r>
        <w:rPr>
          <w:rFonts w:hint="eastAsia" w:ascii="方正仿宋_GBK" w:hAnsi="仿宋" w:eastAsia="方正仿宋_GBK" w:cs="Times New Roman"/>
          <w:color w:val="000000"/>
          <w:sz w:val="32"/>
          <w:szCs w:val="32"/>
        </w:rPr>
        <w:t>生产工艺和作业场所简单、从业人员较少、危害因素种类较少的企业要对作业场所进行职业病危害因素检测，针对超标情况实施</w:t>
      </w:r>
      <w:r>
        <w:rPr>
          <w:rFonts w:hint="eastAsia" w:ascii="方正仿宋_GBK" w:hAnsi="仿宋" w:cs="Times New Roman"/>
          <w:color w:val="000000"/>
          <w:sz w:val="32"/>
          <w:szCs w:val="32"/>
          <w:lang w:eastAsia="zh-CN"/>
        </w:rPr>
        <w:t>专项整治</w:t>
      </w:r>
      <w:r>
        <w:rPr>
          <w:rFonts w:hint="eastAsia" w:ascii="方正仿宋_GBK" w:hAnsi="仿宋" w:eastAsia="方正仿宋_GBK" w:cs="Times New Roman"/>
          <w:color w:val="000000"/>
          <w:sz w:val="32"/>
          <w:szCs w:val="32"/>
        </w:rPr>
        <w:t>。四是</w:t>
      </w:r>
      <w:r>
        <w:rPr>
          <w:rFonts w:hint="eastAsia" w:ascii="方正仿宋_GBK" w:hAnsi="Times New Roman" w:eastAsia="方正仿宋_GBK" w:cs="Times New Roman"/>
          <w:sz w:val="32"/>
          <w:szCs w:val="32"/>
        </w:rPr>
        <w:t>职业卫生技术服务机构</w:t>
      </w:r>
      <w:r>
        <w:rPr>
          <w:rFonts w:hint="eastAsia" w:ascii="方正仿宋_GBK" w:hAnsi="Times New Roman" w:cs="Times New Roman"/>
          <w:sz w:val="32"/>
          <w:szCs w:val="32"/>
          <w:lang w:eastAsia="zh-CN"/>
        </w:rPr>
        <w:t>要</w:t>
      </w:r>
      <w:r>
        <w:rPr>
          <w:rFonts w:hint="eastAsia" w:ascii="方正仿宋_GBK" w:hAnsi="Times New Roman" w:eastAsia="方正仿宋_GBK" w:cs="Times New Roman"/>
          <w:sz w:val="32"/>
          <w:szCs w:val="32"/>
        </w:rPr>
        <w:t>按照双方自愿、平等协商、公平合理、注重实效的原则，开展基础建设技术咨询与服务。五</w:t>
      </w:r>
      <w:r>
        <w:rPr>
          <w:rFonts w:ascii="方正仿宋_GBK" w:hAnsi="Times New Roman" w:eastAsia="方正仿宋_GBK" w:cs="Times New Roman"/>
          <w:sz w:val="32"/>
          <w:szCs w:val="32"/>
        </w:rPr>
        <w:t>是</w:t>
      </w:r>
      <w:r>
        <w:rPr>
          <w:rFonts w:hint="eastAsia" w:ascii="方正仿宋_GBK" w:hAnsi="Times New Roman" w:eastAsia="方正仿宋_GBK" w:cs="Times New Roman"/>
          <w:sz w:val="32"/>
          <w:szCs w:val="32"/>
        </w:rPr>
        <w:t>中央在渝及市属重点企业要结合实际，充分</w:t>
      </w:r>
      <w:r>
        <w:rPr>
          <w:rFonts w:ascii="方正仿宋_GBK" w:hAnsi="Times New Roman" w:eastAsia="方正仿宋_GBK" w:cs="Times New Roman"/>
          <w:sz w:val="32"/>
          <w:szCs w:val="32"/>
        </w:rPr>
        <w:t>发挥</w:t>
      </w:r>
      <w:r>
        <w:rPr>
          <w:rFonts w:hint="eastAsia" w:ascii="方正仿宋_GBK" w:hAnsi="Times New Roman" w:eastAsia="方正仿宋_GBK" w:cs="Times New Roman"/>
          <w:sz w:val="32"/>
          <w:szCs w:val="32"/>
        </w:rPr>
        <w:t>排头兵作用，在全力</w:t>
      </w:r>
      <w:r>
        <w:rPr>
          <w:rFonts w:ascii="方正仿宋_GBK" w:hAnsi="Times New Roman" w:eastAsia="方正仿宋_GBK" w:cs="Times New Roman"/>
          <w:sz w:val="32"/>
          <w:szCs w:val="32"/>
        </w:rPr>
        <w:t>配合职业健康</w:t>
      </w:r>
      <w:r>
        <w:rPr>
          <w:rFonts w:hint="eastAsia" w:ascii="方正仿宋_GBK" w:hAnsi="Times New Roman" w:eastAsia="方正仿宋_GBK" w:cs="Times New Roman"/>
          <w:sz w:val="32"/>
          <w:szCs w:val="32"/>
        </w:rPr>
        <w:t>基础</w:t>
      </w:r>
      <w:r>
        <w:rPr>
          <w:rFonts w:ascii="方正仿宋_GBK" w:hAnsi="Times New Roman" w:eastAsia="方正仿宋_GBK" w:cs="Times New Roman"/>
          <w:sz w:val="32"/>
          <w:szCs w:val="32"/>
        </w:rPr>
        <w:t>建设</w:t>
      </w:r>
      <w:r>
        <w:rPr>
          <w:rFonts w:hint="eastAsia" w:ascii="方正仿宋_GBK" w:hAnsi="Times New Roman" w:eastAsia="方正仿宋_GBK" w:cs="Times New Roman"/>
          <w:sz w:val="32"/>
          <w:szCs w:val="32"/>
        </w:rPr>
        <w:t>监督执法工作中发挥示范带头作用，争当行业表率。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楷体_GBK" w:hAnsi="仿宋" w:eastAsia="方正楷体_GBK" w:cs="Times New Roman"/>
          <w:sz w:val="32"/>
          <w:szCs w:val="32"/>
        </w:rPr>
        <w:t>（二）区县安</w:t>
      </w:r>
      <w:r>
        <w:rPr>
          <w:rFonts w:ascii="方正楷体_GBK" w:hAnsi="仿宋" w:eastAsia="方正楷体_GBK" w:cs="Times New Roman"/>
          <w:sz w:val="32"/>
          <w:szCs w:val="32"/>
        </w:rPr>
        <w:t>监局。</w:t>
      </w:r>
      <w:r>
        <w:rPr>
          <w:rFonts w:hint="eastAsia" w:ascii="方正仿宋_GBK" w:hAnsi="Times New Roman" w:eastAsia="方正仿宋_GBK" w:cs="Times New Roman"/>
          <w:sz w:val="32"/>
          <w:szCs w:val="32"/>
        </w:rPr>
        <w:t>全面启动基础建设监督执法，重点地区、重点行业、尘毒专项治理企业要率先开展。一是科学制定具体实施方案和年度目标任务计划，严控时间节点，合理分配执法企业数量，按月份确定本年度开展基础建设监督执法工作企业名单，确保3年时间内对纳入申报</w:t>
      </w:r>
      <w:r>
        <w:rPr>
          <w:rFonts w:ascii="方正仿宋_GBK" w:hAnsi="Times New Roman" w:eastAsia="方正仿宋_GBK" w:cs="Times New Roman"/>
          <w:sz w:val="32"/>
          <w:szCs w:val="32"/>
        </w:rPr>
        <w:t>的</w:t>
      </w:r>
      <w:r>
        <w:rPr>
          <w:rFonts w:hint="eastAsia" w:ascii="方正仿宋_GBK" w:hAnsi="Times New Roman" w:eastAsia="方正仿宋_GBK" w:cs="Times New Roman"/>
          <w:sz w:val="32"/>
          <w:szCs w:val="32"/>
        </w:rPr>
        <w:t>企业开展一次基础建设全覆盖监督执法检查。二是及时召开动员部署会，对基础建设监督执法工作进行安排部署，明确任务、标准、要求和完成时限。</w:t>
      </w:r>
      <w:r>
        <w:rPr>
          <w:rFonts w:hint="eastAsia" w:ascii="方正仿宋_GBK" w:hAnsi="仿宋" w:eastAsia="方正仿宋_GBK" w:cs="Times New Roman"/>
          <w:sz w:val="32"/>
          <w:szCs w:val="32"/>
        </w:rPr>
        <w:t>三是</w:t>
      </w:r>
      <w:r>
        <w:rPr>
          <w:rFonts w:hint="eastAsia" w:ascii="方正仿宋_GBK" w:hAnsi="Times New Roman" w:eastAsia="方正仿宋_GBK" w:cs="Times New Roman"/>
          <w:sz w:val="32"/>
          <w:szCs w:val="32"/>
        </w:rPr>
        <w:t>加强对各行业主管部门、乡镇（街道、园区）监管执法人员培训、指导，使其掌握基础建设监督执法的主要内容、工作标准和要求，督促用人单位落实职业病防治主体责任。</w:t>
      </w:r>
      <w:r>
        <w:rPr>
          <w:rFonts w:hint="eastAsia" w:ascii="方正仿宋_GBK" w:hAnsi="仿宋" w:eastAsia="方正仿宋_GBK" w:cs="Times New Roman"/>
          <w:sz w:val="32"/>
          <w:szCs w:val="32"/>
        </w:rPr>
        <w:t>四是</w:t>
      </w:r>
      <w:r>
        <w:rPr>
          <w:rFonts w:hint="eastAsia" w:ascii="方正仿宋_GBK" w:hAnsi="Times New Roman" w:eastAsia="方正仿宋_GBK" w:cs="Times New Roman"/>
          <w:sz w:val="32"/>
          <w:szCs w:val="32"/>
        </w:rPr>
        <w:t>要按照“职业健康执法年”要求和本地实际，合理抽调行业主管部门、乡镇（街道、园区）监管人员组成执法检查组，以</w:t>
      </w:r>
      <w:r>
        <w:rPr>
          <w:rFonts w:ascii="方正仿宋_GBK" w:hAnsi="Times New Roman" w:eastAsia="方正仿宋_GBK" w:cs="Times New Roman"/>
          <w:sz w:val="32"/>
          <w:szCs w:val="32"/>
        </w:rPr>
        <w:t>严格执法</w:t>
      </w:r>
      <w:r>
        <w:rPr>
          <w:rFonts w:hint="eastAsia" w:ascii="方正仿宋_GBK" w:hAnsi="Times New Roman" w:eastAsia="方正仿宋_GBK" w:cs="Times New Roman"/>
          <w:sz w:val="32"/>
          <w:szCs w:val="32"/>
        </w:rPr>
        <w:t>全面提升基础建设质量和覆盖</w:t>
      </w:r>
      <w:r>
        <w:rPr>
          <w:rFonts w:ascii="方正仿宋_GBK" w:hAnsi="Times New Roman" w:eastAsia="方正仿宋_GBK" w:cs="Times New Roman"/>
          <w:sz w:val="32"/>
          <w:szCs w:val="32"/>
        </w:rPr>
        <w:t>面，</w:t>
      </w:r>
      <w:r>
        <w:rPr>
          <w:rFonts w:hint="eastAsia" w:ascii="方正仿宋_GBK" w:hAnsi="Times New Roman" w:eastAsia="方正仿宋_GBK" w:cs="Times New Roman"/>
          <w:sz w:val="32"/>
          <w:szCs w:val="32"/>
        </w:rPr>
        <w:t>为全面完成</w:t>
      </w:r>
      <w:r>
        <w:rPr>
          <w:rFonts w:hint="eastAsia" w:ascii="方正仿宋_GBK" w:hAnsi="Times New Roman" w:eastAsia="方正仿宋_GBK" w:cs="Times New Roman"/>
          <w:color w:val="000000"/>
          <w:sz w:val="32"/>
          <w:szCs w:val="32"/>
        </w:rPr>
        <w:t>《国家职业病防治规划（2016-2020年）》《职业病危害治理“十三五”规划》的目标任务打下坚实基础</w:t>
      </w:r>
      <w:r>
        <w:rPr>
          <w:rFonts w:hint="eastAsia" w:ascii="方正仿宋_GBK"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z w:val="32"/>
          <w:szCs w:val="32"/>
        </w:rPr>
      </w:pPr>
      <w:r>
        <w:rPr>
          <w:rFonts w:hint="eastAsia" w:ascii="方正楷体_GBK" w:hAnsi="Times New Roman" w:eastAsia="方正楷体_GBK" w:cs="Times New Roman"/>
          <w:sz w:val="32"/>
          <w:szCs w:val="32"/>
        </w:rPr>
        <w:t>（三）市安监局各</w:t>
      </w:r>
      <w:r>
        <w:rPr>
          <w:rFonts w:ascii="方正楷体_GBK" w:hAnsi="Times New Roman" w:eastAsia="方正楷体_GBK" w:cs="Times New Roman"/>
          <w:sz w:val="32"/>
          <w:szCs w:val="32"/>
        </w:rPr>
        <w:t>业务</w:t>
      </w:r>
      <w:r>
        <w:rPr>
          <w:rFonts w:hint="eastAsia" w:ascii="方正楷体_GBK" w:hAnsi="Times New Roman" w:eastAsia="方正楷体_GBK" w:cs="Times New Roman"/>
          <w:sz w:val="32"/>
          <w:szCs w:val="32"/>
        </w:rPr>
        <w:t>处</w:t>
      </w:r>
      <w:r>
        <w:rPr>
          <w:rFonts w:ascii="方正楷体_GBK" w:hAnsi="Times New Roman" w:eastAsia="方正楷体_GBK" w:cs="Times New Roman"/>
          <w:sz w:val="32"/>
          <w:szCs w:val="32"/>
        </w:rPr>
        <w:t>室</w:t>
      </w:r>
      <w:r>
        <w:rPr>
          <w:rFonts w:hint="eastAsia" w:ascii="方正楷体_GBK" w:hAnsi="Times New Roman" w:eastAsia="方正楷体_GBK" w:cs="Times New Roman"/>
          <w:sz w:val="32"/>
          <w:szCs w:val="32"/>
        </w:rPr>
        <w:t>。</w:t>
      </w:r>
      <w:r>
        <w:rPr>
          <w:rFonts w:ascii="方正仿宋_GBK" w:hAnsi="Calibri" w:eastAsia="方正仿宋_GBK" w:cs="Times New Roman"/>
          <w:color w:val="000000"/>
          <w:sz w:val="32"/>
          <w:szCs w:val="32"/>
        </w:rPr>
        <w:t>进一步推进</w:t>
      </w:r>
      <w:r>
        <w:rPr>
          <w:rFonts w:hint="eastAsia" w:ascii="方正仿宋_GBK" w:hAnsi="Calibri" w:eastAsia="方正仿宋_GBK" w:cs="Times New Roman"/>
          <w:color w:val="000000"/>
          <w:sz w:val="32"/>
          <w:szCs w:val="32"/>
        </w:rPr>
        <w:t>安全</w:t>
      </w:r>
      <w:r>
        <w:rPr>
          <w:rFonts w:ascii="方正仿宋_GBK" w:hAnsi="Calibri" w:eastAsia="方正仿宋_GBK" w:cs="Times New Roman"/>
          <w:color w:val="000000"/>
          <w:sz w:val="32"/>
          <w:szCs w:val="32"/>
        </w:rPr>
        <w:t>生产与职业健康一体化监管执法</w:t>
      </w:r>
      <w:r>
        <w:rPr>
          <w:rFonts w:hint="eastAsia" w:ascii="方正仿宋_GBK" w:hAnsi="Calibri" w:eastAsia="方正仿宋_GBK" w:cs="Times New Roman"/>
          <w:color w:val="000000"/>
          <w:sz w:val="32"/>
          <w:szCs w:val="32"/>
        </w:rPr>
        <w:t>，</w:t>
      </w:r>
      <w:r>
        <w:rPr>
          <w:rFonts w:ascii="方正仿宋_GBK" w:hAnsi="Calibri" w:eastAsia="方正仿宋_GBK" w:cs="Times New Roman"/>
          <w:color w:val="000000"/>
          <w:sz w:val="32"/>
          <w:szCs w:val="32"/>
        </w:rPr>
        <w:t>切实</w:t>
      </w:r>
      <w:r>
        <w:rPr>
          <w:rFonts w:hint="eastAsia" w:ascii="方正仿宋_GBK" w:hAnsi="Times New Roman" w:eastAsia="方正仿宋_GBK" w:cs="Times New Roman"/>
          <w:sz w:val="32"/>
          <w:szCs w:val="32"/>
        </w:rPr>
        <w:t>加强基础</w:t>
      </w:r>
      <w:r>
        <w:rPr>
          <w:rFonts w:ascii="方正仿宋_GBK" w:hAnsi="Times New Roman" w:eastAsia="方正仿宋_GBK" w:cs="Times New Roman"/>
          <w:sz w:val="32"/>
          <w:szCs w:val="32"/>
        </w:rPr>
        <w:t>建设监督执法工作的</w:t>
      </w:r>
      <w:r>
        <w:rPr>
          <w:rFonts w:hint="eastAsia" w:ascii="方正仿宋_GBK" w:hAnsi="Times New Roman" w:eastAsia="方正仿宋_GBK" w:cs="Times New Roman"/>
          <w:sz w:val="32"/>
          <w:szCs w:val="32"/>
        </w:rPr>
        <w:t>指导</w:t>
      </w:r>
      <w:r>
        <w:rPr>
          <w:rFonts w:ascii="方正仿宋_GBK" w:hAnsi="Times New Roman" w:eastAsia="方正仿宋_GBK" w:cs="Times New Roman"/>
          <w:sz w:val="32"/>
          <w:szCs w:val="32"/>
        </w:rPr>
        <w:t>、</w:t>
      </w:r>
      <w:r>
        <w:rPr>
          <w:rFonts w:hint="eastAsia" w:ascii="方正仿宋_GBK" w:hAnsi="Times New Roman" w:eastAsia="方正仿宋_GBK" w:cs="Times New Roman"/>
          <w:sz w:val="32"/>
          <w:szCs w:val="32"/>
        </w:rPr>
        <w:t>督促</w:t>
      </w:r>
      <w:r>
        <w:rPr>
          <w:rFonts w:ascii="方正仿宋_GBK" w:hAnsi="Times New Roman" w:eastAsia="方正仿宋_GBK" w:cs="Times New Roman"/>
          <w:sz w:val="32"/>
          <w:szCs w:val="32"/>
        </w:rPr>
        <w:t>，</w:t>
      </w:r>
      <w:r>
        <w:rPr>
          <w:rFonts w:hint="eastAsia" w:ascii="方正仿宋_GBK" w:hAnsi="Times New Roman" w:eastAsia="方正仿宋_GBK" w:cs="Times New Roman"/>
          <w:sz w:val="32"/>
          <w:szCs w:val="32"/>
        </w:rPr>
        <w:t>积极解决执法</w:t>
      </w:r>
      <w:r>
        <w:rPr>
          <w:rFonts w:ascii="方正仿宋_GBK" w:hAnsi="Times New Roman" w:eastAsia="方正仿宋_GBK" w:cs="Times New Roman"/>
          <w:sz w:val="32"/>
          <w:szCs w:val="32"/>
        </w:rPr>
        <w:t>工作中存在各类问题</w:t>
      </w:r>
      <w:r>
        <w:rPr>
          <w:rFonts w:hint="eastAsia" w:ascii="方正仿宋_GBK" w:hAnsi="Times New Roman" w:eastAsia="方正仿宋_GBK" w:cs="Times New Roman"/>
          <w:sz w:val="32"/>
          <w:szCs w:val="32"/>
        </w:rPr>
        <w:t>。职业健康处要负责好此次职业健康基础</w:t>
      </w:r>
      <w:r>
        <w:rPr>
          <w:rFonts w:ascii="方正仿宋_GBK" w:hAnsi="Times New Roman" w:eastAsia="方正仿宋_GBK" w:cs="Times New Roman"/>
          <w:sz w:val="32"/>
          <w:szCs w:val="32"/>
        </w:rPr>
        <w:t>建设监督执法的</w:t>
      </w:r>
      <w:r>
        <w:rPr>
          <w:rFonts w:hint="eastAsia" w:ascii="方正仿宋_GBK" w:hAnsi="Times New Roman" w:eastAsia="方正仿宋_GBK" w:cs="Times New Roman"/>
          <w:sz w:val="32"/>
          <w:szCs w:val="32"/>
        </w:rPr>
        <w:t>统筹协调，组织相关执法人员和</w:t>
      </w:r>
      <w:r>
        <w:rPr>
          <w:rFonts w:ascii="方正仿宋_GBK" w:hAnsi="Times New Roman" w:eastAsia="方正仿宋_GBK" w:cs="Times New Roman"/>
          <w:sz w:val="32"/>
          <w:szCs w:val="32"/>
        </w:rPr>
        <w:t>专家</w:t>
      </w:r>
      <w:r>
        <w:rPr>
          <w:rFonts w:hint="eastAsia" w:ascii="方正仿宋_GBK" w:hAnsi="Times New Roman" w:eastAsia="方正仿宋_GBK" w:cs="Times New Roman"/>
          <w:sz w:val="32"/>
          <w:szCs w:val="32"/>
        </w:rPr>
        <w:t>，对各区县、中央在渝及市属企业工作开展情况进行督导、检查。具体检查方案另行通知。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黑体_GBK" w:hAnsi="Times New Roman" w:eastAsia="方正黑体_GBK" w:cs="Times New Roman"/>
          <w:snapToGrid w:val="0"/>
          <w:kern w:val="0"/>
          <w:sz w:val="32"/>
          <w:szCs w:val="32"/>
        </w:rPr>
      </w:pPr>
      <w:r>
        <w:rPr>
          <w:rFonts w:hint="eastAsia" w:ascii="方正黑体_GBK" w:hAnsi="Times New Roman" w:eastAsia="方正黑体_GBK" w:cs="Times New Roman"/>
          <w:snapToGrid w:val="0"/>
          <w:kern w:val="0"/>
          <w:sz w:val="32"/>
          <w:szCs w:val="32"/>
        </w:rPr>
        <w:t>七、工作要求</w:t>
      </w:r>
    </w:p>
    <w:p>
      <w:pPr>
        <w:keepNext w:val="0"/>
        <w:keepLines w:val="0"/>
        <w:pageBreakBefore w:val="0"/>
        <w:widowControl w:val="0"/>
        <w:tabs>
          <w:tab w:val="left" w:pos="790"/>
        </w:tabs>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ascii="方正仿宋_GBK" w:hAnsi="Times New Roman" w:eastAsia="方正仿宋_GBK" w:cs="Times New Roman"/>
          <w:snapToGrid w:val="0"/>
          <w:kern w:val="0"/>
          <w:sz w:val="32"/>
          <w:szCs w:val="32"/>
        </w:rPr>
      </w:pPr>
      <w:r>
        <w:rPr>
          <w:rFonts w:hint="eastAsia" w:ascii="方正楷体_GBK" w:hAnsi="Times New Roman" w:eastAsia="方正楷体_GBK" w:cs="Times New Roman"/>
          <w:snapToGrid w:val="0"/>
          <w:kern w:val="0"/>
          <w:sz w:val="32"/>
          <w:szCs w:val="32"/>
        </w:rPr>
        <w:t>（一）高度</w:t>
      </w:r>
      <w:r>
        <w:rPr>
          <w:rFonts w:ascii="方正楷体_GBK" w:hAnsi="Times New Roman" w:eastAsia="方正楷体_GBK" w:cs="Times New Roman"/>
          <w:snapToGrid w:val="0"/>
          <w:kern w:val="0"/>
          <w:sz w:val="32"/>
          <w:szCs w:val="32"/>
        </w:rPr>
        <w:t>重视，</w:t>
      </w:r>
      <w:r>
        <w:rPr>
          <w:rFonts w:hint="eastAsia" w:ascii="方正楷体_GBK" w:hAnsi="Times New Roman" w:eastAsia="方正楷体_GBK" w:cs="Times New Roman"/>
          <w:snapToGrid w:val="0"/>
          <w:kern w:val="0"/>
          <w:sz w:val="32"/>
          <w:szCs w:val="32"/>
        </w:rPr>
        <w:t>加强领导。</w:t>
      </w:r>
      <w:r>
        <w:rPr>
          <w:rFonts w:hint="eastAsia" w:ascii="方正仿宋_GBK" w:hAnsi="方正仿宋_GBK" w:eastAsia="方正仿宋_GBK" w:cs="方正仿宋_GBK"/>
          <w:sz w:val="32"/>
          <w:szCs w:val="32"/>
        </w:rPr>
        <w:t>推行职业健康基础建设监督执法工作</w:t>
      </w:r>
      <w:r>
        <w:rPr>
          <w:rFonts w:hint="eastAsia" w:ascii="方正仿宋_GBK" w:hAnsi="Times New Roman" w:eastAsia="方正仿宋_GBK" w:cs="Times New Roman"/>
          <w:snapToGrid w:val="0"/>
          <w:kern w:val="0"/>
          <w:sz w:val="32"/>
          <w:szCs w:val="32"/>
        </w:rPr>
        <w:t>是</w:t>
      </w:r>
      <w:r>
        <w:rPr>
          <w:rFonts w:hint="eastAsia" w:ascii="方正仿宋_GBK" w:hAnsi="方正仿宋_GBK" w:eastAsia="方正仿宋_GBK" w:cs="方正仿宋_GBK"/>
          <w:sz w:val="32"/>
          <w:szCs w:val="32"/>
        </w:rPr>
        <w:t>全面</w:t>
      </w:r>
      <w:r>
        <w:rPr>
          <w:rFonts w:hint="eastAsia" w:ascii="方正仿宋_GBK" w:hAnsi="Times New Roman" w:eastAsia="方正仿宋_GBK" w:cs="Times New Roman"/>
          <w:snapToGrid w:val="0"/>
          <w:kern w:val="0"/>
          <w:sz w:val="32"/>
          <w:szCs w:val="32"/>
        </w:rPr>
        <w:t>落实</w:t>
      </w:r>
      <w:r>
        <w:rPr>
          <w:rFonts w:hint="eastAsia" w:ascii="Times New Roman" w:hAnsi="Times New Roman" w:eastAsia="方正仿宋_GBK" w:cs="Times New Roman"/>
          <w:color w:val="000000"/>
          <w:sz w:val="32"/>
          <w:szCs w:val="32"/>
        </w:rPr>
        <w:t>《国</w:t>
      </w:r>
      <w:r>
        <w:rPr>
          <w:rFonts w:hint="eastAsia" w:ascii="方正仿宋_GBK" w:hAnsi="Times New Roman" w:eastAsia="方正仿宋_GBK" w:cs="Times New Roman"/>
          <w:color w:val="000000"/>
          <w:sz w:val="32"/>
          <w:szCs w:val="32"/>
        </w:rPr>
        <w:t>家职业病防治规划（2016-2020年）》《职业病危害治理“十三五”规划》目标任务</w:t>
      </w:r>
      <w:r>
        <w:rPr>
          <w:rFonts w:hint="eastAsia" w:ascii="方正仿宋_GBK" w:hAnsi="Times New Roman" w:eastAsia="方正仿宋_GBK" w:cs="Times New Roman"/>
          <w:snapToGrid w:val="0"/>
          <w:kern w:val="0"/>
          <w:sz w:val="32"/>
          <w:szCs w:val="32"/>
        </w:rPr>
        <w:t>的一项重大举措，也是当前职业健康监管工作一项重点任务。各区县安监局要牢固树立“没有全民健康就没有全面小康”理念</w:t>
      </w:r>
      <w:r>
        <w:rPr>
          <w:rFonts w:ascii="方正仿宋_GBK" w:hAnsi="Times New Roman" w:eastAsia="方正仿宋_GBK" w:cs="Times New Roman"/>
          <w:snapToGrid w:val="0"/>
          <w:kern w:val="0"/>
          <w:sz w:val="32"/>
          <w:szCs w:val="32"/>
        </w:rPr>
        <w:t>，</w:t>
      </w:r>
      <w:r>
        <w:rPr>
          <w:rFonts w:hint="eastAsia" w:ascii="方正仿宋_GBK" w:hAnsi="Times New Roman" w:eastAsia="方正仿宋_GBK" w:cs="Times New Roman"/>
          <w:snapToGrid w:val="0"/>
          <w:kern w:val="0"/>
          <w:sz w:val="32"/>
          <w:szCs w:val="32"/>
        </w:rPr>
        <w:t>主要负责人要亲自负责此项工作的组织落实。要进一步完善工作机制，合理统筹调配，制订本地区工作实施方案，明确工作目标、主要内容和实施步骤，以强烈的政治责任感和事业心来全面落实各项工作措施，确保本辖区</w:t>
      </w:r>
      <w:r>
        <w:rPr>
          <w:rFonts w:hint="eastAsia" w:ascii="方正仿宋_GBK" w:hAnsi="Times New Roman" w:eastAsia="方正仿宋_GBK" w:cs="Times New Roman"/>
          <w:snapToGrid w:val="0"/>
          <w:spacing w:val="-10"/>
          <w:kern w:val="0"/>
          <w:sz w:val="32"/>
          <w:szCs w:val="32"/>
        </w:rPr>
        <w:t>用人单位职业健康</w:t>
      </w:r>
      <w:r>
        <w:rPr>
          <w:rFonts w:hint="eastAsia" w:ascii="方正仿宋_GBK" w:hAnsi="Times New Roman" w:cs="Times New Roman"/>
          <w:snapToGrid w:val="0"/>
          <w:spacing w:val="-10"/>
          <w:kern w:val="0"/>
          <w:sz w:val="32"/>
          <w:szCs w:val="32"/>
          <w:lang w:eastAsia="zh-CN"/>
        </w:rPr>
        <w:t>实现</w:t>
      </w:r>
      <w:r>
        <w:rPr>
          <w:rFonts w:hint="eastAsia" w:ascii="方正仿宋_GBK" w:hAnsi="Times New Roman" w:eastAsia="方正仿宋_GBK" w:cs="Times New Roman"/>
          <w:snapToGrid w:val="0"/>
          <w:spacing w:val="-10"/>
          <w:kern w:val="0"/>
          <w:sz w:val="32"/>
          <w:szCs w:val="32"/>
        </w:rPr>
        <w:t>本</w:t>
      </w:r>
      <w:r>
        <w:rPr>
          <w:rFonts w:ascii="方正仿宋_GBK" w:hAnsi="Times New Roman" w:eastAsia="方正仿宋_GBK" w:cs="Times New Roman"/>
          <w:snapToGrid w:val="0"/>
          <w:spacing w:val="-10"/>
          <w:kern w:val="0"/>
          <w:sz w:val="32"/>
          <w:szCs w:val="32"/>
        </w:rPr>
        <w:t>质安全</w:t>
      </w:r>
      <w:r>
        <w:rPr>
          <w:rFonts w:hint="eastAsia" w:ascii="方正仿宋_GBK" w:hAnsi="Times New Roman" w:eastAsia="方正仿宋_GBK" w:cs="Times New Roman"/>
          <w:snapToGrid w:val="0"/>
          <w:kern w:val="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Times New Roman" w:eastAsia="方正仿宋_GBK" w:cs="Times New Roman"/>
          <w:snapToGrid w:val="0"/>
          <w:kern w:val="0"/>
          <w:sz w:val="32"/>
          <w:szCs w:val="32"/>
        </w:rPr>
      </w:pPr>
      <w:r>
        <w:rPr>
          <w:rFonts w:hint="eastAsia" w:ascii="方正楷体_GBK" w:hAnsi="Times New Roman" w:eastAsia="方正楷体_GBK" w:cs="Times New Roman"/>
          <w:snapToGrid w:val="0"/>
          <w:kern w:val="0"/>
          <w:sz w:val="32"/>
          <w:szCs w:val="32"/>
        </w:rPr>
        <w:t>（二）</w:t>
      </w:r>
      <w:r>
        <w:rPr>
          <w:rFonts w:hint="eastAsia" w:ascii="方正楷体_GBK" w:hAnsi="方正楷体_GBK" w:eastAsia="方正楷体_GBK" w:cs="方正楷体_GBK"/>
          <w:color w:val="000000"/>
          <w:kern w:val="0"/>
          <w:sz w:val="32"/>
          <w:szCs w:val="32"/>
          <w:shd w:val="clear" w:color="auto" w:fill="FFFFFF"/>
        </w:rPr>
        <w:t>加大宣传，搞好结合。</w:t>
      </w:r>
      <w:r>
        <w:rPr>
          <w:rFonts w:hint="eastAsia" w:ascii="方正仿宋_GBK" w:hAnsi="宋体" w:eastAsia="方正仿宋_GBK" w:cs="宋体"/>
          <w:color w:val="000000"/>
          <w:kern w:val="0"/>
          <w:sz w:val="32"/>
          <w:szCs w:val="32"/>
          <w:shd w:val="clear" w:color="auto" w:fill="FFFFFF"/>
        </w:rPr>
        <w:t>充分利用媒体、</w:t>
      </w:r>
      <w:r>
        <w:rPr>
          <w:rFonts w:hint="eastAsia" w:ascii="方正仿宋_GBK" w:hAnsi="方正仿宋_GBK" w:eastAsia="方正仿宋_GBK" w:cs="方正仿宋_GBK"/>
          <w:sz w:val="32"/>
          <w:szCs w:val="32"/>
        </w:rPr>
        <w:t>微信公众号、职业健康工</w:t>
      </w:r>
      <w:r>
        <w:rPr>
          <w:rFonts w:hint="eastAsia" w:ascii="方正仿宋_GBK" w:hAnsi="Times New Roman" w:eastAsia="方正仿宋_GBK" w:cs="Times New Roman"/>
          <w:snapToGrid w:val="0"/>
          <w:kern w:val="0"/>
          <w:sz w:val="32"/>
          <w:szCs w:val="32"/>
        </w:rPr>
        <w:t>作QQ群、《职业</w:t>
      </w:r>
      <w:r>
        <w:rPr>
          <w:rFonts w:ascii="方正仿宋_GBK" w:hAnsi="Times New Roman" w:eastAsia="方正仿宋_GBK" w:cs="Times New Roman"/>
          <w:snapToGrid w:val="0"/>
          <w:kern w:val="0"/>
          <w:sz w:val="32"/>
          <w:szCs w:val="32"/>
        </w:rPr>
        <w:t>病防治法</w:t>
      </w:r>
      <w:r>
        <w:rPr>
          <w:rFonts w:hint="eastAsia" w:ascii="方正仿宋_GBK" w:hAnsi="Times New Roman" w:eastAsia="方正仿宋_GBK" w:cs="Times New Roman"/>
          <w:snapToGrid w:val="0"/>
          <w:kern w:val="0"/>
          <w:sz w:val="32"/>
          <w:szCs w:val="32"/>
        </w:rPr>
        <w:t>》宣传</w:t>
      </w:r>
      <w:r>
        <w:rPr>
          <w:rFonts w:ascii="方正仿宋_GBK" w:hAnsi="Times New Roman" w:eastAsia="方正仿宋_GBK" w:cs="Times New Roman"/>
          <w:snapToGrid w:val="0"/>
          <w:kern w:val="0"/>
          <w:sz w:val="32"/>
          <w:szCs w:val="32"/>
        </w:rPr>
        <w:t>周、安全生产月等平台</w:t>
      </w:r>
      <w:r>
        <w:rPr>
          <w:rFonts w:hint="eastAsia" w:ascii="方正仿宋_GBK" w:hAnsi="Times New Roman" w:eastAsia="方正仿宋_GBK" w:cs="Times New Roman"/>
          <w:snapToGrid w:val="0"/>
          <w:kern w:val="0"/>
          <w:sz w:val="32"/>
          <w:szCs w:val="32"/>
        </w:rPr>
        <w:t>，广泛宣传职业卫生基础建设监督执法的重要意义、主要内容和具体要求，提高用人单位巩固、</w:t>
      </w:r>
      <w:r>
        <w:rPr>
          <w:rFonts w:ascii="方正仿宋_GBK" w:hAnsi="Times New Roman" w:eastAsia="方正仿宋_GBK" w:cs="Times New Roman"/>
          <w:snapToGrid w:val="0"/>
          <w:kern w:val="0"/>
          <w:sz w:val="32"/>
          <w:szCs w:val="32"/>
        </w:rPr>
        <w:t>提升</w:t>
      </w:r>
      <w:r>
        <w:rPr>
          <w:rFonts w:hint="eastAsia" w:ascii="方正仿宋_GBK" w:hAnsi="Times New Roman" w:eastAsia="方正仿宋_GBK" w:cs="Times New Roman"/>
          <w:snapToGrid w:val="0"/>
          <w:kern w:val="0"/>
          <w:sz w:val="32"/>
          <w:szCs w:val="32"/>
        </w:rPr>
        <w:t>职业</w:t>
      </w:r>
      <w:r>
        <w:rPr>
          <w:rFonts w:ascii="方正仿宋_GBK" w:hAnsi="Times New Roman" w:eastAsia="方正仿宋_GBK" w:cs="Times New Roman"/>
          <w:snapToGrid w:val="0"/>
          <w:kern w:val="0"/>
          <w:sz w:val="32"/>
          <w:szCs w:val="32"/>
        </w:rPr>
        <w:t>健康</w:t>
      </w:r>
      <w:r>
        <w:rPr>
          <w:rFonts w:hint="eastAsia" w:ascii="方正仿宋_GBK" w:hAnsi="Times New Roman" w:eastAsia="方正仿宋_GBK" w:cs="Times New Roman"/>
          <w:snapToGrid w:val="0"/>
          <w:kern w:val="0"/>
          <w:sz w:val="32"/>
          <w:szCs w:val="32"/>
        </w:rPr>
        <w:t>基础建设工作的积极性和主动性。</w:t>
      </w:r>
      <w:r>
        <w:rPr>
          <w:rFonts w:ascii="方正仿宋_GBK" w:hAnsi="Times New Roman" w:eastAsia="方正仿宋_GBK" w:cs="Times New Roman"/>
          <w:snapToGrid w:val="0"/>
          <w:kern w:val="0"/>
          <w:sz w:val="32"/>
          <w:szCs w:val="32"/>
        </w:rPr>
        <w:t>要</w:t>
      </w:r>
      <w:r>
        <w:rPr>
          <w:rFonts w:hint="eastAsia" w:ascii="方正仿宋_GBK" w:hAnsi="Times New Roman" w:eastAsia="方正仿宋_GBK" w:cs="Times New Roman"/>
          <w:snapToGrid w:val="0"/>
          <w:kern w:val="0"/>
          <w:sz w:val="32"/>
          <w:szCs w:val="32"/>
        </w:rPr>
        <w:t>充分运用</w:t>
      </w:r>
      <w:r>
        <w:rPr>
          <w:rFonts w:ascii="方正仿宋_GBK" w:hAnsi="Times New Roman" w:eastAsia="方正仿宋_GBK" w:cs="Times New Roman"/>
          <w:snapToGrid w:val="0"/>
          <w:kern w:val="0"/>
          <w:sz w:val="32"/>
          <w:szCs w:val="32"/>
        </w:rPr>
        <w:t>好前阶段</w:t>
      </w:r>
      <w:r>
        <w:rPr>
          <w:rFonts w:hint="eastAsia" w:ascii="方正仿宋_GBK" w:hAnsi="Times New Roman" w:eastAsia="方正仿宋_GBK" w:cs="Times New Roman"/>
          <w:snapToGrid w:val="0"/>
          <w:kern w:val="0"/>
          <w:sz w:val="32"/>
          <w:szCs w:val="32"/>
        </w:rPr>
        <w:t>基础建设和职业病危害专项整治打下的良好基础，</w:t>
      </w:r>
      <w:r>
        <w:rPr>
          <w:rFonts w:ascii="方正仿宋_GBK" w:hAnsi="Times New Roman" w:eastAsia="方正仿宋_GBK" w:cs="Times New Roman"/>
          <w:snapToGrid w:val="0"/>
          <w:kern w:val="0"/>
          <w:sz w:val="32"/>
          <w:szCs w:val="32"/>
        </w:rPr>
        <w:t>将</w:t>
      </w:r>
      <w:r>
        <w:rPr>
          <w:rFonts w:hint="eastAsia" w:ascii="方正仿宋_GBK" w:hAnsi="Times New Roman" w:eastAsia="方正仿宋_GBK" w:cs="Times New Roman"/>
          <w:snapToGrid w:val="0"/>
          <w:kern w:val="0"/>
          <w:sz w:val="32"/>
          <w:szCs w:val="32"/>
        </w:rPr>
        <w:t>基础建设</w:t>
      </w:r>
      <w:r>
        <w:rPr>
          <w:rFonts w:ascii="方正仿宋_GBK" w:hAnsi="Times New Roman" w:eastAsia="方正仿宋_GBK" w:cs="Times New Roman"/>
          <w:snapToGrid w:val="0"/>
          <w:kern w:val="0"/>
          <w:sz w:val="32"/>
          <w:szCs w:val="32"/>
        </w:rPr>
        <w:t>监督执法</w:t>
      </w:r>
      <w:r>
        <w:rPr>
          <w:rFonts w:hint="eastAsia" w:ascii="方正仿宋_GBK" w:hAnsi="Times New Roman" w:eastAsia="方正仿宋_GBK" w:cs="Times New Roman"/>
          <w:snapToGrid w:val="0"/>
          <w:kern w:val="0"/>
          <w:sz w:val="32"/>
          <w:szCs w:val="32"/>
        </w:rPr>
        <w:t>工作、</w:t>
      </w:r>
      <w:r>
        <w:rPr>
          <w:rFonts w:ascii="方正仿宋_GBK" w:hAnsi="Times New Roman" w:eastAsia="方正仿宋_GBK" w:cs="Times New Roman"/>
          <w:snapToGrid w:val="0"/>
          <w:kern w:val="0"/>
          <w:sz w:val="32"/>
          <w:szCs w:val="32"/>
        </w:rPr>
        <w:t>基础建设巩固提升</w:t>
      </w:r>
      <w:r>
        <w:rPr>
          <w:rFonts w:hint="eastAsia" w:ascii="方正仿宋_GBK" w:hAnsi="Times New Roman" w:eastAsia="方正仿宋_GBK" w:cs="Times New Roman"/>
          <w:snapToGrid w:val="0"/>
          <w:kern w:val="0"/>
          <w:sz w:val="32"/>
          <w:szCs w:val="32"/>
        </w:rPr>
        <w:t>和</w:t>
      </w:r>
      <w:r>
        <w:rPr>
          <w:rFonts w:ascii="方正仿宋_GBK" w:hAnsi="Times New Roman" w:eastAsia="方正仿宋_GBK" w:cs="Times New Roman"/>
          <w:snapToGrid w:val="0"/>
          <w:kern w:val="0"/>
          <w:sz w:val="32"/>
          <w:szCs w:val="32"/>
        </w:rPr>
        <w:t>分类分级监管有</w:t>
      </w:r>
      <w:r>
        <w:rPr>
          <w:rFonts w:hint="eastAsia" w:ascii="方正仿宋_GBK" w:hAnsi="Times New Roman" w:eastAsia="方正仿宋_GBK" w:cs="Times New Roman"/>
          <w:snapToGrid w:val="0"/>
          <w:kern w:val="0"/>
          <w:sz w:val="32"/>
          <w:szCs w:val="32"/>
        </w:rPr>
        <w:t>机</w:t>
      </w:r>
      <w:r>
        <w:rPr>
          <w:rFonts w:ascii="方正仿宋_GBK" w:hAnsi="Times New Roman" w:eastAsia="方正仿宋_GBK" w:cs="Times New Roman"/>
          <w:snapToGrid w:val="0"/>
          <w:kern w:val="0"/>
          <w:sz w:val="32"/>
          <w:szCs w:val="32"/>
        </w:rPr>
        <w:t>结合</w:t>
      </w:r>
      <w:r>
        <w:rPr>
          <w:rFonts w:hint="eastAsia" w:ascii="方正仿宋_GBK" w:hAnsi="Times New Roman" w:eastAsia="方正仿宋_GBK" w:cs="Times New Roman"/>
          <w:snapToGrid w:val="0"/>
          <w:kern w:val="0"/>
          <w:sz w:val="32"/>
          <w:szCs w:val="32"/>
        </w:rPr>
        <w:t>起来。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Times New Roman" w:eastAsia="方正仿宋_GBK" w:cs="Times New Roman"/>
          <w:snapToGrid w:val="0"/>
          <w:kern w:val="0"/>
          <w:sz w:val="32"/>
          <w:szCs w:val="32"/>
        </w:rPr>
      </w:pPr>
      <w:r>
        <w:rPr>
          <w:rFonts w:hint="eastAsia" w:ascii="方正楷体_GBK" w:hAnsi="Times New Roman" w:eastAsia="方正楷体_GBK" w:cs="Times New Roman"/>
          <w:snapToGrid w:val="0"/>
          <w:kern w:val="0"/>
          <w:sz w:val="32"/>
          <w:szCs w:val="32"/>
        </w:rPr>
        <w:t>（三）强化执法，确保实效。</w:t>
      </w:r>
      <w:r>
        <w:rPr>
          <w:rFonts w:hint="eastAsia" w:ascii="方正仿宋_GBK" w:hAnsi="Times New Roman" w:eastAsia="方正仿宋_GBK" w:cs="Times New Roman"/>
          <w:snapToGrid w:val="0"/>
          <w:kern w:val="0"/>
          <w:sz w:val="32"/>
          <w:szCs w:val="32"/>
        </w:rPr>
        <w:t>要进一步加强职业</w:t>
      </w:r>
      <w:r>
        <w:rPr>
          <w:rFonts w:ascii="方正仿宋_GBK" w:hAnsi="Times New Roman" w:eastAsia="方正仿宋_GBK" w:cs="Times New Roman"/>
          <w:snapToGrid w:val="0"/>
          <w:kern w:val="0"/>
          <w:sz w:val="32"/>
          <w:szCs w:val="32"/>
        </w:rPr>
        <w:t>健康</w:t>
      </w:r>
      <w:r>
        <w:rPr>
          <w:rFonts w:hint="eastAsia" w:ascii="方正仿宋_GBK" w:hAnsi="Times New Roman" w:eastAsia="方正仿宋_GBK" w:cs="Times New Roman"/>
          <w:snapToGrid w:val="0"/>
          <w:kern w:val="0"/>
          <w:sz w:val="32"/>
          <w:szCs w:val="32"/>
        </w:rPr>
        <w:t>基础建设监督</w:t>
      </w:r>
      <w:r>
        <w:rPr>
          <w:rFonts w:ascii="方正仿宋_GBK" w:hAnsi="Times New Roman" w:eastAsia="方正仿宋_GBK" w:cs="Times New Roman"/>
          <w:snapToGrid w:val="0"/>
          <w:kern w:val="0"/>
          <w:sz w:val="32"/>
          <w:szCs w:val="32"/>
        </w:rPr>
        <w:t>执法工作</w:t>
      </w:r>
      <w:r>
        <w:rPr>
          <w:rFonts w:hint="eastAsia" w:ascii="方正仿宋_GBK" w:hAnsi="Times New Roman" w:eastAsia="方正仿宋_GBK" w:cs="Times New Roman"/>
          <w:snapToGrid w:val="0"/>
          <w:kern w:val="0"/>
          <w:sz w:val="32"/>
          <w:szCs w:val="32"/>
        </w:rPr>
        <w:t>的研究，摸清本辖区</w:t>
      </w:r>
      <w:r>
        <w:rPr>
          <w:rFonts w:hint="eastAsia" w:ascii="方正仿宋_GBK" w:hAnsi="Times New Roman" w:eastAsia="方正仿宋_GBK" w:cs="Times New Roman"/>
          <w:snapToGrid w:val="0"/>
          <w:spacing w:val="-10"/>
          <w:kern w:val="0"/>
          <w:sz w:val="32"/>
          <w:szCs w:val="32"/>
        </w:rPr>
        <w:t>用人单位</w:t>
      </w:r>
      <w:r>
        <w:rPr>
          <w:rFonts w:hint="eastAsia" w:ascii="方正仿宋_GBK" w:hAnsi="Times New Roman" w:eastAsia="方正仿宋_GBK" w:cs="Times New Roman"/>
          <w:snapToGrid w:val="0"/>
          <w:kern w:val="0"/>
          <w:sz w:val="32"/>
          <w:szCs w:val="32"/>
        </w:rPr>
        <w:t>存在的主要问题，找准薄弱环节，切实解决企业遇到的困难和问题。要以严格的执法检查</w:t>
      </w:r>
      <w:r>
        <w:rPr>
          <w:rFonts w:ascii="方正仿宋_GBK" w:hAnsi="Times New Roman" w:eastAsia="方正仿宋_GBK" w:cs="Times New Roman"/>
          <w:snapToGrid w:val="0"/>
          <w:kern w:val="0"/>
          <w:sz w:val="32"/>
          <w:szCs w:val="32"/>
        </w:rPr>
        <w:t>来震慑</w:t>
      </w:r>
      <w:r>
        <w:rPr>
          <w:rFonts w:hint="eastAsia" w:ascii="方正仿宋_GBK" w:hAnsi="Times New Roman" w:eastAsia="方正仿宋_GBK" w:cs="Times New Roman"/>
          <w:snapToGrid w:val="0"/>
          <w:kern w:val="0"/>
          <w:sz w:val="32"/>
          <w:szCs w:val="32"/>
        </w:rPr>
        <w:t>、</w:t>
      </w:r>
      <w:r>
        <w:rPr>
          <w:rFonts w:ascii="方正仿宋_GBK" w:hAnsi="Times New Roman" w:eastAsia="方正仿宋_GBK" w:cs="Times New Roman"/>
          <w:snapToGrid w:val="0"/>
          <w:kern w:val="0"/>
          <w:sz w:val="32"/>
          <w:szCs w:val="32"/>
        </w:rPr>
        <w:t>督促用人单位落实</w:t>
      </w:r>
      <w:r>
        <w:rPr>
          <w:rFonts w:hint="eastAsia" w:ascii="方正仿宋_GBK" w:hAnsi="Times New Roman" w:eastAsia="方正仿宋_GBK" w:cs="Times New Roman"/>
          <w:snapToGrid w:val="0"/>
          <w:kern w:val="0"/>
          <w:sz w:val="32"/>
          <w:szCs w:val="32"/>
        </w:rPr>
        <w:t>职业</w:t>
      </w:r>
      <w:r>
        <w:rPr>
          <w:rFonts w:ascii="方正仿宋_GBK" w:hAnsi="Times New Roman" w:eastAsia="方正仿宋_GBK" w:cs="Times New Roman"/>
          <w:snapToGrid w:val="0"/>
          <w:kern w:val="0"/>
          <w:sz w:val="32"/>
          <w:szCs w:val="32"/>
        </w:rPr>
        <w:t>病防治主体责任</w:t>
      </w:r>
      <w:r>
        <w:rPr>
          <w:rFonts w:hint="eastAsia" w:ascii="方正仿宋_GBK" w:hAnsi="Times New Roman" w:eastAsia="方正仿宋_GBK" w:cs="Times New Roman"/>
          <w:sz w:val="32"/>
          <w:szCs w:val="32"/>
        </w:rPr>
        <w:t>，对查出的问题，要及时向被检查单位通报情况。对于法律规定并处罚款的行为，要坚决予以罚款，对于责令限期改正的行为，要及时跟进复查，逾期不改</w:t>
      </w:r>
      <w:r>
        <w:rPr>
          <w:rFonts w:hint="eastAsia" w:ascii="方正仿宋_GBK" w:hAnsi="Times New Roman" w:cs="Times New Roman"/>
          <w:sz w:val="32"/>
          <w:szCs w:val="32"/>
          <w:lang w:eastAsia="zh-CN"/>
        </w:rPr>
        <w:t>或整改不彻底</w:t>
      </w:r>
      <w:r>
        <w:rPr>
          <w:rFonts w:hint="eastAsia" w:ascii="方正仿宋_GBK" w:hAnsi="Times New Roman" w:eastAsia="方正仿宋_GBK" w:cs="Times New Roman"/>
          <w:sz w:val="32"/>
          <w:szCs w:val="32"/>
        </w:rPr>
        <w:t>的，要严格</w:t>
      </w:r>
      <w:r>
        <w:rPr>
          <w:rFonts w:ascii="方正仿宋_GBK" w:hAnsi="Times New Roman" w:eastAsia="方正仿宋_GBK" w:cs="Times New Roman"/>
          <w:sz w:val="32"/>
          <w:szCs w:val="32"/>
        </w:rPr>
        <w:t>立案查处</w:t>
      </w:r>
      <w:r>
        <w:rPr>
          <w:rFonts w:ascii="方正仿宋_GBK" w:hAnsi="Times New Roman" w:eastAsia="方正仿宋_GBK" w:cs="Times New Roman"/>
          <w:snapToGrid w:val="0"/>
          <w:kern w:val="0"/>
          <w:sz w:val="32"/>
          <w:szCs w:val="32"/>
        </w:rPr>
        <w:t>来</w:t>
      </w:r>
      <w:r>
        <w:rPr>
          <w:rFonts w:hint="eastAsia" w:ascii="方正仿宋_GBK" w:hAnsi="Times New Roman" w:eastAsia="方正仿宋_GBK" w:cs="Times New Roman"/>
          <w:snapToGrid w:val="0"/>
          <w:kern w:val="0"/>
          <w:sz w:val="32"/>
          <w:szCs w:val="32"/>
        </w:rPr>
        <w:t>督促</w:t>
      </w:r>
      <w:r>
        <w:rPr>
          <w:rFonts w:hint="eastAsia" w:ascii="方正仿宋_GBK" w:hAnsi="Times New Roman" w:eastAsia="方正仿宋_GBK" w:cs="Times New Roman"/>
          <w:snapToGrid w:val="0"/>
          <w:spacing w:val="-10"/>
          <w:kern w:val="0"/>
          <w:sz w:val="32"/>
          <w:szCs w:val="32"/>
        </w:rPr>
        <w:t>用人单位加以</w:t>
      </w:r>
      <w:r>
        <w:rPr>
          <w:rFonts w:hint="eastAsia" w:ascii="方正仿宋_GBK" w:hAnsi="Times New Roman" w:eastAsia="方正仿宋_GBK" w:cs="Times New Roman"/>
          <w:snapToGrid w:val="0"/>
          <w:kern w:val="0"/>
          <w:sz w:val="32"/>
          <w:szCs w:val="32"/>
        </w:rPr>
        <w:t>整改落实。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宋体" w:eastAsia="方正仿宋_GBK" w:cs="宋体"/>
          <w:kern w:val="0"/>
          <w:sz w:val="32"/>
          <w:szCs w:val="32"/>
          <w:shd w:val="clear" w:color="auto" w:fill="FFFFFF"/>
        </w:rPr>
      </w:pPr>
      <w:r>
        <w:rPr>
          <w:rFonts w:hint="eastAsia" w:ascii="方正楷体_GBK" w:hAnsi="方正楷体_GBK" w:eastAsia="方正楷体_GBK" w:cs="方正楷体_GBK"/>
          <w:color w:val="000000"/>
          <w:kern w:val="0"/>
          <w:sz w:val="32"/>
          <w:szCs w:val="32"/>
          <w:shd w:val="clear" w:color="auto" w:fill="FFFFFF"/>
        </w:rPr>
        <w:t>（四）及时总结，定期通报。</w:t>
      </w:r>
      <w:r>
        <w:rPr>
          <w:rFonts w:hint="eastAsia" w:ascii="方正仿宋_GBK" w:hAnsi="宋体" w:eastAsia="方正仿宋_GBK" w:cs="宋体"/>
          <w:color w:val="000000"/>
          <w:kern w:val="0"/>
          <w:sz w:val="32"/>
          <w:szCs w:val="32"/>
          <w:shd w:val="clear" w:color="auto" w:fill="FFFFFF"/>
        </w:rPr>
        <w:t>各区县安监局要定期总结基础建设</w:t>
      </w:r>
      <w:r>
        <w:rPr>
          <w:rFonts w:ascii="方正仿宋_GBK" w:hAnsi="宋体" w:eastAsia="方正仿宋_GBK" w:cs="宋体"/>
          <w:color w:val="000000"/>
          <w:kern w:val="0"/>
          <w:sz w:val="32"/>
          <w:szCs w:val="32"/>
          <w:shd w:val="clear" w:color="auto" w:fill="FFFFFF"/>
        </w:rPr>
        <w:t>监督执法</w:t>
      </w:r>
      <w:r>
        <w:rPr>
          <w:rFonts w:hint="eastAsia" w:ascii="方正仿宋_GBK" w:hAnsi="宋体" w:eastAsia="方正仿宋_GBK" w:cs="宋体"/>
          <w:color w:val="000000"/>
          <w:kern w:val="0"/>
          <w:sz w:val="32"/>
          <w:szCs w:val="32"/>
          <w:shd w:val="clear" w:color="auto" w:fill="FFFFFF"/>
        </w:rPr>
        <w:t>工作进展情</w:t>
      </w:r>
      <w:r>
        <w:rPr>
          <w:rFonts w:hint="eastAsia" w:ascii="方正仿宋_GBK" w:hAnsi="宋体" w:eastAsia="方正仿宋_GBK" w:cs="宋体"/>
          <w:kern w:val="0"/>
          <w:sz w:val="32"/>
          <w:szCs w:val="32"/>
          <w:shd w:val="clear" w:color="auto" w:fill="FFFFFF"/>
        </w:rPr>
        <w:t>况，并按照时间节点上报监督</w:t>
      </w:r>
      <w:r>
        <w:rPr>
          <w:rFonts w:ascii="方正仿宋_GBK" w:hAnsi="宋体" w:eastAsia="方正仿宋_GBK" w:cs="宋体"/>
          <w:kern w:val="0"/>
          <w:sz w:val="32"/>
          <w:szCs w:val="32"/>
          <w:shd w:val="clear" w:color="auto" w:fill="FFFFFF"/>
        </w:rPr>
        <w:t>执法工作</w:t>
      </w:r>
      <w:r>
        <w:rPr>
          <w:rFonts w:hint="eastAsia" w:ascii="方正仿宋_GBK" w:hAnsi="宋体" w:eastAsia="方正仿宋_GBK" w:cs="宋体"/>
          <w:kern w:val="0"/>
          <w:sz w:val="32"/>
          <w:szCs w:val="32"/>
          <w:shd w:val="clear" w:color="auto" w:fill="FFFFFF"/>
        </w:rPr>
        <w:t>信息。2018年3月</w:t>
      </w:r>
      <w:r>
        <w:rPr>
          <w:rFonts w:ascii="方正仿宋_GBK" w:hAnsi="宋体" w:eastAsia="方正仿宋_GBK" w:cs="宋体"/>
          <w:kern w:val="0"/>
          <w:sz w:val="32"/>
          <w:szCs w:val="32"/>
          <w:shd w:val="clear" w:color="auto" w:fill="FFFFFF"/>
        </w:rPr>
        <w:t>2</w:t>
      </w:r>
      <w:r>
        <w:rPr>
          <w:rFonts w:hint="eastAsia" w:ascii="方正仿宋_GBK" w:hAnsi="宋体" w:eastAsia="方正仿宋_GBK" w:cs="宋体"/>
          <w:kern w:val="0"/>
          <w:sz w:val="32"/>
          <w:szCs w:val="32"/>
          <w:shd w:val="clear" w:color="auto" w:fill="FFFFFF"/>
        </w:rPr>
        <w:t>0日</w:t>
      </w:r>
      <w:r>
        <w:rPr>
          <w:rFonts w:ascii="方正仿宋_GBK" w:hAnsi="宋体" w:eastAsia="方正仿宋_GBK" w:cs="宋体"/>
          <w:kern w:val="0"/>
          <w:sz w:val="32"/>
          <w:szCs w:val="32"/>
          <w:shd w:val="clear" w:color="auto" w:fill="FFFFFF"/>
        </w:rPr>
        <w:t>前</w:t>
      </w:r>
      <w:r>
        <w:rPr>
          <w:rFonts w:hint="eastAsia" w:ascii="方正仿宋_GBK" w:hAnsi="宋体" w:eastAsia="方正仿宋_GBK" w:cs="宋体"/>
          <w:kern w:val="0"/>
          <w:sz w:val="32"/>
          <w:szCs w:val="32"/>
          <w:shd w:val="clear" w:color="auto" w:fill="FFFFFF"/>
        </w:rPr>
        <w:t>报送工作实施</w:t>
      </w:r>
      <w:r>
        <w:rPr>
          <w:rFonts w:ascii="方正仿宋_GBK" w:hAnsi="宋体" w:eastAsia="方正仿宋_GBK" w:cs="宋体"/>
          <w:kern w:val="0"/>
          <w:sz w:val="32"/>
          <w:szCs w:val="32"/>
          <w:shd w:val="clear" w:color="auto" w:fill="FFFFFF"/>
        </w:rPr>
        <w:t>方案和</w:t>
      </w:r>
      <w:r>
        <w:rPr>
          <w:rFonts w:hint="eastAsia" w:ascii="方正仿宋_GBK" w:hAnsi="宋体" w:eastAsia="方正仿宋_GBK" w:cs="宋体"/>
          <w:kern w:val="0"/>
          <w:sz w:val="32"/>
          <w:szCs w:val="32"/>
          <w:shd w:val="clear" w:color="auto" w:fill="FFFFFF"/>
        </w:rPr>
        <w:t>《2018年</w:t>
      </w:r>
      <w:r>
        <w:rPr>
          <w:rFonts w:hint="eastAsia" w:ascii="方正仿宋_GBK" w:hAnsi="Times New Roman" w:eastAsia="方正仿宋_GBK" w:cs="Times New Roman"/>
          <w:sz w:val="32"/>
          <w:szCs w:val="32"/>
        </w:rPr>
        <w:t>基础建设监督</w:t>
      </w:r>
      <w:r>
        <w:rPr>
          <w:rFonts w:ascii="方正仿宋_GBK" w:hAnsi="Times New Roman" w:eastAsia="方正仿宋_GBK" w:cs="Times New Roman"/>
          <w:sz w:val="32"/>
          <w:szCs w:val="32"/>
        </w:rPr>
        <w:t>执法工作</w:t>
      </w:r>
      <w:r>
        <w:rPr>
          <w:rFonts w:hint="eastAsia" w:ascii="方正仿宋_GBK" w:hAnsi="Times New Roman" w:eastAsia="方正仿宋_GBK" w:cs="Times New Roman"/>
          <w:sz w:val="32"/>
          <w:szCs w:val="32"/>
        </w:rPr>
        <w:t>企业名单</w:t>
      </w:r>
      <w:r>
        <w:rPr>
          <w:rFonts w:hint="eastAsia" w:ascii="方正仿宋_GBK" w:hAnsi="宋体" w:eastAsia="方正仿宋_GBK" w:cs="宋体"/>
          <w:kern w:val="0"/>
          <w:sz w:val="32"/>
          <w:szCs w:val="32"/>
          <w:shd w:val="clear" w:color="auto" w:fill="FFFFFF"/>
        </w:rPr>
        <w:t>》（附件1）；</w:t>
      </w:r>
      <w:r>
        <w:rPr>
          <w:rFonts w:ascii="方正仿宋_GBK" w:hAnsi="宋体" w:eastAsia="方正仿宋_GBK" w:cs="宋体"/>
          <w:kern w:val="0"/>
          <w:sz w:val="32"/>
          <w:szCs w:val="32"/>
          <w:shd w:val="clear" w:color="auto" w:fill="FFFFFF"/>
        </w:rPr>
        <w:t>每</w:t>
      </w:r>
      <w:r>
        <w:rPr>
          <w:rFonts w:hint="eastAsia" w:ascii="方正仿宋_GBK" w:hAnsi="宋体" w:eastAsia="方正仿宋_GBK" w:cs="宋体"/>
          <w:kern w:val="0"/>
          <w:sz w:val="32"/>
          <w:szCs w:val="32"/>
          <w:shd w:val="clear" w:color="auto" w:fill="FFFFFF"/>
        </w:rPr>
        <w:t>月</w:t>
      </w:r>
      <w:r>
        <w:rPr>
          <w:rFonts w:ascii="方正仿宋_GBK" w:hAnsi="宋体" w:eastAsia="方正仿宋_GBK" w:cs="宋体"/>
          <w:kern w:val="0"/>
          <w:sz w:val="32"/>
          <w:szCs w:val="32"/>
          <w:shd w:val="clear" w:color="auto" w:fill="FFFFFF"/>
        </w:rPr>
        <w:t>结束</w:t>
      </w:r>
      <w:r>
        <w:rPr>
          <w:rFonts w:hint="eastAsia" w:ascii="方正仿宋_GBK" w:hAnsi="宋体" w:eastAsia="方正仿宋_GBK" w:cs="宋体"/>
          <w:kern w:val="0"/>
          <w:sz w:val="32"/>
          <w:szCs w:val="32"/>
          <w:shd w:val="clear" w:color="auto" w:fill="FFFFFF"/>
        </w:rPr>
        <w:t>后5日</w:t>
      </w:r>
      <w:r>
        <w:rPr>
          <w:rFonts w:ascii="方正仿宋_GBK" w:hAnsi="宋体" w:eastAsia="方正仿宋_GBK" w:cs="宋体"/>
          <w:kern w:val="0"/>
          <w:sz w:val="32"/>
          <w:szCs w:val="32"/>
          <w:shd w:val="clear" w:color="auto" w:fill="FFFFFF"/>
        </w:rPr>
        <w:t>内</w:t>
      </w:r>
      <w:r>
        <w:rPr>
          <w:rFonts w:hint="eastAsia" w:ascii="方正仿宋_GBK" w:hAnsi="宋体" w:eastAsia="方正仿宋_GBK" w:cs="宋体"/>
          <w:kern w:val="0"/>
          <w:sz w:val="32"/>
          <w:szCs w:val="32"/>
          <w:shd w:val="clear" w:color="auto" w:fill="FFFFFF"/>
        </w:rPr>
        <w:t>上</w:t>
      </w:r>
      <w:r>
        <w:rPr>
          <w:rFonts w:ascii="方正仿宋_GBK" w:hAnsi="宋体" w:eastAsia="方正仿宋_GBK" w:cs="宋体"/>
          <w:kern w:val="0"/>
          <w:sz w:val="32"/>
          <w:szCs w:val="32"/>
          <w:shd w:val="clear" w:color="auto" w:fill="FFFFFF"/>
        </w:rPr>
        <w:t>报</w:t>
      </w:r>
      <w:r>
        <w:rPr>
          <w:rFonts w:hint="eastAsia" w:ascii="方正仿宋_GBK" w:hAnsi="宋体" w:eastAsia="方正仿宋_GBK" w:cs="宋体"/>
          <w:kern w:val="0"/>
          <w:sz w:val="32"/>
          <w:szCs w:val="32"/>
          <w:shd w:val="clear" w:color="auto" w:fill="FFFFFF"/>
        </w:rPr>
        <w:t>《基础</w:t>
      </w:r>
      <w:r>
        <w:rPr>
          <w:rFonts w:ascii="方正仿宋_GBK" w:hAnsi="宋体" w:eastAsia="方正仿宋_GBK" w:cs="宋体"/>
          <w:kern w:val="0"/>
          <w:sz w:val="32"/>
          <w:szCs w:val="32"/>
          <w:shd w:val="clear" w:color="auto" w:fill="FFFFFF"/>
        </w:rPr>
        <w:t>建设监督</w:t>
      </w:r>
      <w:r>
        <w:rPr>
          <w:rFonts w:hint="eastAsia" w:ascii="方正仿宋_GBK" w:hAnsi="宋体" w:eastAsia="方正仿宋_GBK" w:cs="宋体"/>
          <w:kern w:val="0"/>
          <w:sz w:val="32"/>
          <w:szCs w:val="32"/>
          <w:shd w:val="clear" w:color="auto" w:fill="FFFFFF"/>
        </w:rPr>
        <w:t>执法</w:t>
      </w:r>
      <w:r>
        <w:rPr>
          <w:rFonts w:ascii="方正仿宋_GBK" w:hAnsi="宋体" w:eastAsia="方正仿宋_GBK" w:cs="宋体"/>
          <w:kern w:val="0"/>
          <w:sz w:val="32"/>
          <w:szCs w:val="32"/>
          <w:shd w:val="clear" w:color="auto" w:fill="FFFFFF"/>
        </w:rPr>
        <w:t>工作开展情况</w:t>
      </w:r>
      <w:r>
        <w:rPr>
          <w:rFonts w:hint="eastAsia" w:ascii="方正仿宋_GBK" w:hAnsi="宋体" w:eastAsia="方正仿宋_GBK" w:cs="宋体"/>
          <w:kern w:val="0"/>
          <w:sz w:val="32"/>
          <w:szCs w:val="32"/>
          <w:shd w:val="clear" w:color="auto" w:fill="FFFFFF"/>
        </w:rPr>
        <w:t>统计</w:t>
      </w:r>
      <w:r>
        <w:rPr>
          <w:rFonts w:ascii="方正仿宋_GBK" w:hAnsi="宋体" w:eastAsia="方正仿宋_GBK" w:cs="宋体"/>
          <w:kern w:val="0"/>
          <w:sz w:val="32"/>
          <w:szCs w:val="32"/>
          <w:shd w:val="clear" w:color="auto" w:fill="FFFFFF"/>
        </w:rPr>
        <w:t>表</w:t>
      </w:r>
      <w:r>
        <w:rPr>
          <w:rFonts w:hint="eastAsia" w:ascii="方正仿宋_GBK" w:hAnsi="宋体" w:eastAsia="方正仿宋_GBK" w:cs="宋体"/>
          <w:kern w:val="0"/>
          <w:sz w:val="32"/>
          <w:szCs w:val="32"/>
          <w:shd w:val="clear" w:color="auto" w:fill="FFFFFF"/>
        </w:rPr>
        <w:t>》（附件2）；每年1</w:t>
      </w:r>
      <w:r>
        <w:rPr>
          <w:rFonts w:ascii="方正仿宋_GBK" w:hAnsi="宋体" w:eastAsia="方正仿宋_GBK" w:cs="宋体"/>
          <w:kern w:val="0"/>
          <w:sz w:val="32"/>
          <w:szCs w:val="32"/>
          <w:shd w:val="clear" w:color="auto" w:fill="FFFFFF"/>
        </w:rPr>
        <w:t>2</w:t>
      </w:r>
      <w:r>
        <w:rPr>
          <w:rFonts w:hint="eastAsia" w:ascii="方正仿宋_GBK" w:hAnsi="宋体" w:eastAsia="方正仿宋_GBK" w:cs="宋体"/>
          <w:kern w:val="0"/>
          <w:sz w:val="32"/>
          <w:szCs w:val="32"/>
          <w:shd w:val="clear" w:color="auto" w:fill="FFFFFF"/>
        </w:rPr>
        <w:t>月15日前分别报送基础</w:t>
      </w:r>
      <w:r>
        <w:rPr>
          <w:rFonts w:ascii="方正仿宋_GBK" w:hAnsi="宋体" w:eastAsia="方正仿宋_GBK" w:cs="宋体"/>
          <w:kern w:val="0"/>
          <w:sz w:val="32"/>
          <w:szCs w:val="32"/>
          <w:shd w:val="clear" w:color="auto" w:fill="FFFFFF"/>
        </w:rPr>
        <w:t>建设监督</w:t>
      </w:r>
      <w:r>
        <w:rPr>
          <w:rFonts w:hint="eastAsia" w:ascii="方正仿宋_GBK" w:hAnsi="宋体" w:eastAsia="方正仿宋_GBK" w:cs="宋体"/>
          <w:kern w:val="0"/>
          <w:sz w:val="32"/>
          <w:szCs w:val="32"/>
          <w:shd w:val="clear" w:color="auto" w:fill="FFFFFF"/>
        </w:rPr>
        <w:t>执法工作总结。市安监局将每月对各区县工作进展情况进行通报，并将此项工作纳入对各区县年终工作考核内容。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方正仿宋_GBK" w:hAnsi="宋体" w:eastAsia="方正仿宋_GBK" w:cs="宋体"/>
          <w:color w:val="000000"/>
          <w:kern w:val="0"/>
          <w:sz w:val="32"/>
          <w:szCs w:val="32"/>
          <w:shd w:val="clear" w:color="auto" w:fill="FFFFFF"/>
        </w:rPr>
      </w:pPr>
      <w:r>
        <w:rPr>
          <w:rFonts w:hint="eastAsia" w:ascii="方正仿宋_GBK" w:hAnsi="宋体" w:eastAsia="方正仿宋_GBK" w:cs="宋体"/>
          <w:kern w:val="0"/>
          <w:sz w:val="32"/>
          <w:szCs w:val="32"/>
          <w:shd w:val="clear" w:color="auto" w:fill="FFFFFF"/>
        </w:rPr>
        <w:t>联</w:t>
      </w: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系</w:t>
      </w: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人：杨涛</w:t>
      </w:r>
      <w:r>
        <w:rPr>
          <w:rFonts w:hint="eastAsia" w:ascii="方正仿宋_GBK" w:hAnsi="宋体" w:cs="宋体"/>
          <w:kern w:val="0"/>
          <w:sz w:val="32"/>
          <w:szCs w:val="32"/>
          <w:shd w:val="clear" w:color="auto" w:fill="FFFFFF"/>
          <w:lang w:val="en-US" w:eastAsia="zh-CN"/>
        </w:rPr>
        <w:t xml:space="preserve">    </w:t>
      </w:r>
      <w:r>
        <w:rPr>
          <w:rFonts w:ascii="方正仿宋_GBK" w:hAnsi="宋体" w:eastAsia="方正仿宋_GBK" w:cs="宋体"/>
          <w:kern w:val="0"/>
          <w:sz w:val="32"/>
          <w:szCs w:val="32"/>
          <w:shd w:val="clear" w:color="auto" w:fill="FFFFFF"/>
        </w:rPr>
        <w:t>赵亚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方正仿宋_GBK" w:hAnsi="宋体" w:eastAsia="方正仿宋_GBK" w:cs="宋体"/>
          <w:color w:val="000000"/>
          <w:kern w:val="0"/>
          <w:sz w:val="32"/>
          <w:szCs w:val="32"/>
          <w:shd w:val="clear" w:color="auto" w:fill="FFFFFF"/>
        </w:rPr>
      </w:pPr>
      <w:r>
        <w:rPr>
          <w:rFonts w:hint="eastAsia" w:ascii="方正仿宋_GBK" w:hAnsi="宋体" w:eastAsia="方正仿宋_GBK" w:cs="宋体"/>
          <w:color w:val="000000"/>
          <w:kern w:val="0"/>
          <w:sz w:val="32"/>
          <w:szCs w:val="32"/>
          <w:shd w:val="clear" w:color="auto" w:fill="FFFFFF"/>
        </w:rPr>
        <w:t>联系电话：67516846</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hint="eastAsia" w:ascii="方正仿宋_GBK" w:hAnsi="宋体" w:eastAsia="方正仿宋_GBK" w:cs="宋体"/>
          <w:color w:val="000000"/>
          <w:kern w:val="0"/>
          <w:sz w:val="32"/>
          <w:szCs w:val="32"/>
          <w:shd w:val="clear" w:color="auto" w:fill="FFFFFF"/>
        </w:rPr>
      </w:pPr>
      <w:r>
        <w:rPr>
          <w:rFonts w:hint="eastAsia" w:ascii="方正仿宋_GBK" w:hAnsi="宋体" w:eastAsia="方正仿宋_GBK" w:cs="宋体"/>
          <w:color w:val="000000"/>
          <w:kern w:val="0"/>
          <w:sz w:val="32"/>
          <w:szCs w:val="32"/>
          <w:shd w:val="clear" w:color="auto" w:fill="FFFFFF"/>
        </w:rPr>
        <w:t>传</w:t>
      </w:r>
      <w:r>
        <w:rPr>
          <w:rFonts w:hint="eastAsia" w:ascii="方正仿宋_GBK" w:hAnsi="宋体" w:cs="宋体"/>
          <w:color w:val="000000"/>
          <w:kern w:val="0"/>
          <w:sz w:val="32"/>
          <w:szCs w:val="32"/>
          <w:shd w:val="clear" w:color="auto" w:fill="FFFFFF"/>
          <w:lang w:val="en-US" w:eastAsia="zh-CN"/>
        </w:rPr>
        <w:t xml:space="preserve">    </w:t>
      </w:r>
      <w:r>
        <w:rPr>
          <w:rFonts w:hint="eastAsia" w:ascii="方正仿宋_GBK" w:hAnsi="宋体" w:eastAsia="方正仿宋_GBK" w:cs="宋体"/>
          <w:color w:val="000000"/>
          <w:kern w:val="0"/>
          <w:sz w:val="32"/>
          <w:szCs w:val="32"/>
          <w:shd w:val="clear" w:color="auto" w:fill="FFFFFF"/>
        </w:rPr>
        <w:t>真：023-63219211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宋体" w:eastAsia="方正仿宋_GBK" w:cs="宋体"/>
          <w:color w:val="000000"/>
          <w:kern w:val="0"/>
          <w:sz w:val="32"/>
          <w:szCs w:val="32"/>
          <w:shd w:val="clear" w:color="auto" w:fill="FFFFFF"/>
        </w:rPr>
      </w:pPr>
      <w:r>
        <w:rPr>
          <w:rFonts w:hint="eastAsia" w:ascii="方正仿宋_GBK" w:hAnsi="宋体" w:eastAsia="方正仿宋_GBK" w:cs="宋体"/>
          <w:color w:val="000000"/>
          <w:kern w:val="0"/>
          <w:sz w:val="32"/>
          <w:szCs w:val="32"/>
          <w:shd w:val="clear" w:color="auto" w:fill="FFFFFF"/>
        </w:rPr>
        <w:t>电子邮箱：</w:t>
      </w:r>
      <w:r>
        <w:fldChar w:fldCharType="begin"/>
      </w:r>
      <w:r>
        <w:instrText xml:space="preserve"> HYPERLINK "mailto:zac401147@163.com" </w:instrText>
      </w:r>
      <w:r>
        <w:fldChar w:fldCharType="separate"/>
      </w:r>
      <w:r>
        <w:rPr>
          <w:rFonts w:hint="eastAsia" w:ascii="方正仿宋_GBK" w:hAnsi="宋体" w:eastAsia="方正仿宋_GBK" w:cs="宋体"/>
          <w:color w:val="000000"/>
          <w:kern w:val="0"/>
          <w:sz w:val="32"/>
          <w:szCs w:val="32"/>
          <w:shd w:val="clear" w:color="auto" w:fill="FFFFFF"/>
        </w:rPr>
        <w:t>zac401147@163.com</w:t>
      </w:r>
      <w:r>
        <w:rPr>
          <w:rFonts w:hint="eastAsia" w:ascii="方正仿宋_GBK" w:hAnsi="宋体" w:eastAsia="方正仿宋_GBK" w:cs="宋体"/>
          <w:color w:val="000000"/>
          <w:kern w:val="0"/>
          <w:sz w:val="32"/>
          <w:szCs w:val="32"/>
          <w:shd w:val="clear" w:color="auto" w:fill="FFFFFF"/>
        </w:rPr>
        <w:fldChar w:fldCharType="end"/>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宋体" w:eastAsia="方正仿宋_GBK" w:cs="宋体"/>
          <w:kern w:val="0"/>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附件</w:t>
      </w:r>
      <w:r>
        <w:rPr>
          <w:rFonts w:hint="eastAsia" w:ascii="方正仿宋_GBK" w:hAnsi="宋体" w:cs="宋体"/>
          <w:kern w:val="0"/>
          <w:sz w:val="32"/>
          <w:szCs w:val="32"/>
          <w:shd w:val="clear" w:color="auto" w:fill="FFFFFF"/>
          <w:lang w:eastAsia="zh-CN"/>
        </w:rPr>
        <w:t>：</w:t>
      </w:r>
      <w:r>
        <w:rPr>
          <w:rFonts w:ascii="方正仿宋_GBK" w:hAnsi="宋体" w:eastAsia="方正仿宋_GBK" w:cs="宋体"/>
          <w:kern w:val="0"/>
          <w:sz w:val="32"/>
          <w:szCs w:val="32"/>
          <w:shd w:val="clear" w:color="auto" w:fill="FFFFFF"/>
        </w:rPr>
        <w:t>1</w:t>
      </w: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2018年基础建设监督</w:t>
      </w:r>
      <w:r>
        <w:rPr>
          <w:rFonts w:ascii="方正仿宋_GBK" w:hAnsi="宋体" w:eastAsia="方正仿宋_GBK" w:cs="宋体"/>
          <w:kern w:val="0"/>
          <w:sz w:val="32"/>
          <w:szCs w:val="32"/>
          <w:shd w:val="clear" w:color="auto" w:fill="FFFFFF"/>
        </w:rPr>
        <w:t>执法工作</w:t>
      </w:r>
      <w:r>
        <w:rPr>
          <w:rFonts w:hint="eastAsia" w:ascii="方正仿宋_GBK" w:hAnsi="宋体" w:eastAsia="方正仿宋_GBK" w:cs="宋体"/>
          <w:kern w:val="0"/>
          <w:sz w:val="32"/>
          <w:szCs w:val="32"/>
          <w:shd w:val="clear" w:color="auto" w:fill="FFFFFF"/>
        </w:rPr>
        <w:t>企业名单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宋体" w:eastAsia="方正仿宋_GBK" w:cs="宋体"/>
          <w:kern w:val="0"/>
          <w:sz w:val="32"/>
          <w:szCs w:val="32"/>
          <w:shd w:val="clear" w:color="auto" w:fill="FFFFFF"/>
        </w:rPr>
      </w:pP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2</w:t>
      </w: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基础</w:t>
      </w:r>
      <w:r>
        <w:rPr>
          <w:rFonts w:ascii="方正仿宋_GBK" w:hAnsi="宋体" w:eastAsia="方正仿宋_GBK" w:cs="宋体"/>
          <w:kern w:val="0"/>
          <w:sz w:val="32"/>
          <w:szCs w:val="32"/>
          <w:shd w:val="clear" w:color="auto" w:fill="FFFFFF"/>
        </w:rPr>
        <w:t>建设监督</w:t>
      </w:r>
      <w:r>
        <w:rPr>
          <w:rFonts w:hint="eastAsia" w:ascii="方正仿宋_GBK" w:hAnsi="宋体" w:eastAsia="方正仿宋_GBK" w:cs="宋体"/>
          <w:kern w:val="0"/>
          <w:sz w:val="32"/>
          <w:szCs w:val="32"/>
          <w:shd w:val="clear" w:color="auto" w:fill="FFFFFF"/>
        </w:rPr>
        <w:t>执法</w:t>
      </w:r>
      <w:r>
        <w:rPr>
          <w:rFonts w:ascii="方正仿宋_GBK" w:hAnsi="宋体" w:eastAsia="方正仿宋_GBK" w:cs="宋体"/>
          <w:kern w:val="0"/>
          <w:sz w:val="32"/>
          <w:szCs w:val="32"/>
          <w:shd w:val="clear" w:color="auto" w:fill="FFFFFF"/>
        </w:rPr>
        <w:t>工作开展情况</w:t>
      </w:r>
      <w:r>
        <w:rPr>
          <w:rFonts w:hint="eastAsia" w:ascii="方正仿宋_GBK" w:hAnsi="宋体" w:eastAsia="方正仿宋_GBK" w:cs="宋体"/>
          <w:kern w:val="0"/>
          <w:sz w:val="32"/>
          <w:szCs w:val="32"/>
          <w:shd w:val="clear" w:color="auto" w:fill="FFFFFF"/>
        </w:rPr>
        <w:t>月度统计</w:t>
      </w:r>
      <w:r>
        <w:rPr>
          <w:rFonts w:ascii="方正仿宋_GBK" w:hAnsi="宋体" w:eastAsia="方正仿宋_GBK" w:cs="宋体"/>
          <w:kern w:val="0"/>
          <w:sz w:val="32"/>
          <w:szCs w:val="32"/>
          <w:shd w:val="clear" w:color="auto" w:fill="FFFFFF"/>
        </w:rPr>
        <w:t>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宋体" w:eastAsia="方正仿宋_GBK" w:cs="宋体"/>
          <w:kern w:val="0"/>
          <w:sz w:val="32"/>
          <w:szCs w:val="32"/>
          <w:shd w:val="clear" w:color="auto" w:fill="FFFFFF"/>
        </w:rPr>
      </w:pP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3</w:t>
      </w: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用人单位职业健康基础建设监督执法评定表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left"/>
        <w:textAlignment w:val="auto"/>
        <w:outlineLvl w:val="9"/>
        <w:rPr>
          <w:rFonts w:ascii="方正仿宋_GBK" w:hAnsi="宋体" w:eastAsia="方正仿宋_GBK" w:cs="宋体"/>
          <w:kern w:val="0"/>
          <w:sz w:val="32"/>
          <w:szCs w:val="32"/>
          <w:shd w:val="clear" w:color="auto" w:fill="FFFFFF"/>
        </w:rPr>
      </w:pP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4</w:t>
      </w:r>
      <w:r>
        <w:rPr>
          <w:rFonts w:hint="eastAsia" w:ascii="方正仿宋_GBK" w:hAnsi="宋体" w:cs="宋体"/>
          <w:kern w:val="0"/>
          <w:sz w:val="32"/>
          <w:szCs w:val="32"/>
          <w:shd w:val="clear" w:color="auto" w:fill="FFFFFF"/>
          <w:lang w:val="en-US" w:eastAsia="zh-CN"/>
        </w:rPr>
        <w:t xml:space="preserve">. </w:t>
      </w:r>
      <w:r>
        <w:rPr>
          <w:rFonts w:hint="eastAsia" w:ascii="方正仿宋_GBK" w:hAnsi="宋体" w:eastAsia="方正仿宋_GBK" w:cs="宋体"/>
          <w:kern w:val="0"/>
          <w:sz w:val="32"/>
          <w:szCs w:val="32"/>
          <w:shd w:val="clear" w:color="auto" w:fill="FFFFFF"/>
        </w:rPr>
        <w:t>用人单位职业健康基础建设监督执法清单（试行）</w:t>
      </w:r>
    </w:p>
    <w:p>
      <w:pPr>
        <w:keepNext w:val="0"/>
        <w:keepLines w:val="0"/>
        <w:pageBreakBefore w:val="0"/>
        <w:kinsoku/>
        <w:wordWrap/>
        <w:overflowPunct/>
        <w:topLinePunct w:val="0"/>
        <w:autoSpaceDE/>
        <w:autoSpaceDN/>
        <w:bidi w:val="0"/>
        <w:adjustRightInd/>
        <w:snapToGrid/>
        <w:spacing w:line="540" w:lineRule="exact"/>
        <w:ind w:left="0" w:leftChars="0" w:right="0" w:rightChars="0" w:firstLine="630" w:firstLineChars="200"/>
        <w:jc w:val="right"/>
        <w:textAlignment w:val="auto"/>
        <w:outlineLvl w:val="9"/>
        <w:rPr>
          <w:rFonts w:ascii="方正仿宋_GBK" w:hAnsi="宋体" w:cs="宋体"/>
          <w:b w:val="0"/>
          <w:bCs w:val="0"/>
          <w:color w:val="000000"/>
          <w:kern w:val="0"/>
        </w:rPr>
      </w:pPr>
    </w:p>
    <w:p>
      <w:pPr>
        <w:keepNext w:val="0"/>
        <w:keepLines w:val="0"/>
        <w:pageBreakBefore w:val="0"/>
        <w:kinsoku/>
        <w:wordWrap/>
        <w:overflowPunct/>
        <w:topLinePunct w:val="0"/>
        <w:autoSpaceDE/>
        <w:autoSpaceDN/>
        <w:bidi w:val="0"/>
        <w:adjustRightInd/>
        <w:snapToGrid/>
        <w:spacing w:line="540" w:lineRule="exact"/>
        <w:ind w:left="0" w:leftChars="0" w:right="0" w:rightChars="0" w:firstLine="630" w:firstLineChars="200"/>
        <w:jc w:val="right"/>
        <w:textAlignment w:val="auto"/>
        <w:outlineLvl w:val="9"/>
        <w:rPr>
          <w:rFonts w:ascii="方正仿宋_GBK" w:hAnsi="宋体" w:cs="宋体"/>
          <w:b w:val="0"/>
          <w:bCs w:val="0"/>
          <w:color w:val="000000"/>
          <w:kern w:val="0"/>
        </w:rPr>
      </w:pPr>
    </w:p>
    <w:p>
      <w:pPr>
        <w:keepNext w:val="0"/>
        <w:keepLines w:val="0"/>
        <w:pageBreakBefore w:val="0"/>
        <w:kinsoku/>
        <w:wordWrap/>
        <w:overflowPunct/>
        <w:topLinePunct w:val="0"/>
        <w:autoSpaceDE/>
        <w:autoSpaceDN/>
        <w:bidi w:val="0"/>
        <w:adjustRightInd/>
        <w:snapToGrid/>
        <w:spacing w:line="540" w:lineRule="exact"/>
        <w:ind w:left="0" w:leftChars="0" w:right="0" w:rightChars="0" w:firstLine="630" w:firstLineChars="200"/>
        <w:jc w:val="center"/>
        <w:textAlignment w:val="auto"/>
        <w:outlineLvl w:val="9"/>
        <w:rPr>
          <w:rFonts w:ascii="方正仿宋_GBK" w:hAnsi="宋体" w:cs="宋体"/>
          <w:b w:val="0"/>
          <w:bCs w:val="0"/>
          <w:color w:val="000000"/>
          <w:kern w:val="0"/>
        </w:rPr>
      </w:pPr>
      <w:r>
        <w:rPr>
          <w:rFonts w:hint="eastAsia" w:ascii="方正仿宋_GBK" w:hAnsi="宋体" w:cs="宋体"/>
          <w:b w:val="0"/>
          <w:bCs w:val="0"/>
          <w:color w:val="000000"/>
          <w:kern w:val="0"/>
          <w:lang w:val="en-US" w:eastAsia="zh-CN"/>
        </w:rPr>
        <w:t xml:space="preserve">                       </w:t>
      </w:r>
      <w:r>
        <w:rPr>
          <w:rFonts w:hint="eastAsia" w:ascii="方正仿宋_GBK" w:hAnsi="宋体" w:cs="宋体"/>
          <w:b w:val="0"/>
          <w:bCs w:val="0"/>
          <w:color w:val="000000"/>
          <w:kern w:val="0"/>
        </w:rPr>
        <w:t>重庆市安全</w:t>
      </w:r>
      <w:bookmarkStart w:id="0" w:name="印章"/>
      <w:bookmarkEnd w:id="0"/>
      <w:r>
        <w:rPr>
          <w:rFonts w:hint="eastAsia" w:ascii="方正仿宋_GBK" w:hAnsi="宋体" w:cs="宋体"/>
          <w:b w:val="0"/>
          <w:bCs w:val="0"/>
          <w:color w:val="000000"/>
          <w:kern w:val="0"/>
        </w:rPr>
        <w:t>生产监督管理局</w:t>
      </w:r>
    </w:p>
    <w:p>
      <w:pPr>
        <w:keepNext w:val="0"/>
        <w:keepLines w:val="0"/>
        <w:pageBreakBefore w:val="0"/>
        <w:widowControl w:val="0"/>
        <w:kinsoku/>
        <w:wordWrap/>
        <w:overflowPunct/>
        <w:topLinePunct w:val="0"/>
        <w:autoSpaceDE/>
        <w:autoSpaceDN/>
        <w:bidi w:val="0"/>
        <w:adjustRightInd/>
        <w:snapToGrid/>
        <w:spacing w:line="540" w:lineRule="exact"/>
        <w:ind w:left="0" w:leftChars="0" w:right="1260" w:rightChars="400" w:firstLine="630" w:firstLineChars="200"/>
        <w:jc w:val="right"/>
        <w:textAlignment w:val="auto"/>
        <w:outlineLvl w:val="9"/>
        <w:rPr>
          <w:rFonts w:ascii="方正仿宋_GBK" w:hAnsi="宋体" w:cs="宋体"/>
          <w:b w:val="0"/>
          <w:bCs w:val="0"/>
          <w:kern w:val="0"/>
        </w:rPr>
      </w:pPr>
      <w:r>
        <w:rPr>
          <w:rFonts w:hint="eastAsia" w:ascii="方正仿宋_GBK" w:hAnsi="宋体" w:cs="宋体"/>
          <w:b w:val="0"/>
          <w:bCs w:val="0"/>
          <w:kern w:val="0"/>
          <w:lang w:val="en-US" w:eastAsia="zh-CN"/>
        </w:rPr>
        <w:t xml:space="preserve">      </w:t>
      </w:r>
      <w:r>
        <w:rPr>
          <w:rFonts w:ascii="方正仿宋_GBK" w:hAnsi="宋体" w:cs="宋体"/>
          <w:b w:val="0"/>
          <w:bCs w:val="0"/>
          <w:kern w:val="0"/>
        </w:rPr>
        <w:t>201</w:t>
      </w:r>
      <w:r>
        <w:rPr>
          <w:rFonts w:hint="eastAsia" w:ascii="方正仿宋_GBK" w:hAnsi="宋体" w:cs="宋体"/>
          <w:b w:val="0"/>
          <w:bCs w:val="0"/>
          <w:kern w:val="0"/>
        </w:rPr>
        <w:t>8年</w:t>
      </w:r>
      <w:r>
        <w:rPr>
          <w:rFonts w:hint="eastAsia" w:ascii="方正仿宋_GBK" w:hAnsi="宋体" w:cs="宋体"/>
          <w:b w:val="0"/>
          <w:bCs w:val="0"/>
          <w:kern w:val="0"/>
          <w:lang w:val="en-US" w:eastAsia="zh-CN"/>
        </w:rPr>
        <w:t>3</w:t>
      </w:r>
      <w:r>
        <w:rPr>
          <w:rFonts w:hint="eastAsia" w:ascii="方正仿宋_GBK" w:hAnsi="宋体" w:cs="宋体"/>
          <w:b w:val="0"/>
          <w:bCs w:val="0"/>
          <w:kern w:val="0"/>
        </w:rPr>
        <w:t>月</w:t>
      </w:r>
      <w:r>
        <w:rPr>
          <w:rFonts w:hint="eastAsia" w:ascii="方正仿宋_GBK" w:hAnsi="宋体" w:cs="宋体"/>
          <w:b w:val="0"/>
          <w:bCs w:val="0"/>
          <w:kern w:val="0"/>
          <w:lang w:val="en-US" w:eastAsia="zh-CN"/>
        </w:rPr>
        <w:t>2</w:t>
      </w:r>
      <w:r>
        <w:rPr>
          <w:rFonts w:hint="eastAsia" w:ascii="方正仿宋_GBK" w:hAnsi="宋体" w:cs="宋体"/>
          <w:b w:val="0"/>
          <w:bCs w:val="0"/>
          <w:kern w:val="0"/>
        </w:rPr>
        <w:t>日</w:t>
      </w:r>
    </w:p>
    <w:p>
      <w:pPr>
        <w:adjustRightInd w:val="0"/>
        <w:snapToGrid w:val="0"/>
        <w:spacing w:line="580" w:lineRule="exact"/>
        <w:ind w:firstLine="4640" w:firstLineChars="1450"/>
        <w:jc w:val="left"/>
        <w:rPr>
          <w:rFonts w:ascii="方正仿宋_GBK" w:hAnsi="宋体" w:eastAsia="方正仿宋_GBK" w:cs="宋体"/>
          <w:color w:val="000000"/>
          <w:kern w:val="0"/>
          <w:sz w:val="32"/>
          <w:szCs w:val="32"/>
          <w:shd w:val="clear" w:color="auto" w:fill="FFFFFF"/>
        </w:rPr>
      </w:pPr>
      <w:r>
        <w:rPr>
          <w:rFonts w:ascii="方正仿宋_GBK" w:hAnsi="宋体" w:eastAsia="方正仿宋_GBK" w:cs="宋体"/>
          <w:kern w:val="0"/>
          <w:sz w:val="32"/>
          <w:szCs w:val="32"/>
          <w:shd w:val="clear" w:color="auto" w:fill="FFFFFF"/>
        </w:rPr>
        <w:br w:type="page"/>
      </w:r>
    </w:p>
    <w:p>
      <w:pPr>
        <w:jc w:val="left"/>
        <w:rPr>
          <w:rFonts w:hint="eastAsia" w:ascii="方正黑体_GBK" w:hAnsi="方正黑体_GBK" w:eastAsia="方正黑体_GBK" w:cs="方正黑体_GBK"/>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rPr>
        <w:t>附件1</w:t>
      </w:r>
    </w:p>
    <w:p>
      <w:pPr>
        <w:jc w:val="center"/>
        <w:rPr>
          <w:rFonts w:ascii="方正小标宋_GBK" w:hAnsi="宋体" w:eastAsia="方正小标宋_GBK" w:cs="宋体"/>
          <w:kern w:val="0"/>
          <w:sz w:val="44"/>
          <w:szCs w:val="44"/>
          <w:shd w:val="clear" w:color="auto" w:fill="FFFFFF"/>
        </w:rPr>
      </w:pPr>
      <w:r>
        <w:rPr>
          <w:rFonts w:hint="eastAsia" w:ascii="方正小标宋_GBK" w:hAnsi="宋体" w:eastAsia="方正小标宋_GBK" w:cs="宋体"/>
          <w:kern w:val="0"/>
          <w:sz w:val="44"/>
          <w:szCs w:val="44"/>
          <w:shd w:val="clear" w:color="auto" w:fill="FFFFFF"/>
        </w:rPr>
        <w:t>2018年</w:t>
      </w:r>
      <w:r>
        <w:rPr>
          <w:rFonts w:hint="eastAsia" w:ascii="方正小标宋_GBK" w:hAnsi="Times New Roman" w:eastAsia="方正小标宋_GBK" w:cs="Times New Roman"/>
          <w:sz w:val="44"/>
          <w:szCs w:val="44"/>
        </w:rPr>
        <w:t>基础建设监督</w:t>
      </w:r>
      <w:r>
        <w:rPr>
          <w:rFonts w:ascii="方正小标宋_GBK" w:hAnsi="Times New Roman" w:eastAsia="方正小标宋_GBK" w:cs="Times New Roman"/>
          <w:sz w:val="44"/>
          <w:szCs w:val="44"/>
        </w:rPr>
        <w:t>执法工作</w:t>
      </w:r>
      <w:r>
        <w:rPr>
          <w:rFonts w:hint="eastAsia" w:ascii="方正小标宋_GBK" w:hAnsi="Times New Roman" w:eastAsia="方正小标宋_GBK" w:cs="Times New Roman"/>
          <w:sz w:val="44"/>
          <w:szCs w:val="44"/>
        </w:rPr>
        <w:t>企业名单</w:t>
      </w:r>
    </w:p>
    <w:p>
      <w:pPr>
        <w:rPr>
          <w:rFonts w:hint="eastAsia" w:ascii="方正楷体_GBK" w:hAnsi="方正楷体_GBK" w:eastAsia="方正楷体_GBK" w:cs="方正楷体_GBK"/>
          <w:kern w:val="0"/>
          <w:sz w:val="30"/>
          <w:szCs w:val="30"/>
          <w:shd w:val="clear" w:color="auto" w:fill="FFFFFF"/>
        </w:rPr>
      </w:pPr>
      <w:r>
        <w:rPr>
          <w:rFonts w:hint="eastAsia" w:ascii="方正楷体_GBK" w:hAnsi="方正楷体_GBK" w:eastAsia="方正楷体_GBK" w:cs="方正楷体_GBK"/>
          <w:kern w:val="0"/>
          <w:sz w:val="30"/>
          <w:szCs w:val="30"/>
          <w:shd w:val="clear" w:color="auto" w:fill="FFFFFF"/>
        </w:rPr>
        <w:t>填报区县：                             填报人：</w:t>
      </w:r>
    </w:p>
    <w:tbl>
      <w:tblPr>
        <w:tblStyle w:val="6"/>
        <w:tblW w:w="90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405"/>
        <w:gridCol w:w="1843"/>
        <w:gridCol w:w="1843"/>
        <w:gridCol w:w="2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7" w:hRule="atLeast"/>
          <w:jc w:val="center"/>
        </w:trPr>
        <w:tc>
          <w:tcPr>
            <w:tcW w:w="860" w:type="dxa"/>
            <w:vAlign w:val="center"/>
          </w:tcPr>
          <w:p>
            <w:pPr>
              <w:adjustRightInd w:val="0"/>
              <w:snapToGrid w:val="0"/>
              <w:spacing w:line="340" w:lineRule="exact"/>
              <w:jc w:val="center"/>
              <w:rPr>
                <w:rFonts w:hint="eastAsia" w:ascii="方正黑体_GBK" w:hAnsi="方正黑体_GBK" w:eastAsia="方正黑体_GBK" w:cs="方正黑体_GBK"/>
                <w:snapToGrid w:val="0"/>
                <w:kern w:val="0"/>
                <w:sz w:val="30"/>
                <w:szCs w:val="30"/>
              </w:rPr>
            </w:pPr>
            <w:r>
              <w:rPr>
                <w:rFonts w:hint="eastAsia" w:ascii="方正黑体_GBK" w:hAnsi="方正黑体_GBK" w:eastAsia="方正黑体_GBK" w:cs="方正黑体_GBK"/>
                <w:snapToGrid w:val="0"/>
                <w:kern w:val="0"/>
                <w:sz w:val="30"/>
                <w:szCs w:val="30"/>
              </w:rPr>
              <w:t>序号</w:t>
            </w:r>
          </w:p>
        </w:tc>
        <w:tc>
          <w:tcPr>
            <w:tcW w:w="2405" w:type="dxa"/>
            <w:vAlign w:val="center"/>
          </w:tcPr>
          <w:p>
            <w:pPr>
              <w:adjustRightInd w:val="0"/>
              <w:snapToGrid w:val="0"/>
              <w:spacing w:line="340" w:lineRule="exact"/>
              <w:jc w:val="center"/>
              <w:rPr>
                <w:rFonts w:hint="eastAsia" w:ascii="方正黑体_GBK" w:hAnsi="方正黑体_GBK" w:eastAsia="方正黑体_GBK" w:cs="方正黑体_GBK"/>
                <w:snapToGrid w:val="0"/>
                <w:kern w:val="0"/>
                <w:sz w:val="30"/>
                <w:szCs w:val="30"/>
              </w:rPr>
            </w:pPr>
            <w:r>
              <w:rPr>
                <w:rFonts w:hint="eastAsia" w:ascii="方正黑体_GBK" w:hAnsi="方正黑体_GBK" w:eastAsia="方正黑体_GBK" w:cs="方正黑体_GBK"/>
                <w:snapToGrid w:val="0"/>
                <w:kern w:val="0"/>
                <w:sz w:val="30"/>
                <w:szCs w:val="30"/>
              </w:rPr>
              <w:t>企业名称</w:t>
            </w:r>
          </w:p>
        </w:tc>
        <w:tc>
          <w:tcPr>
            <w:tcW w:w="1843" w:type="dxa"/>
            <w:vAlign w:val="center"/>
          </w:tcPr>
          <w:p>
            <w:pPr>
              <w:adjustRightInd w:val="0"/>
              <w:snapToGrid w:val="0"/>
              <w:spacing w:line="340" w:lineRule="exact"/>
              <w:jc w:val="center"/>
              <w:rPr>
                <w:rFonts w:hint="eastAsia" w:ascii="方正黑体_GBK" w:hAnsi="方正黑体_GBK" w:eastAsia="方正黑体_GBK" w:cs="方正黑体_GBK"/>
                <w:snapToGrid w:val="0"/>
                <w:kern w:val="0"/>
                <w:sz w:val="30"/>
                <w:szCs w:val="30"/>
              </w:rPr>
            </w:pPr>
            <w:r>
              <w:rPr>
                <w:rFonts w:hint="eastAsia" w:ascii="方正黑体_GBK" w:hAnsi="方正黑体_GBK" w:eastAsia="方正黑体_GBK" w:cs="方正黑体_GBK"/>
                <w:snapToGrid w:val="0"/>
                <w:kern w:val="0"/>
                <w:sz w:val="30"/>
                <w:szCs w:val="30"/>
              </w:rPr>
              <w:t>基础建设</w:t>
            </w:r>
          </w:p>
          <w:p>
            <w:pPr>
              <w:adjustRightInd w:val="0"/>
              <w:snapToGrid w:val="0"/>
              <w:spacing w:line="340" w:lineRule="exact"/>
              <w:jc w:val="center"/>
              <w:rPr>
                <w:rFonts w:hint="eastAsia" w:ascii="方正黑体_GBK" w:hAnsi="方正黑体_GBK" w:eastAsia="方正黑体_GBK" w:cs="方正黑体_GBK"/>
                <w:snapToGrid w:val="0"/>
                <w:kern w:val="0"/>
                <w:sz w:val="30"/>
                <w:szCs w:val="30"/>
              </w:rPr>
            </w:pPr>
            <w:r>
              <w:rPr>
                <w:rFonts w:hint="eastAsia" w:ascii="方正黑体_GBK" w:hAnsi="方正黑体_GBK" w:eastAsia="方正黑体_GBK" w:cs="方正黑体_GBK"/>
                <w:snapToGrid w:val="0"/>
                <w:kern w:val="0"/>
                <w:sz w:val="30"/>
                <w:szCs w:val="30"/>
              </w:rPr>
              <w:t>原评定等级</w:t>
            </w:r>
          </w:p>
        </w:tc>
        <w:tc>
          <w:tcPr>
            <w:tcW w:w="1843" w:type="dxa"/>
            <w:vAlign w:val="center"/>
          </w:tcPr>
          <w:p>
            <w:pPr>
              <w:adjustRightInd w:val="0"/>
              <w:snapToGrid w:val="0"/>
              <w:spacing w:line="340" w:lineRule="exact"/>
              <w:jc w:val="center"/>
              <w:rPr>
                <w:rFonts w:hint="eastAsia" w:ascii="方正黑体_GBK" w:hAnsi="方正黑体_GBK" w:eastAsia="方正黑体_GBK" w:cs="方正黑体_GBK"/>
                <w:snapToGrid w:val="0"/>
                <w:kern w:val="0"/>
                <w:sz w:val="30"/>
                <w:szCs w:val="30"/>
              </w:rPr>
            </w:pPr>
            <w:r>
              <w:rPr>
                <w:rFonts w:hint="eastAsia" w:ascii="方正黑体_GBK" w:hAnsi="方正黑体_GBK" w:eastAsia="方正黑体_GBK" w:cs="方正黑体_GBK"/>
                <w:snapToGrid w:val="0"/>
                <w:kern w:val="0"/>
                <w:sz w:val="30"/>
                <w:szCs w:val="30"/>
              </w:rPr>
              <w:t>所在乡镇街</w:t>
            </w:r>
          </w:p>
          <w:p>
            <w:pPr>
              <w:adjustRightInd w:val="0"/>
              <w:snapToGrid w:val="0"/>
              <w:spacing w:line="340" w:lineRule="exact"/>
              <w:jc w:val="center"/>
              <w:rPr>
                <w:rFonts w:hint="eastAsia" w:ascii="方正黑体_GBK" w:hAnsi="方正黑体_GBK" w:eastAsia="方正黑体_GBK" w:cs="方正黑体_GBK"/>
                <w:snapToGrid w:val="0"/>
                <w:kern w:val="0"/>
                <w:sz w:val="30"/>
                <w:szCs w:val="30"/>
              </w:rPr>
            </w:pPr>
            <w:r>
              <w:rPr>
                <w:rFonts w:hint="eastAsia" w:ascii="方正黑体_GBK" w:hAnsi="方正黑体_GBK" w:eastAsia="方正黑体_GBK" w:cs="方正黑体_GBK"/>
                <w:snapToGrid w:val="0"/>
                <w:kern w:val="0"/>
                <w:sz w:val="30"/>
                <w:szCs w:val="30"/>
              </w:rPr>
              <w:t>（园区）</w:t>
            </w:r>
          </w:p>
        </w:tc>
        <w:tc>
          <w:tcPr>
            <w:tcW w:w="2121" w:type="dxa"/>
            <w:vAlign w:val="center"/>
          </w:tcPr>
          <w:p>
            <w:pPr>
              <w:adjustRightInd w:val="0"/>
              <w:snapToGrid w:val="0"/>
              <w:spacing w:line="340" w:lineRule="exact"/>
              <w:jc w:val="center"/>
              <w:rPr>
                <w:rFonts w:hint="eastAsia" w:ascii="方正黑体_GBK" w:hAnsi="方正黑体_GBK" w:eastAsia="方正黑体_GBK" w:cs="方正黑体_GBK"/>
                <w:snapToGrid w:val="0"/>
                <w:kern w:val="0"/>
                <w:sz w:val="30"/>
                <w:szCs w:val="30"/>
              </w:rPr>
            </w:pPr>
            <w:r>
              <w:rPr>
                <w:rFonts w:hint="eastAsia" w:ascii="方正黑体_GBK" w:hAnsi="方正黑体_GBK" w:eastAsia="方正黑体_GBK" w:cs="方正黑体_GBK"/>
                <w:snapToGrid w:val="0"/>
                <w:kern w:val="0"/>
                <w:sz w:val="30"/>
                <w:szCs w:val="30"/>
              </w:rPr>
              <w:t>监督执法月份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405"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1843" w:type="dxa"/>
          </w:tcPr>
          <w:p>
            <w:pPr>
              <w:spacing w:line="560" w:lineRule="exact"/>
              <w:jc w:val="center"/>
              <w:rPr>
                <w:rFonts w:ascii="方正仿宋_GBK" w:hAnsi="Times New Roman" w:eastAsia="方正仿宋_GBK" w:cs="Times New Roman"/>
                <w:snapToGrid w:val="0"/>
                <w:kern w:val="0"/>
                <w:sz w:val="30"/>
                <w:szCs w:val="30"/>
              </w:rPr>
            </w:pPr>
          </w:p>
        </w:tc>
        <w:tc>
          <w:tcPr>
            <w:tcW w:w="1843"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121" w:type="dxa"/>
          </w:tcPr>
          <w:p>
            <w:pPr>
              <w:spacing w:line="560" w:lineRule="exact"/>
              <w:jc w:val="center"/>
              <w:rPr>
                <w:rFonts w:ascii="方正仿宋_GBK" w:hAnsi="Times New Roman" w:eastAsia="方正仿宋_GBK" w:cs="Times New Roman"/>
                <w:snapToGrid w:val="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405"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1843" w:type="dxa"/>
          </w:tcPr>
          <w:p>
            <w:pPr>
              <w:spacing w:line="560" w:lineRule="exact"/>
              <w:jc w:val="center"/>
              <w:rPr>
                <w:rFonts w:ascii="方正仿宋_GBK" w:hAnsi="Times New Roman" w:eastAsia="方正仿宋_GBK" w:cs="Times New Roman"/>
                <w:snapToGrid w:val="0"/>
                <w:kern w:val="0"/>
                <w:sz w:val="30"/>
                <w:szCs w:val="30"/>
              </w:rPr>
            </w:pPr>
          </w:p>
        </w:tc>
        <w:tc>
          <w:tcPr>
            <w:tcW w:w="1843"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121" w:type="dxa"/>
          </w:tcPr>
          <w:p>
            <w:pPr>
              <w:spacing w:line="560" w:lineRule="exact"/>
              <w:jc w:val="center"/>
              <w:rPr>
                <w:rFonts w:ascii="方正仿宋_GBK" w:hAnsi="Times New Roman" w:eastAsia="方正仿宋_GBK" w:cs="Times New Roman"/>
                <w:snapToGrid w:val="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405"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1843" w:type="dxa"/>
          </w:tcPr>
          <w:p>
            <w:pPr>
              <w:spacing w:line="560" w:lineRule="exact"/>
              <w:jc w:val="center"/>
              <w:rPr>
                <w:rFonts w:ascii="方正仿宋_GBK" w:hAnsi="Times New Roman" w:eastAsia="方正仿宋_GBK" w:cs="Times New Roman"/>
                <w:snapToGrid w:val="0"/>
                <w:kern w:val="0"/>
                <w:sz w:val="30"/>
                <w:szCs w:val="30"/>
              </w:rPr>
            </w:pPr>
          </w:p>
        </w:tc>
        <w:tc>
          <w:tcPr>
            <w:tcW w:w="1843"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121" w:type="dxa"/>
          </w:tcPr>
          <w:p>
            <w:pPr>
              <w:spacing w:line="560" w:lineRule="exact"/>
              <w:jc w:val="center"/>
              <w:rPr>
                <w:rFonts w:ascii="方正仿宋_GBK" w:hAnsi="Times New Roman" w:eastAsia="方正仿宋_GBK" w:cs="Times New Roman"/>
                <w:snapToGrid w:val="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405"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1843" w:type="dxa"/>
          </w:tcPr>
          <w:p>
            <w:pPr>
              <w:spacing w:line="560" w:lineRule="exact"/>
              <w:jc w:val="center"/>
              <w:rPr>
                <w:rFonts w:ascii="方正仿宋_GBK" w:hAnsi="Times New Roman" w:eastAsia="方正仿宋_GBK" w:cs="Times New Roman"/>
                <w:snapToGrid w:val="0"/>
                <w:kern w:val="0"/>
                <w:sz w:val="30"/>
                <w:szCs w:val="30"/>
              </w:rPr>
            </w:pPr>
          </w:p>
        </w:tc>
        <w:tc>
          <w:tcPr>
            <w:tcW w:w="1843"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121" w:type="dxa"/>
          </w:tcPr>
          <w:p>
            <w:pPr>
              <w:spacing w:line="560" w:lineRule="exact"/>
              <w:jc w:val="center"/>
              <w:rPr>
                <w:rFonts w:ascii="方正仿宋_GBK" w:hAnsi="Times New Roman" w:eastAsia="方正仿宋_GBK" w:cs="Times New Roman"/>
                <w:snapToGrid w:val="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405"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1843" w:type="dxa"/>
          </w:tcPr>
          <w:p>
            <w:pPr>
              <w:spacing w:line="560" w:lineRule="exact"/>
              <w:jc w:val="center"/>
              <w:rPr>
                <w:rFonts w:ascii="方正仿宋_GBK" w:hAnsi="Times New Roman" w:eastAsia="方正仿宋_GBK" w:cs="Times New Roman"/>
                <w:snapToGrid w:val="0"/>
                <w:kern w:val="0"/>
                <w:sz w:val="30"/>
                <w:szCs w:val="30"/>
              </w:rPr>
            </w:pPr>
          </w:p>
        </w:tc>
        <w:tc>
          <w:tcPr>
            <w:tcW w:w="1843"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121" w:type="dxa"/>
          </w:tcPr>
          <w:p>
            <w:pPr>
              <w:spacing w:line="560" w:lineRule="exact"/>
              <w:jc w:val="center"/>
              <w:rPr>
                <w:rFonts w:ascii="方正仿宋_GBK" w:hAnsi="Times New Roman" w:eastAsia="方正仿宋_GBK" w:cs="Times New Roman"/>
                <w:snapToGrid w:val="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405"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1843" w:type="dxa"/>
          </w:tcPr>
          <w:p>
            <w:pPr>
              <w:spacing w:line="560" w:lineRule="exact"/>
              <w:jc w:val="center"/>
              <w:rPr>
                <w:rFonts w:ascii="方正仿宋_GBK" w:hAnsi="Times New Roman" w:eastAsia="方正仿宋_GBK" w:cs="Times New Roman"/>
                <w:snapToGrid w:val="0"/>
                <w:kern w:val="0"/>
                <w:sz w:val="30"/>
                <w:szCs w:val="30"/>
              </w:rPr>
            </w:pPr>
          </w:p>
        </w:tc>
        <w:tc>
          <w:tcPr>
            <w:tcW w:w="1843"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121" w:type="dxa"/>
          </w:tcPr>
          <w:p>
            <w:pPr>
              <w:spacing w:line="560" w:lineRule="exact"/>
              <w:jc w:val="center"/>
              <w:rPr>
                <w:rFonts w:ascii="方正仿宋_GBK" w:hAnsi="Times New Roman" w:eastAsia="方正仿宋_GBK" w:cs="Times New Roman"/>
                <w:snapToGrid w:val="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405"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1843" w:type="dxa"/>
          </w:tcPr>
          <w:p>
            <w:pPr>
              <w:spacing w:line="560" w:lineRule="exact"/>
              <w:jc w:val="center"/>
              <w:rPr>
                <w:rFonts w:ascii="方正仿宋_GBK" w:hAnsi="Times New Roman" w:eastAsia="方正仿宋_GBK" w:cs="Times New Roman"/>
                <w:snapToGrid w:val="0"/>
                <w:kern w:val="0"/>
                <w:sz w:val="30"/>
                <w:szCs w:val="30"/>
              </w:rPr>
            </w:pPr>
          </w:p>
        </w:tc>
        <w:tc>
          <w:tcPr>
            <w:tcW w:w="1843" w:type="dxa"/>
            <w:vAlign w:val="center"/>
          </w:tcPr>
          <w:p>
            <w:pPr>
              <w:spacing w:line="560" w:lineRule="exact"/>
              <w:jc w:val="center"/>
              <w:rPr>
                <w:rFonts w:ascii="方正仿宋_GBK" w:hAnsi="Times New Roman" w:eastAsia="方正仿宋_GBK" w:cs="Times New Roman"/>
                <w:snapToGrid w:val="0"/>
                <w:kern w:val="0"/>
                <w:sz w:val="30"/>
                <w:szCs w:val="30"/>
              </w:rPr>
            </w:pPr>
          </w:p>
        </w:tc>
        <w:tc>
          <w:tcPr>
            <w:tcW w:w="2121" w:type="dxa"/>
          </w:tcPr>
          <w:p>
            <w:pPr>
              <w:spacing w:line="560" w:lineRule="exact"/>
              <w:jc w:val="center"/>
              <w:rPr>
                <w:rFonts w:ascii="方正仿宋_GBK" w:hAnsi="Times New Roman" w:eastAsia="方正仿宋_GBK" w:cs="Times New Roman"/>
                <w:snapToGrid w:val="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60"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405"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1843" w:type="dxa"/>
          </w:tcPr>
          <w:p>
            <w:pPr>
              <w:spacing w:line="560" w:lineRule="exact"/>
              <w:jc w:val="center"/>
              <w:rPr>
                <w:rFonts w:ascii="方正仿宋_GBK" w:hAnsi="Times New Roman" w:eastAsia="方正仿宋_GBK" w:cs="Times New Roman"/>
                <w:snapToGrid w:val="0"/>
                <w:kern w:val="0"/>
                <w:sz w:val="32"/>
                <w:szCs w:val="32"/>
              </w:rPr>
            </w:pPr>
          </w:p>
        </w:tc>
        <w:tc>
          <w:tcPr>
            <w:tcW w:w="1843" w:type="dxa"/>
            <w:vAlign w:val="center"/>
          </w:tcPr>
          <w:p>
            <w:pPr>
              <w:spacing w:line="560" w:lineRule="exact"/>
              <w:jc w:val="center"/>
              <w:rPr>
                <w:rFonts w:ascii="方正仿宋_GBK" w:hAnsi="Times New Roman" w:eastAsia="方正仿宋_GBK" w:cs="Times New Roman"/>
                <w:snapToGrid w:val="0"/>
                <w:kern w:val="0"/>
                <w:sz w:val="32"/>
                <w:szCs w:val="32"/>
              </w:rPr>
            </w:pPr>
          </w:p>
        </w:tc>
        <w:tc>
          <w:tcPr>
            <w:tcW w:w="2121" w:type="dxa"/>
          </w:tcPr>
          <w:p>
            <w:pPr>
              <w:spacing w:line="560" w:lineRule="exact"/>
              <w:jc w:val="center"/>
              <w:rPr>
                <w:rFonts w:ascii="方正仿宋_GBK" w:hAnsi="Times New Roman" w:eastAsia="方正仿宋_GBK" w:cs="Times New Roman"/>
                <w:snapToGrid w:val="0"/>
                <w:kern w:val="0"/>
                <w:sz w:val="32"/>
                <w:szCs w:val="32"/>
              </w:rPr>
            </w:pPr>
          </w:p>
        </w:tc>
      </w:tr>
    </w:tbl>
    <w:p>
      <w:pPr>
        <w:jc w:val="both"/>
        <w:rPr>
          <w:rFonts w:ascii="方正小标宋_GBK" w:hAnsi="宋体" w:eastAsia="方正小标宋_GBK" w:cs="宋体"/>
          <w:kern w:val="0"/>
          <w:sz w:val="44"/>
          <w:szCs w:val="44"/>
          <w:shd w:val="clear" w:color="auto" w:fill="FFFFFF"/>
        </w:rPr>
        <w:sectPr>
          <w:footerReference r:id="rId3" w:type="default"/>
          <w:footerReference r:id="rId4" w:type="even"/>
          <w:pgSz w:w="11906" w:h="16838"/>
          <w:pgMar w:top="2098" w:right="1474" w:bottom="1984" w:left="1587" w:header="851" w:footer="1474" w:gutter="0"/>
          <w:pgNumType w:fmt="decimal"/>
          <w:cols w:space="0" w:num="1"/>
          <w:rtlGutter w:val="0"/>
          <w:docGrid w:type="linesAndChars" w:linePitch="579" w:charSpace="-842"/>
        </w:sectPr>
      </w:pPr>
    </w:p>
    <w:p>
      <w:pPr>
        <w:jc w:val="left"/>
        <w:rPr>
          <w:rFonts w:hint="eastAsia" w:ascii="方正黑体_GBK" w:hAnsi="方正黑体_GBK" w:eastAsia="方正黑体_GBK" w:cs="方正黑体_GBK"/>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rPr>
        <w:t>附件2</w:t>
      </w:r>
    </w:p>
    <w:p>
      <w:pPr>
        <w:jc w:val="center"/>
        <w:rPr>
          <w:rFonts w:ascii="方正小标宋_GBK" w:hAnsi="宋体" w:eastAsia="方正小标宋_GBK" w:cs="宋体"/>
          <w:kern w:val="0"/>
          <w:sz w:val="44"/>
          <w:szCs w:val="44"/>
          <w:shd w:val="clear" w:color="auto" w:fill="FFFFFF"/>
        </w:rPr>
      </w:pPr>
      <w:r>
        <w:rPr>
          <w:rFonts w:hint="eastAsia" w:ascii="方正小标宋_GBK" w:hAnsi="宋体" w:eastAsia="方正小标宋_GBK" w:cs="宋体"/>
          <w:kern w:val="0"/>
          <w:sz w:val="44"/>
          <w:szCs w:val="44"/>
          <w:shd w:val="clear" w:color="auto" w:fill="FFFFFF"/>
        </w:rPr>
        <w:t>基础</w:t>
      </w:r>
      <w:r>
        <w:rPr>
          <w:rFonts w:ascii="方正小标宋_GBK" w:hAnsi="宋体" w:eastAsia="方正小标宋_GBK" w:cs="宋体"/>
          <w:kern w:val="0"/>
          <w:sz w:val="44"/>
          <w:szCs w:val="44"/>
          <w:shd w:val="clear" w:color="auto" w:fill="FFFFFF"/>
        </w:rPr>
        <w:t>建设监督</w:t>
      </w:r>
      <w:r>
        <w:rPr>
          <w:rFonts w:hint="eastAsia" w:ascii="方正小标宋_GBK" w:hAnsi="宋体" w:eastAsia="方正小标宋_GBK" w:cs="宋体"/>
          <w:kern w:val="0"/>
          <w:sz w:val="44"/>
          <w:szCs w:val="44"/>
          <w:shd w:val="clear" w:color="auto" w:fill="FFFFFF"/>
        </w:rPr>
        <w:t>执法</w:t>
      </w:r>
      <w:r>
        <w:rPr>
          <w:rFonts w:ascii="方正小标宋_GBK" w:hAnsi="宋体" w:eastAsia="方正小标宋_GBK" w:cs="宋体"/>
          <w:kern w:val="0"/>
          <w:sz w:val="44"/>
          <w:szCs w:val="44"/>
          <w:shd w:val="clear" w:color="auto" w:fill="FFFFFF"/>
        </w:rPr>
        <w:t>工作开展情况</w:t>
      </w:r>
      <w:r>
        <w:rPr>
          <w:rFonts w:hint="eastAsia" w:ascii="方正小标宋_GBK" w:hAnsi="宋体" w:eastAsia="方正小标宋_GBK" w:cs="宋体"/>
          <w:kern w:val="0"/>
          <w:sz w:val="44"/>
          <w:szCs w:val="44"/>
          <w:shd w:val="clear" w:color="auto" w:fill="FFFFFF"/>
        </w:rPr>
        <w:t>月度统计</w:t>
      </w:r>
      <w:r>
        <w:rPr>
          <w:rFonts w:ascii="方正小标宋_GBK" w:hAnsi="宋体" w:eastAsia="方正小标宋_GBK" w:cs="宋体"/>
          <w:kern w:val="0"/>
          <w:sz w:val="44"/>
          <w:szCs w:val="44"/>
          <w:shd w:val="clear" w:color="auto" w:fill="FFFFFF"/>
        </w:rPr>
        <w:t>表</w:t>
      </w:r>
    </w:p>
    <w:p>
      <w:pPr>
        <w:ind w:firstLine="450" w:firstLineChars="150"/>
        <w:rPr>
          <w:rFonts w:hint="eastAsia" w:ascii="方正楷体_GBK" w:hAnsi="方正楷体_GBK" w:eastAsia="方正楷体_GBK" w:cs="方正楷体_GBK"/>
          <w:kern w:val="0"/>
          <w:sz w:val="30"/>
          <w:szCs w:val="30"/>
          <w:shd w:val="clear" w:color="auto" w:fill="FFFFFF"/>
        </w:rPr>
      </w:pPr>
      <w:r>
        <w:rPr>
          <w:rFonts w:hint="eastAsia" w:ascii="方正楷体_GBK" w:hAnsi="方正楷体_GBK" w:eastAsia="方正楷体_GBK" w:cs="方正楷体_GBK"/>
          <w:kern w:val="0"/>
          <w:sz w:val="30"/>
          <w:szCs w:val="30"/>
          <w:shd w:val="clear" w:color="auto" w:fill="FFFFFF"/>
        </w:rPr>
        <w:t>填报区县：                        填报人：             填报日间：    年    月    日</w:t>
      </w:r>
    </w:p>
    <w:tbl>
      <w:tblPr>
        <w:tblStyle w:val="8"/>
        <w:tblW w:w="141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4"/>
        <w:gridCol w:w="1986"/>
        <w:gridCol w:w="1986"/>
        <w:gridCol w:w="1986"/>
        <w:gridCol w:w="1512"/>
        <w:gridCol w:w="484"/>
        <w:gridCol w:w="928"/>
        <w:gridCol w:w="1094"/>
        <w:gridCol w:w="131"/>
        <w:gridCol w:w="20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3" w:hRule="atLeast"/>
        </w:trPr>
        <w:tc>
          <w:tcPr>
            <w:tcW w:w="1984" w:type="dxa"/>
            <w:vMerge w:val="restart"/>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计划完成监督执法数（家）</w:t>
            </w:r>
          </w:p>
        </w:tc>
        <w:tc>
          <w:tcPr>
            <w:tcW w:w="1986" w:type="dxa"/>
            <w:vMerge w:val="restart"/>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本月已完成监督执法数（家）</w:t>
            </w:r>
          </w:p>
        </w:tc>
        <w:tc>
          <w:tcPr>
            <w:tcW w:w="1986" w:type="dxa"/>
            <w:vMerge w:val="restart"/>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发现问题或隐患（项）</w:t>
            </w:r>
          </w:p>
        </w:tc>
        <w:tc>
          <w:tcPr>
            <w:tcW w:w="1986" w:type="dxa"/>
            <w:vMerge w:val="restart"/>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现场检查</w:t>
            </w:r>
          </w:p>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记录（份）</w:t>
            </w:r>
          </w:p>
        </w:tc>
        <w:tc>
          <w:tcPr>
            <w:tcW w:w="6228" w:type="dxa"/>
            <w:gridSpan w:val="6"/>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责令限期整改情况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13" w:hRule="atLeast"/>
        </w:trPr>
        <w:tc>
          <w:tcPr>
            <w:tcW w:w="1984" w:type="dxa"/>
            <w:vMerge w:val="continue"/>
            <w:vAlign w:val="center"/>
          </w:tcPr>
          <w:p>
            <w:pPr>
              <w:snapToGrid w:val="0"/>
              <w:jc w:val="center"/>
              <w:rPr>
                <w:rFonts w:ascii="方正仿宋_GBK" w:hAnsi="Calibri" w:eastAsia="方正仿宋_GBK" w:cs="Times New Roman"/>
                <w:sz w:val="30"/>
                <w:szCs w:val="30"/>
              </w:rPr>
            </w:pPr>
          </w:p>
        </w:tc>
        <w:tc>
          <w:tcPr>
            <w:tcW w:w="1986" w:type="dxa"/>
            <w:vMerge w:val="continue"/>
            <w:vAlign w:val="center"/>
          </w:tcPr>
          <w:p>
            <w:pPr>
              <w:snapToGrid w:val="0"/>
              <w:jc w:val="center"/>
              <w:rPr>
                <w:rFonts w:ascii="方正仿宋_GBK" w:hAnsi="Calibri" w:eastAsia="方正仿宋_GBK" w:cs="Times New Roman"/>
                <w:sz w:val="30"/>
                <w:szCs w:val="30"/>
              </w:rPr>
            </w:pPr>
          </w:p>
        </w:tc>
        <w:tc>
          <w:tcPr>
            <w:tcW w:w="1986" w:type="dxa"/>
            <w:vMerge w:val="continue"/>
            <w:vAlign w:val="center"/>
          </w:tcPr>
          <w:p>
            <w:pPr>
              <w:snapToGrid w:val="0"/>
              <w:jc w:val="center"/>
              <w:rPr>
                <w:rFonts w:ascii="方正仿宋_GBK" w:hAnsi="Calibri" w:eastAsia="方正仿宋_GBK" w:cs="Times New Roman"/>
                <w:sz w:val="30"/>
                <w:szCs w:val="30"/>
              </w:rPr>
            </w:pPr>
          </w:p>
        </w:tc>
        <w:tc>
          <w:tcPr>
            <w:tcW w:w="1986" w:type="dxa"/>
            <w:vMerge w:val="continue"/>
            <w:vAlign w:val="center"/>
          </w:tcPr>
          <w:p>
            <w:pPr>
              <w:snapToGrid w:val="0"/>
              <w:jc w:val="center"/>
              <w:rPr>
                <w:rFonts w:ascii="方正仿宋_GBK" w:hAnsi="Calibri" w:eastAsia="方正仿宋_GBK" w:cs="Times New Roman"/>
                <w:sz w:val="30"/>
                <w:szCs w:val="30"/>
              </w:rPr>
            </w:pPr>
          </w:p>
        </w:tc>
        <w:tc>
          <w:tcPr>
            <w:tcW w:w="1996" w:type="dxa"/>
            <w:gridSpan w:val="2"/>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发出整改</w:t>
            </w:r>
          </w:p>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指令（份）</w:t>
            </w:r>
          </w:p>
        </w:tc>
        <w:tc>
          <w:tcPr>
            <w:tcW w:w="2022" w:type="dxa"/>
            <w:gridSpan w:val="2"/>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已整改（项）</w:t>
            </w:r>
          </w:p>
        </w:tc>
        <w:tc>
          <w:tcPr>
            <w:tcW w:w="2210" w:type="dxa"/>
            <w:gridSpan w:val="2"/>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未整改（项）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68" w:hRule="atLeast"/>
        </w:trPr>
        <w:tc>
          <w:tcPr>
            <w:tcW w:w="1984" w:type="dxa"/>
            <w:vAlign w:val="center"/>
          </w:tcPr>
          <w:p>
            <w:pPr>
              <w:snapToGrid w:val="0"/>
              <w:jc w:val="center"/>
              <w:rPr>
                <w:rFonts w:ascii="方正仿宋_GBK" w:hAnsi="Calibri" w:eastAsia="方正仿宋_GBK" w:cs="Times New Roman"/>
                <w:sz w:val="30"/>
                <w:szCs w:val="30"/>
              </w:rPr>
            </w:pPr>
          </w:p>
        </w:tc>
        <w:tc>
          <w:tcPr>
            <w:tcW w:w="1986" w:type="dxa"/>
            <w:vAlign w:val="center"/>
          </w:tcPr>
          <w:p>
            <w:pPr>
              <w:snapToGrid w:val="0"/>
              <w:jc w:val="center"/>
              <w:rPr>
                <w:rFonts w:ascii="方正仿宋_GBK" w:hAnsi="Calibri" w:eastAsia="方正仿宋_GBK" w:cs="Times New Roman"/>
                <w:sz w:val="30"/>
                <w:szCs w:val="30"/>
              </w:rPr>
            </w:pPr>
          </w:p>
        </w:tc>
        <w:tc>
          <w:tcPr>
            <w:tcW w:w="1986" w:type="dxa"/>
            <w:vAlign w:val="center"/>
          </w:tcPr>
          <w:p>
            <w:pPr>
              <w:snapToGrid w:val="0"/>
              <w:jc w:val="center"/>
              <w:rPr>
                <w:rFonts w:ascii="方正仿宋_GBK" w:hAnsi="Calibri" w:eastAsia="方正仿宋_GBK" w:cs="Times New Roman"/>
                <w:sz w:val="30"/>
                <w:szCs w:val="30"/>
              </w:rPr>
            </w:pPr>
          </w:p>
        </w:tc>
        <w:tc>
          <w:tcPr>
            <w:tcW w:w="1986" w:type="dxa"/>
            <w:vAlign w:val="center"/>
          </w:tcPr>
          <w:p>
            <w:pPr>
              <w:snapToGrid w:val="0"/>
              <w:jc w:val="center"/>
              <w:rPr>
                <w:rFonts w:ascii="方正仿宋_GBK" w:hAnsi="Calibri" w:eastAsia="方正仿宋_GBK" w:cs="Times New Roman"/>
                <w:sz w:val="30"/>
                <w:szCs w:val="30"/>
              </w:rPr>
            </w:pPr>
          </w:p>
        </w:tc>
        <w:tc>
          <w:tcPr>
            <w:tcW w:w="1996" w:type="dxa"/>
            <w:gridSpan w:val="2"/>
            <w:vAlign w:val="center"/>
          </w:tcPr>
          <w:p>
            <w:pPr>
              <w:snapToGrid w:val="0"/>
              <w:jc w:val="center"/>
              <w:rPr>
                <w:rFonts w:ascii="方正仿宋_GBK" w:hAnsi="Calibri" w:eastAsia="方正仿宋_GBK" w:cs="Times New Roman"/>
                <w:sz w:val="30"/>
                <w:szCs w:val="30"/>
              </w:rPr>
            </w:pPr>
          </w:p>
        </w:tc>
        <w:tc>
          <w:tcPr>
            <w:tcW w:w="2022" w:type="dxa"/>
            <w:gridSpan w:val="2"/>
            <w:vAlign w:val="center"/>
          </w:tcPr>
          <w:p>
            <w:pPr>
              <w:snapToGrid w:val="0"/>
              <w:jc w:val="center"/>
              <w:rPr>
                <w:rFonts w:ascii="方正仿宋_GBK" w:hAnsi="Calibri" w:eastAsia="方正仿宋_GBK" w:cs="Times New Roman"/>
                <w:sz w:val="30"/>
                <w:szCs w:val="30"/>
              </w:rPr>
            </w:pPr>
          </w:p>
        </w:tc>
        <w:tc>
          <w:tcPr>
            <w:tcW w:w="2210" w:type="dxa"/>
            <w:gridSpan w:val="2"/>
            <w:vAlign w:val="center"/>
          </w:tcPr>
          <w:p>
            <w:pPr>
              <w:snapToGrid w:val="0"/>
              <w:jc w:val="center"/>
              <w:rPr>
                <w:rFonts w:ascii="方正仿宋_GBK" w:hAnsi="Calibri" w:eastAsia="方正仿宋_GBK"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8" w:hRule="atLeast"/>
        </w:trPr>
        <w:tc>
          <w:tcPr>
            <w:tcW w:w="7942" w:type="dxa"/>
            <w:gridSpan w:val="4"/>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严格执法情况</w:t>
            </w:r>
          </w:p>
        </w:tc>
        <w:tc>
          <w:tcPr>
            <w:tcW w:w="6228" w:type="dxa"/>
            <w:gridSpan w:val="6"/>
            <w:vAlign w:val="center"/>
          </w:tcPr>
          <w:p>
            <w:pPr>
              <w:widowControl/>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本</w:t>
            </w:r>
            <w:r>
              <w:rPr>
                <w:rFonts w:ascii="方正仿宋_GBK" w:hAnsi="Calibri" w:eastAsia="方正仿宋_GBK" w:cs="Times New Roman"/>
                <w:sz w:val="30"/>
                <w:szCs w:val="30"/>
              </w:rPr>
              <w:t>月</w:t>
            </w:r>
            <w:r>
              <w:rPr>
                <w:rFonts w:hint="eastAsia" w:ascii="方正仿宋_GBK" w:hAnsi="Calibri" w:eastAsia="方正仿宋_GBK" w:cs="Times New Roman"/>
                <w:sz w:val="30"/>
                <w:szCs w:val="30"/>
              </w:rPr>
              <w:t>重新评定情况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84" w:type="dxa"/>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行政处罚（件）</w:t>
            </w:r>
          </w:p>
        </w:tc>
        <w:tc>
          <w:tcPr>
            <w:tcW w:w="1986" w:type="dxa"/>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罚款</w:t>
            </w:r>
          </w:p>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（万元）</w:t>
            </w:r>
          </w:p>
        </w:tc>
        <w:tc>
          <w:tcPr>
            <w:tcW w:w="1986" w:type="dxa"/>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责令停产（家）</w:t>
            </w:r>
          </w:p>
        </w:tc>
        <w:tc>
          <w:tcPr>
            <w:tcW w:w="1986" w:type="dxa"/>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提请关闭</w:t>
            </w:r>
          </w:p>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（家）</w:t>
            </w:r>
          </w:p>
        </w:tc>
        <w:tc>
          <w:tcPr>
            <w:tcW w:w="1512" w:type="dxa"/>
            <w:tcBorders>
              <w:right w:val="single" w:color="auto" w:sz="4" w:space="0"/>
            </w:tcBorders>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示范（家）</w:t>
            </w:r>
          </w:p>
        </w:tc>
        <w:tc>
          <w:tcPr>
            <w:tcW w:w="1412" w:type="dxa"/>
            <w:gridSpan w:val="2"/>
            <w:tcBorders>
              <w:left w:val="single" w:color="auto" w:sz="4" w:space="0"/>
              <w:right w:val="single" w:color="auto" w:sz="4" w:space="0"/>
            </w:tcBorders>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良好（家）</w:t>
            </w:r>
          </w:p>
        </w:tc>
        <w:tc>
          <w:tcPr>
            <w:tcW w:w="1225" w:type="dxa"/>
            <w:gridSpan w:val="2"/>
            <w:tcBorders>
              <w:left w:val="single" w:color="auto" w:sz="4" w:space="0"/>
              <w:right w:val="single" w:color="auto" w:sz="4" w:space="0"/>
            </w:tcBorders>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合格（家）</w:t>
            </w:r>
          </w:p>
        </w:tc>
        <w:tc>
          <w:tcPr>
            <w:tcW w:w="2079" w:type="dxa"/>
            <w:tcBorders>
              <w:left w:val="single" w:color="auto" w:sz="4" w:space="0"/>
            </w:tcBorders>
            <w:vAlign w:val="center"/>
          </w:tcPr>
          <w:p>
            <w:pPr>
              <w:snapToGrid w:val="0"/>
              <w:jc w:val="center"/>
              <w:rPr>
                <w:rFonts w:ascii="方正仿宋_GBK" w:hAnsi="Calibri" w:eastAsia="方正仿宋_GBK" w:cs="Times New Roman"/>
                <w:sz w:val="30"/>
                <w:szCs w:val="30"/>
              </w:rPr>
            </w:pPr>
            <w:r>
              <w:rPr>
                <w:rFonts w:hint="eastAsia" w:ascii="方正仿宋_GBK" w:hAnsi="Calibri" w:eastAsia="方正仿宋_GBK" w:cs="Times New Roman"/>
                <w:sz w:val="30"/>
                <w:szCs w:val="30"/>
              </w:rPr>
              <w:t>不合格（家）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45" w:hRule="atLeast"/>
        </w:trPr>
        <w:tc>
          <w:tcPr>
            <w:tcW w:w="1984" w:type="dxa"/>
            <w:tcBorders>
              <w:bottom w:val="single" w:color="auto" w:sz="4" w:space="0"/>
            </w:tcBorders>
            <w:vAlign w:val="center"/>
          </w:tcPr>
          <w:p>
            <w:pPr>
              <w:widowControl/>
              <w:snapToGrid w:val="0"/>
              <w:jc w:val="center"/>
              <w:rPr>
                <w:rFonts w:ascii="方正仿宋_GBK" w:hAnsi="Calibri" w:eastAsia="方正仿宋_GBK" w:cs="Times New Roman"/>
                <w:sz w:val="30"/>
                <w:szCs w:val="30"/>
              </w:rPr>
            </w:pPr>
          </w:p>
        </w:tc>
        <w:tc>
          <w:tcPr>
            <w:tcW w:w="1986" w:type="dxa"/>
            <w:tcBorders>
              <w:bottom w:val="single" w:color="auto" w:sz="4" w:space="0"/>
            </w:tcBorders>
            <w:vAlign w:val="center"/>
          </w:tcPr>
          <w:p>
            <w:pPr>
              <w:widowControl/>
              <w:snapToGrid w:val="0"/>
              <w:jc w:val="center"/>
              <w:rPr>
                <w:rFonts w:ascii="方正仿宋_GBK" w:hAnsi="Calibri" w:eastAsia="方正仿宋_GBK" w:cs="Times New Roman"/>
                <w:sz w:val="30"/>
                <w:szCs w:val="30"/>
              </w:rPr>
            </w:pPr>
          </w:p>
        </w:tc>
        <w:tc>
          <w:tcPr>
            <w:tcW w:w="1986" w:type="dxa"/>
            <w:tcBorders>
              <w:bottom w:val="single" w:color="auto" w:sz="4" w:space="0"/>
            </w:tcBorders>
            <w:vAlign w:val="center"/>
          </w:tcPr>
          <w:p>
            <w:pPr>
              <w:widowControl/>
              <w:snapToGrid w:val="0"/>
              <w:jc w:val="center"/>
              <w:rPr>
                <w:rFonts w:ascii="方正仿宋_GBK" w:hAnsi="Calibri" w:eastAsia="方正仿宋_GBK" w:cs="Times New Roman"/>
                <w:sz w:val="30"/>
                <w:szCs w:val="30"/>
              </w:rPr>
            </w:pPr>
          </w:p>
        </w:tc>
        <w:tc>
          <w:tcPr>
            <w:tcW w:w="1986" w:type="dxa"/>
            <w:tcBorders>
              <w:bottom w:val="single" w:color="auto" w:sz="4" w:space="0"/>
            </w:tcBorders>
            <w:vAlign w:val="center"/>
          </w:tcPr>
          <w:p>
            <w:pPr>
              <w:widowControl/>
              <w:snapToGrid w:val="0"/>
              <w:jc w:val="center"/>
              <w:rPr>
                <w:rFonts w:ascii="方正仿宋_GBK" w:hAnsi="Calibri" w:eastAsia="方正仿宋_GBK" w:cs="Times New Roman"/>
                <w:sz w:val="30"/>
                <w:szCs w:val="30"/>
              </w:rPr>
            </w:pPr>
          </w:p>
        </w:tc>
        <w:tc>
          <w:tcPr>
            <w:tcW w:w="1512" w:type="dxa"/>
            <w:tcBorders>
              <w:bottom w:val="single" w:color="auto" w:sz="4" w:space="0"/>
              <w:right w:val="single" w:color="auto" w:sz="4" w:space="0"/>
            </w:tcBorders>
            <w:vAlign w:val="center"/>
          </w:tcPr>
          <w:p>
            <w:pPr>
              <w:snapToGrid w:val="0"/>
              <w:jc w:val="center"/>
              <w:rPr>
                <w:rFonts w:ascii="方正仿宋_GBK" w:hAnsi="Calibri" w:eastAsia="方正仿宋_GBK" w:cs="Times New Roman"/>
                <w:sz w:val="30"/>
                <w:szCs w:val="30"/>
              </w:rPr>
            </w:pPr>
          </w:p>
        </w:tc>
        <w:tc>
          <w:tcPr>
            <w:tcW w:w="1412" w:type="dxa"/>
            <w:gridSpan w:val="2"/>
            <w:tcBorders>
              <w:left w:val="single" w:color="auto" w:sz="4" w:space="0"/>
              <w:bottom w:val="single" w:color="auto" w:sz="4" w:space="0"/>
              <w:right w:val="single" w:color="auto" w:sz="4" w:space="0"/>
            </w:tcBorders>
            <w:vAlign w:val="center"/>
          </w:tcPr>
          <w:p>
            <w:pPr>
              <w:snapToGrid w:val="0"/>
              <w:jc w:val="center"/>
              <w:rPr>
                <w:rFonts w:ascii="方正仿宋_GBK" w:hAnsi="Calibri" w:eastAsia="方正仿宋_GBK" w:cs="Times New Roman"/>
                <w:sz w:val="30"/>
                <w:szCs w:val="30"/>
              </w:rPr>
            </w:pPr>
          </w:p>
        </w:tc>
        <w:tc>
          <w:tcPr>
            <w:tcW w:w="1225" w:type="dxa"/>
            <w:gridSpan w:val="2"/>
            <w:tcBorders>
              <w:left w:val="single" w:color="auto" w:sz="4" w:space="0"/>
              <w:bottom w:val="single" w:color="auto" w:sz="4" w:space="0"/>
              <w:right w:val="single" w:color="auto" w:sz="4" w:space="0"/>
            </w:tcBorders>
            <w:vAlign w:val="center"/>
          </w:tcPr>
          <w:p>
            <w:pPr>
              <w:snapToGrid w:val="0"/>
              <w:jc w:val="center"/>
              <w:rPr>
                <w:rFonts w:ascii="方正仿宋_GBK" w:hAnsi="Calibri" w:eastAsia="方正仿宋_GBK" w:cs="Times New Roman"/>
                <w:sz w:val="30"/>
                <w:szCs w:val="30"/>
              </w:rPr>
            </w:pPr>
          </w:p>
        </w:tc>
        <w:tc>
          <w:tcPr>
            <w:tcW w:w="2079" w:type="dxa"/>
            <w:tcBorders>
              <w:left w:val="single" w:color="auto" w:sz="4" w:space="0"/>
              <w:bottom w:val="single" w:color="auto" w:sz="4" w:space="0"/>
            </w:tcBorders>
            <w:vAlign w:val="center"/>
          </w:tcPr>
          <w:p>
            <w:pPr>
              <w:snapToGrid w:val="0"/>
              <w:jc w:val="center"/>
              <w:rPr>
                <w:rFonts w:ascii="方正仿宋_GBK" w:hAnsi="Calibri" w:eastAsia="方正仿宋_GBK" w:cs="Times New Roman"/>
                <w:sz w:val="30"/>
                <w:szCs w:val="30"/>
              </w:rPr>
            </w:pPr>
          </w:p>
        </w:tc>
      </w:tr>
    </w:tbl>
    <w:p/>
    <w:p>
      <w:pPr>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spacing w:line="5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用人单位</w:t>
      </w:r>
      <w:r>
        <w:rPr>
          <w:rFonts w:hint="eastAsia" w:ascii="方正小标宋_GBK" w:hAnsi="Times New Roman" w:eastAsia="方正小标宋_GBK" w:cs="Times New Roman"/>
          <w:sz w:val="44"/>
          <w:szCs w:val="44"/>
        </w:rPr>
        <w:t>职业健康基础建设监督执法</w:t>
      </w:r>
      <w:r>
        <w:rPr>
          <w:rFonts w:hint="eastAsia" w:ascii="方正小标宋_GBK" w:hAnsi="方正仿宋_GBK" w:eastAsia="方正小标宋_GBK" w:cs="方正仿宋_GBK"/>
          <w:sz w:val="44"/>
          <w:szCs w:val="44"/>
        </w:rPr>
        <w:t>评定表</w:t>
      </w:r>
    </w:p>
    <w:p>
      <w:pPr>
        <w:spacing w:line="500" w:lineRule="exact"/>
        <w:jc w:val="left"/>
        <w:rPr>
          <w:rFonts w:ascii="方正仿宋_GBK" w:hAnsi="Tahoma" w:eastAsia="方正仿宋_GBK" w:cs="Tahoma"/>
          <w:kern w:val="0"/>
          <w:sz w:val="28"/>
          <w:szCs w:val="28"/>
          <w:u w:val="single"/>
        </w:rPr>
      </w:pPr>
      <w:r>
        <w:rPr>
          <w:rFonts w:hint="eastAsia" w:ascii="方正楷体_GBK" w:hAnsi="方正楷体_GBK" w:eastAsia="方正楷体_GBK" w:cs="方正楷体_GBK"/>
          <w:kern w:val="0"/>
          <w:sz w:val="28"/>
          <w:szCs w:val="28"/>
        </w:rPr>
        <w:t>被检查单位：</w:t>
      </w:r>
      <w:r>
        <w:rPr>
          <w:rFonts w:hint="eastAsia" w:ascii="方正仿宋_GBK" w:hAnsi="Tahoma" w:eastAsia="方正仿宋_GBK" w:cs="Tahoma"/>
          <w:kern w:val="0"/>
          <w:sz w:val="28"/>
          <w:szCs w:val="28"/>
          <w:u w:val="single"/>
        </w:rPr>
        <w:t xml:space="preserve">                     </w:t>
      </w:r>
    </w:p>
    <w:tbl>
      <w:tblPr>
        <w:tblStyle w:val="6"/>
        <w:tblW w:w="13675" w:type="dxa"/>
        <w:tblInd w:w="93" w:type="dxa"/>
        <w:tblLayout w:type="fixed"/>
        <w:tblCellMar>
          <w:top w:w="0" w:type="dxa"/>
          <w:left w:w="108" w:type="dxa"/>
          <w:bottom w:w="0" w:type="dxa"/>
          <w:right w:w="108" w:type="dxa"/>
        </w:tblCellMar>
      </w:tblPr>
      <w:tblGrid>
        <w:gridCol w:w="3480"/>
        <w:gridCol w:w="1513"/>
        <w:gridCol w:w="1742"/>
        <w:gridCol w:w="2635"/>
        <w:gridCol w:w="1670"/>
        <w:gridCol w:w="2635"/>
      </w:tblGrid>
      <w:tr>
        <w:tblPrEx>
          <w:tblLayout w:type="fixed"/>
          <w:tblCellMar>
            <w:top w:w="0" w:type="dxa"/>
            <w:left w:w="108" w:type="dxa"/>
            <w:bottom w:w="0" w:type="dxa"/>
            <w:right w:w="108" w:type="dxa"/>
          </w:tblCellMar>
        </w:tblPrEx>
        <w:trPr>
          <w:trHeight w:val="162" w:hRule="atLeast"/>
        </w:trPr>
        <w:tc>
          <w:tcPr>
            <w:tcW w:w="34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320" w:lineRule="exact"/>
              <w:contextualSpacing/>
              <w:jc w:val="center"/>
              <w:rPr>
                <w:rFonts w:ascii="方正仿宋_GBK" w:hAnsi="黑体" w:eastAsia="方正仿宋_GBK" w:cs="Tahoma"/>
                <w:color w:val="000000"/>
                <w:kern w:val="0"/>
                <w:sz w:val="28"/>
                <w:szCs w:val="28"/>
              </w:rPr>
            </w:pPr>
            <w:r>
              <w:rPr>
                <w:rFonts w:hint="eastAsia" w:ascii="方正仿宋_GBK" w:hAnsi="黑体" w:eastAsia="方正仿宋_GBK" w:cs="Tahoma"/>
                <w:color w:val="000000"/>
                <w:kern w:val="0"/>
                <w:sz w:val="28"/>
                <w:szCs w:val="28"/>
              </w:rPr>
              <w:t>项目</w:t>
            </w:r>
          </w:p>
        </w:tc>
        <w:tc>
          <w:tcPr>
            <w:tcW w:w="1513" w:type="dxa"/>
            <w:vMerge w:val="restart"/>
            <w:tcBorders>
              <w:top w:val="single" w:color="auto" w:sz="4" w:space="0"/>
              <w:left w:val="nil"/>
              <w:bottom w:val="single" w:color="000000" w:sz="4" w:space="0"/>
              <w:right w:val="single" w:color="auto" w:sz="4" w:space="0"/>
            </w:tcBorders>
            <w:shd w:val="clear" w:color="auto" w:fill="auto"/>
            <w:vAlign w:val="center"/>
          </w:tcPr>
          <w:p>
            <w:pPr>
              <w:widowControl/>
              <w:spacing w:line="320" w:lineRule="exact"/>
              <w:contextualSpacing/>
              <w:jc w:val="center"/>
              <w:rPr>
                <w:rFonts w:ascii="方正仿宋_GBK" w:hAnsi="黑体" w:eastAsia="方正仿宋_GBK" w:cs="Tahoma"/>
                <w:color w:val="000000"/>
                <w:kern w:val="0"/>
                <w:sz w:val="28"/>
                <w:szCs w:val="28"/>
              </w:rPr>
            </w:pPr>
            <w:r>
              <w:rPr>
                <w:rFonts w:hint="eastAsia" w:ascii="方正仿宋_GBK" w:hAnsi="黑体" w:eastAsia="方正仿宋_GBK" w:cs="Tahoma"/>
                <w:color w:val="000000"/>
                <w:kern w:val="0"/>
                <w:sz w:val="28"/>
                <w:szCs w:val="28"/>
              </w:rPr>
              <w:t>分值（分）</w:t>
            </w:r>
          </w:p>
        </w:tc>
        <w:tc>
          <w:tcPr>
            <w:tcW w:w="4377" w:type="dxa"/>
            <w:gridSpan w:val="2"/>
            <w:tcBorders>
              <w:top w:val="single" w:color="auto" w:sz="4" w:space="0"/>
              <w:left w:val="nil"/>
              <w:bottom w:val="single" w:color="auto" w:sz="4" w:space="0"/>
              <w:right w:val="single" w:color="auto" w:sz="4" w:space="0"/>
            </w:tcBorders>
            <w:shd w:val="clear" w:color="auto" w:fill="auto"/>
            <w:vAlign w:val="bottom"/>
          </w:tcPr>
          <w:p>
            <w:pPr>
              <w:widowControl/>
              <w:spacing w:line="320" w:lineRule="exact"/>
              <w:contextualSpacing/>
              <w:jc w:val="center"/>
              <w:rPr>
                <w:rFonts w:ascii="方正仿宋_GBK" w:hAnsi="黑体" w:eastAsia="方正仿宋_GBK" w:cs="Tahoma"/>
                <w:color w:val="000000"/>
                <w:kern w:val="0"/>
                <w:sz w:val="28"/>
                <w:szCs w:val="28"/>
              </w:rPr>
            </w:pPr>
            <w:r>
              <w:rPr>
                <w:rFonts w:hint="eastAsia" w:ascii="方正仿宋_GBK" w:hAnsi="黑体" w:eastAsia="方正仿宋_GBK" w:cs="Tahoma"/>
                <w:color w:val="000000"/>
                <w:kern w:val="0"/>
                <w:sz w:val="28"/>
                <w:szCs w:val="28"/>
              </w:rPr>
              <w:t>企业自查分数</w:t>
            </w:r>
          </w:p>
        </w:tc>
        <w:tc>
          <w:tcPr>
            <w:tcW w:w="4305" w:type="dxa"/>
            <w:gridSpan w:val="2"/>
            <w:tcBorders>
              <w:top w:val="single" w:color="auto" w:sz="4" w:space="0"/>
              <w:left w:val="nil"/>
              <w:bottom w:val="single" w:color="auto" w:sz="4" w:space="0"/>
              <w:right w:val="single" w:color="000000" w:sz="4" w:space="0"/>
            </w:tcBorders>
            <w:shd w:val="clear" w:color="auto" w:fill="auto"/>
            <w:vAlign w:val="bottom"/>
          </w:tcPr>
          <w:p>
            <w:pPr>
              <w:widowControl/>
              <w:spacing w:line="320" w:lineRule="exact"/>
              <w:contextualSpacing/>
              <w:jc w:val="center"/>
              <w:rPr>
                <w:rFonts w:ascii="方正仿宋_GBK" w:hAnsi="黑体" w:eastAsia="方正仿宋_GBK" w:cs="Tahoma"/>
                <w:color w:val="000000"/>
                <w:kern w:val="0"/>
                <w:sz w:val="28"/>
                <w:szCs w:val="28"/>
              </w:rPr>
            </w:pPr>
            <w:r>
              <w:rPr>
                <w:rFonts w:hint="eastAsia" w:ascii="方正仿宋_GBK" w:hAnsi="黑体" w:eastAsia="方正仿宋_GBK" w:cs="Tahoma"/>
                <w:color w:val="000000"/>
                <w:kern w:val="0"/>
                <w:sz w:val="28"/>
                <w:szCs w:val="28"/>
              </w:rPr>
              <w:t>安监部门评估分数</w:t>
            </w:r>
          </w:p>
        </w:tc>
      </w:tr>
      <w:tr>
        <w:tblPrEx>
          <w:tblLayout w:type="fixed"/>
          <w:tblCellMar>
            <w:top w:w="0" w:type="dxa"/>
            <w:left w:w="108" w:type="dxa"/>
            <w:bottom w:w="0" w:type="dxa"/>
            <w:right w:w="108" w:type="dxa"/>
          </w:tblCellMar>
        </w:tblPrEx>
        <w:trPr>
          <w:trHeight w:val="162" w:hRule="atLeast"/>
        </w:trPr>
        <w:tc>
          <w:tcPr>
            <w:tcW w:w="348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黑体" w:eastAsia="方正仿宋_GBK" w:cs="Tahoma"/>
                <w:color w:val="000000"/>
                <w:kern w:val="0"/>
                <w:sz w:val="28"/>
                <w:szCs w:val="28"/>
              </w:rPr>
            </w:pPr>
          </w:p>
        </w:tc>
        <w:tc>
          <w:tcPr>
            <w:tcW w:w="1513" w:type="dxa"/>
            <w:vMerge w:val="continue"/>
            <w:tcBorders>
              <w:top w:val="single" w:color="auto" w:sz="4" w:space="0"/>
              <w:left w:val="nil"/>
              <w:bottom w:val="single" w:color="000000" w:sz="4" w:space="0"/>
              <w:right w:val="single" w:color="auto" w:sz="4" w:space="0"/>
            </w:tcBorders>
            <w:vAlign w:val="center"/>
          </w:tcPr>
          <w:p>
            <w:pPr>
              <w:widowControl/>
              <w:spacing w:line="320" w:lineRule="exact"/>
              <w:contextualSpacing/>
              <w:jc w:val="center"/>
              <w:rPr>
                <w:rFonts w:ascii="方正仿宋_GBK" w:hAnsi="黑体" w:eastAsia="方正仿宋_GBK" w:cs="Tahoma"/>
                <w:color w:val="000000"/>
                <w:kern w:val="0"/>
                <w:sz w:val="28"/>
                <w:szCs w:val="28"/>
              </w:rPr>
            </w:pPr>
          </w:p>
        </w:tc>
        <w:tc>
          <w:tcPr>
            <w:tcW w:w="1742"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黑体" w:eastAsia="方正仿宋_GBK" w:cs="Tahoma"/>
                <w:color w:val="000000"/>
                <w:kern w:val="0"/>
                <w:sz w:val="28"/>
                <w:szCs w:val="28"/>
              </w:rPr>
            </w:pPr>
            <w:r>
              <w:rPr>
                <w:rFonts w:hint="eastAsia" w:ascii="方正仿宋_GBK" w:hAnsi="黑体" w:eastAsia="方正仿宋_GBK" w:cs="Tahoma"/>
                <w:color w:val="000000"/>
                <w:kern w:val="0"/>
                <w:sz w:val="28"/>
                <w:szCs w:val="28"/>
              </w:rPr>
              <w:t>得分</w:t>
            </w:r>
          </w:p>
        </w:tc>
        <w:tc>
          <w:tcPr>
            <w:tcW w:w="2635"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黑体" w:eastAsia="方正仿宋_GBK" w:cs="Tahoma"/>
                <w:color w:val="000000"/>
                <w:kern w:val="0"/>
                <w:sz w:val="28"/>
                <w:szCs w:val="28"/>
              </w:rPr>
            </w:pPr>
            <w:r>
              <w:rPr>
                <w:rFonts w:hint="eastAsia" w:ascii="方正仿宋_GBK" w:hAnsi="黑体" w:eastAsia="方正仿宋_GBK" w:cs="Tahoma"/>
                <w:color w:val="000000"/>
                <w:kern w:val="0"/>
                <w:sz w:val="28"/>
                <w:szCs w:val="28"/>
              </w:rPr>
              <w:t>总分</w:t>
            </w: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黑体" w:eastAsia="方正仿宋_GBK" w:cs="Tahoma"/>
                <w:color w:val="000000"/>
                <w:kern w:val="0"/>
                <w:sz w:val="28"/>
                <w:szCs w:val="28"/>
              </w:rPr>
            </w:pPr>
            <w:r>
              <w:rPr>
                <w:rFonts w:hint="eastAsia" w:ascii="方正仿宋_GBK" w:hAnsi="黑体" w:eastAsia="方正仿宋_GBK" w:cs="Tahoma"/>
                <w:color w:val="000000"/>
                <w:kern w:val="0"/>
                <w:sz w:val="28"/>
                <w:szCs w:val="28"/>
              </w:rPr>
              <w:t>得分</w:t>
            </w:r>
          </w:p>
        </w:tc>
        <w:tc>
          <w:tcPr>
            <w:tcW w:w="2635"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黑体" w:eastAsia="方正仿宋_GBK" w:cs="Tahoma"/>
                <w:color w:val="000000"/>
                <w:kern w:val="0"/>
                <w:sz w:val="28"/>
                <w:szCs w:val="28"/>
              </w:rPr>
            </w:pPr>
            <w:r>
              <w:rPr>
                <w:rFonts w:hint="eastAsia" w:ascii="方正仿宋_GBK" w:hAnsi="黑体" w:eastAsia="方正仿宋_GBK" w:cs="Tahoma"/>
                <w:color w:val="000000"/>
                <w:kern w:val="0"/>
                <w:sz w:val="28"/>
                <w:szCs w:val="28"/>
              </w:rPr>
              <w:t>总分</w:t>
            </w: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职业卫生管理</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ascii="方正仿宋_GBK" w:hAnsi="Tahoma" w:eastAsia="方正仿宋_GBK" w:cs="Tahoma"/>
                <w:color w:val="000000"/>
                <w:kern w:val="0"/>
                <w:sz w:val="28"/>
                <w:szCs w:val="28"/>
              </w:rPr>
              <w:t>5</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前期预防</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ascii="方正仿宋_GBK" w:hAnsi="Tahoma" w:eastAsia="方正仿宋_GBK" w:cs="Tahoma"/>
                <w:color w:val="000000"/>
                <w:kern w:val="0"/>
                <w:sz w:val="28"/>
                <w:szCs w:val="28"/>
              </w:rPr>
              <w:t>8</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工作场所管理</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ascii="方正仿宋_GBK" w:hAnsi="Tahoma" w:eastAsia="方正仿宋_GBK" w:cs="Tahoma"/>
                <w:color w:val="000000"/>
                <w:kern w:val="0"/>
                <w:sz w:val="28"/>
                <w:szCs w:val="28"/>
              </w:rPr>
              <w:t>15</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职业病危害因素检测</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ascii="方正仿宋_GBK" w:hAnsi="Tahoma" w:eastAsia="方正仿宋_GBK" w:cs="Tahoma"/>
                <w:color w:val="000000"/>
                <w:kern w:val="0"/>
                <w:sz w:val="28"/>
                <w:szCs w:val="28"/>
              </w:rPr>
              <w:t>20</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职业病防护设施</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ascii="方正仿宋_GBK" w:hAnsi="Tahoma" w:eastAsia="方正仿宋_GBK" w:cs="Tahoma"/>
                <w:color w:val="000000"/>
                <w:kern w:val="0"/>
                <w:sz w:val="28"/>
                <w:szCs w:val="28"/>
              </w:rPr>
              <w:t>10</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应急救援设施</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3</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劳动防护用品</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ascii="方正仿宋_GBK" w:hAnsi="Tahoma" w:eastAsia="方正仿宋_GBK" w:cs="Tahoma"/>
                <w:color w:val="000000"/>
                <w:kern w:val="0"/>
                <w:sz w:val="28"/>
                <w:szCs w:val="28"/>
              </w:rPr>
              <w:t>10</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职业危害告知和警示标识</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ascii="方正仿宋_GBK" w:hAnsi="Tahoma" w:eastAsia="方正仿宋_GBK" w:cs="Tahoma"/>
                <w:color w:val="000000"/>
                <w:kern w:val="0"/>
                <w:sz w:val="28"/>
                <w:szCs w:val="28"/>
              </w:rPr>
              <w:t>8</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教育培训</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5</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kern w:val="0"/>
                <w:sz w:val="28"/>
                <w:szCs w:val="28"/>
              </w:rPr>
            </w:pPr>
            <w:r>
              <w:rPr>
                <w:rFonts w:hint="eastAsia" w:ascii="方正仿宋_GBK" w:hAnsi="Tahoma" w:eastAsia="方正仿宋_GBK" w:cs="Tahoma"/>
                <w:kern w:val="0"/>
                <w:sz w:val="28"/>
                <w:szCs w:val="28"/>
              </w:rPr>
              <w:t>职业健康检查</w:t>
            </w:r>
          </w:p>
        </w:tc>
        <w:tc>
          <w:tcPr>
            <w:tcW w:w="1513"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ascii="方正仿宋_GBK" w:hAnsi="Tahoma" w:eastAsia="方正仿宋_GBK" w:cs="Tahoma"/>
                <w:color w:val="000000"/>
                <w:kern w:val="0"/>
                <w:sz w:val="28"/>
                <w:szCs w:val="28"/>
              </w:rPr>
              <w:t>16</w:t>
            </w:r>
          </w:p>
        </w:tc>
        <w:tc>
          <w:tcPr>
            <w:tcW w:w="1742" w:type="dxa"/>
            <w:tcBorders>
              <w:top w:val="nil"/>
              <w:left w:val="single" w:color="auto" w:sz="4" w:space="0"/>
              <w:bottom w:val="single" w:color="auto" w:sz="4" w:space="0"/>
              <w:right w:val="nil"/>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c>
          <w:tcPr>
            <w:tcW w:w="1670" w:type="dxa"/>
            <w:tcBorders>
              <w:top w:val="nil"/>
              <w:left w:val="nil"/>
              <w:bottom w:val="single" w:color="auto" w:sz="4" w:space="0"/>
              <w:right w:val="single" w:color="auto"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2635" w:type="dxa"/>
            <w:vMerge w:val="continue"/>
            <w:tcBorders>
              <w:top w:val="nil"/>
              <w:left w:val="single" w:color="auto" w:sz="4" w:space="0"/>
              <w:bottom w:val="single" w:color="000000" w:sz="4" w:space="0"/>
              <w:right w:val="single" w:color="auto" w:sz="4" w:space="0"/>
            </w:tcBorders>
            <w:vAlign w:val="center"/>
          </w:tcPr>
          <w:p>
            <w:pPr>
              <w:widowControl/>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nil"/>
              <w:right w:val="nil"/>
            </w:tcBorders>
            <w:shd w:val="clear" w:color="auto" w:fill="auto"/>
            <w:vAlign w:val="bottom"/>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企业自查等级：</w:t>
            </w:r>
          </w:p>
        </w:tc>
        <w:tc>
          <w:tcPr>
            <w:tcW w:w="1513" w:type="dxa"/>
            <w:tcBorders>
              <w:top w:val="nil"/>
              <w:left w:val="nil"/>
              <w:bottom w:val="nil"/>
              <w:right w:val="single" w:color="auto" w:sz="4" w:space="0"/>
            </w:tcBorders>
            <w:shd w:val="clear" w:color="auto" w:fill="auto"/>
            <w:vAlign w:val="bottom"/>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4377" w:type="dxa"/>
            <w:gridSpan w:val="2"/>
            <w:vMerge w:val="restart"/>
            <w:tcBorders>
              <w:top w:val="single" w:color="auto" w:sz="4" w:space="0"/>
              <w:left w:val="nil"/>
              <w:right w:val="single" w:color="000000" w:sz="4" w:space="0"/>
            </w:tcBorders>
            <w:shd w:val="clear" w:color="auto" w:fill="auto"/>
            <w:vAlign w:val="center"/>
          </w:tcPr>
          <w:p>
            <w:pPr>
              <w:widowControl/>
              <w:spacing w:line="320" w:lineRule="exact"/>
              <w:contextualSpacing/>
              <w:jc w:val="left"/>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被检查单位主要负责人（签字）：</w:t>
            </w:r>
          </w:p>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p>
            <w:pPr>
              <w:widowControl/>
              <w:spacing w:line="320" w:lineRule="exact"/>
              <w:contextualSpacing/>
              <w:jc w:val="right"/>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（单位盖章）　</w:t>
            </w:r>
          </w:p>
          <w:p>
            <w:pPr>
              <w:spacing w:line="320" w:lineRule="exact"/>
              <w:contextualSpacing/>
              <w:jc w:val="right"/>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年    月    日</w:t>
            </w:r>
          </w:p>
        </w:tc>
        <w:tc>
          <w:tcPr>
            <w:tcW w:w="4305" w:type="dxa"/>
            <w:gridSpan w:val="2"/>
            <w:vMerge w:val="restart"/>
            <w:tcBorders>
              <w:top w:val="single" w:color="auto" w:sz="4" w:space="0"/>
              <w:left w:val="single" w:color="auto" w:sz="4" w:space="0"/>
              <w:right w:val="single" w:color="000000" w:sz="4" w:space="0"/>
            </w:tcBorders>
            <w:shd w:val="clear" w:color="auto" w:fill="auto"/>
            <w:vAlign w:val="center"/>
          </w:tcPr>
          <w:p>
            <w:pPr>
              <w:widowControl/>
              <w:spacing w:line="320" w:lineRule="exact"/>
              <w:contextualSpacing/>
              <w:jc w:val="left"/>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评估组组长（签字）：</w:t>
            </w:r>
          </w:p>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p>
            <w:pPr>
              <w:widowControl/>
              <w:spacing w:line="320" w:lineRule="exact"/>
              <w:contextualSpacing/>
              <w:rPr>
                <w:rFonts w:ascii="方正仿宋_GBK" w:hAnsi="Tahoma" w:eastAsia="方正仿宋_GBK" w:cs="Tahoma"/>
                <w:color w:val="000000"/>
                <w:kern w:val="0"/>
                <w:sz w:val="28"/>
                <w:szCs w:val="28"/>
              </w:rPr>
            </w:pPr>
          </w:p>
          <w:p>
            <w:pPr>
              <w:widowControl/>
              <w:spacing w:line="320" w:lineRule="exact"/>
              <w:contextualSpacing/>
              <w:jc w:val="right"/>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（单位盖章）　</w:t>
            </w:r>
          </w:p>
          <w:p>
            <w:pPr>
              <w:spacing w:line="320" w:lineRule="exact"/>
              <w:contextualSpacing/>
              <w:jc w:val="right"/>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年    月    日</w:t>
            </w:r>
          </w:p>
        </w:tc>
      </w:tr>
      <w:tr>
        <w:tblPrEx>
          <w:tblLayout w:type="fixed"/>
          <w:tblCellMar>
            <w:top w:w="0" w:type="dxa"/>
            <w:left w:w="108" w:type="dxa"/>
            <w:bottom w:w="0" w:type="dxa"/>
            <w:right w:w="108" w:type="dxa"/>
          </w:tblCellMar>
        </w:tblPrEx>
        <w:trPr>
          <w:trHeight w:val="632" w:hRule="atLeast"/>
        </w:trPr>
        <w:tc>
          <w:tcPr>
            <w:tcW w:w="4993" w:type="dxa"/>
            <w:gridSpan w:val="2"/>
            <w:tcBorders>
              <w:top w:val="nil"/>
              <w:left w:val="single" w:color="auto" w:sz="4" w:space="0"/>
              <w:bottom w:val="single" w:color="000000" w:sz="4" w:space="0"/>
              <w:right w:val="single" w:color="000000"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4377" w:type="dxa"/>
            <w:gridSpan w:val="2"/>
            <w:vMerge w:val="continue"/>
            <w:tcBorders>
              <w:left w:val="nil"/>
              <w:bottom w:val="nil"/>
              <w:right w:val="single" w:color="auto" w:sz="4" w:space="0"/>
            </w:tcBorders>
            <w:shd w:val="clear" w:color="auto" w:fill="auto"/>
            <w:vAlign w:val="bottom"/>
          </w:tcPr>
          <w:p>
            <w:pPr>
              <w:spacing w:line="320" w:lineRule="exact"/>
              <w:contextualSpacing/>
              <w:jc w:val="center"/>
              <w:rPr>
                <w:rFonts w:ascii="方正仿宋_GBK" w:hAnsi="Tahoma" w:eastAsia="方正仿宋_GBK" w:cs="Tahoma"/>
                <w:color w:val="000000"/>
                <w:kern w:val="0"/>
                <w:sz w:val="28"/>
                <w:szCs w:val="28"/>
              </w:rPr>
            </w:pPr>
          </w:p>
        </w:tc>
        <w:tc>
          <w:tcPr>
            <w:tcW w:w="4305" w:type="dxa"/>
            <w:gridSpan w:val="2"/>
            <w:vMerge w:val="continue"/>
            <w:tcBorders>
              <w:left w:val="single" w:color="auto" w:sz="4" w:space="0"/>
              <w:bottom w:val="nil"/>
              <w:right w:val="single" w:color="000000" w:sz="4" w:space="0"/>
            </w:tcBorders>
            <w:shd w:val="clear" w:color="auto" w:fill="auto"/>
            <w:vAlign w:val="center"/>
          </w:tcPr>
          <w:p>
            <w:pPr>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3480" w:type="dxa"/>
            <w:tcBorders>
              <w:top w:val="nil"/>
              <w:left w:val="single" w:color="auto" w:sz="4" w:space="0"/>
              <w:bottom w:val="nil"/>
              <w:right w:val="nil"/>
            </w:tcBorders>
            <w:shd w:val="clear" w:color="auto" w:fill="auto"/>
            <w:vAlign w:val="bottom"/>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安监部门评估等级：</w:t>
            </w:r>
          </w:p>
        </w:tc>
        <w:tc>
          <w:tcPr>
            <w:tcW w:w="1513" w:type="dxa"/>
            <w:tcBorders>
              <w:top w:val="nil"/>
              <w:left w:val="nil"/>
              <w:bottom w:val="nil"/>
              <w:right w:val="single" w:color="auto" w:sz="4" w:space="0"/>
            </w:tcBorders>
            <w:shd w:val="clear" w:color="auto" w:fill="auto"/>
            <w:vAlign w:val="bottom"/>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4377" w:type="dxa"/>
            <w:gridSpan w:val="2"/>
            <w:vMerge w:val="continue"/>
            <w:tcBorders>
              <w:left w:val="nil"/>
              <w:right w:val="single" w:color="auto" w:sz="4" w:space="0"/>
            </w:tcBorders>
            <w:shd w:val="clear" w:color="auto" w:fill="auto"/>
            <w:vAlign w:val="center"/>
          </w:tcPr>
          <w:p>
            <w:pPr>
              <w:spacing w:line="320" w:lineRule="exact"/>
              <w:contextualSpacing/>
              <w:jc w:val="center"/>
              <w:rPr>
                <w:rFonts w:ascii="方正仿宋_GBK" w:hAnsi="Tahoma" w:eastAsia="方正仿宋_GBK" w:cs="Tahoma"/>
                <w:color w:val="000000"/>
                <w:kern w:val="0"/>
                <w:sz w:val="28"/>
                <w:szCs w:val="28"/>
              </w:rPr>
            </w:pPr>
          </w:p>
        </w:tc>
        <w:tc>
          <w:tcPr>
            <w:tcW w:w="4305" w:type="dxa"/>
            <w:gridSpan w:val="2"/>
            <w:vMerge w:val="continue"/>
            <w:tcBorders>
              <w:left w:val="single" w:color="auto" w:sz="4" w:space="0"/>
              <w:right w:val="single" w:color="000000" w:sz="4" w:space="0"/>
            </w:tcBorders>
            <w:shd w:val="clear" w:color="auto" w:fill="auto"/>
            <w:vAlign w:val="bottom"/>
          </w:tcPr>
          <w:p>
            <w:pPr>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324" w:hRule="atLeast"/>
        </w:trPr>
        <w:tc>
          <w:tcPr>
            <w:tcW w:w="4993" w:type="dxa"/>
            <w:gridSpan w:val="2"/>
            <w:tcBorders>
              <w:top w:val="nil"/>
              <w:left w:val="single" w:color="auto" w:sz="4" w:space="0"/>
              <w:bottom w:val="single" w:color="auto" w:sz="4" w:space="0"/>
              <w:right w:val="single" w:color="000000" w:sz="4" w:space="0"/>
            </w:tcBorders>
            <w:shd w:val="clear" w:color="auto" w:fill="auto"/>
            <w:vAlign w:val="center"/>
          </w:tcPr>
          <w:p>
            <w:pPr>
              <w:widowControl/>
              <w:spacing w:line="320" w:lineRule="exact"/>
              <w:contextualSpacing/>
              <w:jc w:val="center"/>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　</w:t>
            </w:r>
          </w:p>
        </w:tc>
        <w:tc>
          <w:tcPr>
            <w:tcW w:w="4377" w:type="dxa"/>
            <w:gridSpan w:val="2"/>
            <w:vMerge w:val="continue"/>
            <w:tcBorders>
              <w:left w:val="nil"/>
              <w:bottom w:val="single" w:color="auto" w:sz="4" w:space="0"/>
              <w:right w:val="single" w:color="auto" w:sz="4" w:space="0"/>
            </w:tcBorders>
            <w:shd w:val="clear" w:color="auto" w:fill="auto"/>
            <w:vAlign w:val="center"/>
          </w:tcPr>
          <w:p>
            <w:pPr>
              <w:spacing w:line="320" w:lineRule="exact"/>
              <w:contextualSpacing/>
              <w:jc w:val="center"/>
              <w:rPr>
                <w:rFonts w:ascii="方正仿宋_GBK" w:hAnsi="Tahoma" w:eastAsia="方正仿宋_GBK" w:cs="Tahoma"/>
                <w:color w:val="000000"/>
                <w:kern w:val="0"/>
                <w:sz w:val="28"/>
                <w:szCs w:val="28"/>
              </w:rPr>
            </w:pPr>
          </w:p>
        </w:tc>
        <w:tc>
          <w:tcPr>
            <w:tcW w:w="4305" w:type="dxa"/>
            <w:gridSpan w:val="2"/>
            <w:vMerge w:val="continue"/>
            <w:tcBorders>
              <w:left w:val="single" w:color="auto" w:sz="4" w:space="0"/>
              <w:bottom w:val="single" w:color="auto" w:sz="4" w:space="0"/>
              <w:right w:val="single" w:color="000000" w:sz="4" w:space="0"/>
            </w:tcBorders>
            <w:shd w:val="clear" w:color="auto" w:fill="auto"/>
            <w:vAlign w:val="center"/>
          </w:tcPr>
          <w:p>
            <w:pPr>
              <w:spacing w:line="320" w:lineRule="exact"/>
              <w:contextualSpacing/>
              <w:jc w:val="center"/>
              <w:rPr>
                <w:rFonts w:ascii="方正仿宋_GBK" w:hAnsi="Tahoma" w:eastAsia="方正仿宋_GBK" w:cs="Tahoma"/>
                <w:color w:val="000000"/>
                <w:kern w:val="0"/>
                <w:sz w:val="28"/>
                <w:szCs w:val="28"/>
              </w:rPr>
            </w:pPr>
          </w:p>
        </w:tc>
      </w:tr>
      <w:tr>
        <w:tblPrEx>
          <w:tblLayout w:type="fixed"/>
          <w:tblCellMar>
            <w:top w:w="0" w:type="dxa"/>
            <w:left w:w="108" w:type="dxa"/>
            <w:bottom w:w="0" w:type="dxa"/>
            <w:right w:w="108" w:type="dxa"/>
          </w:tblCellMar>
        </w:tblPrEx>
        <w:trPr>
          <w:trHeight w:val="162" w:hRule="atLeast"/>
        </w:trPr>
        <w:tc>
          <w:tcPr>
            <w:tcW w:w="13675" w:type="dxa"/>
            <w:gridSpan w:val="6"/>
            <w:tcBorders>
              <w:top w:val="single" w:color="auto" w:sz="4" w:space="0"/>
              <w:left w:val="single" w:color="auto" w:sz="4" w:space="0"/>
              <w:bottom w:val="single" w:color="000000" w:sz="4" w:space="0"/>
              <w:right w:val="single" w:color="auto" w:sz="4" w:space="0"/>
            </w:tcBorders>
            <w:vAlign w:val="center"/>
          </w:tcPr>
          <w:p>
            <w:pPr>
              <w:widowControl/>
              <w:spacing w:line="320" w:lineRule="exact"/>
              <w:ind w:left="560" w:hanging="560" w:hangingChars="200"/>
              <w:contextualSpacing/>
              <w:jc w:val="left"/>
              <w:rPr>
                <w:rFonts w:ascii="方正仿宋_GBK" w:hAnsi="Tahoma" w:eastAsia="方正仿宋_GBK" w:cs="Tahoma"/>
                <w:color w:val="000000"/>
                <w:kern w:val="0"/>
                <w:sz w:val="28"/>
                <w:szCs w:val="28"/>
              </w:rPr>
            </w:pPr>
            <w:r>
              <w:rPr>
                <w:rFonts w:hint="eastAsia" w:ascii="方正仿宋_GBK" w:hAnsi="Tahoma" w:eastAsia="方正仿宋_GBK" w:cs="Tahoma"/>
                <w:color w:val="000000"/>
                <w:kern w:val="0"/>
                <w:sz w:val="28"/>
                <w:szCs w:val="28"/>
              </w:rPr>
              <w:t>注</w:t>
            </w:r>
            <w:r>
              <w:rPr>
                <w:rFonts w:ascii="方正仿宋_GBK" w:hAnsi="Tahoma" w:eastAsia="方正仿宋_GBK" w:cs="Tahoma"/>
                <w:color w:val="000000"/>
                <w:kern w:val="0"/>
                <w:sz w:val="28"/>
                <w:szCs w:val="28"/>
              </w:rPr>
              <w:t>：执法检查评估分数与</w:t>
            </w:r>
            <w:r>
              <w:rPr>
                <w:rFonts w:hint="eastAsia" w:ascii="方正仿宋_GBK" w:hAnsi="Tahoma" w:eastAsia="方正仿宋_GBK" w:cs="Tahoma"/>
                <w:color w:val="000000"/>
                <w:kern w:val="0"/>
                <w:sz w:val="28"/>
                <w:szCs w:val="28"/>
              </w:rPr>
              <w:t>基础建设不合格企业（60分以下），基础建设合格企业（60-79分），基础建设良好企业（80－89分），基础建设示范企业（90分以上）相</w:t>
            </w:r>
            <w:r>
              <w:rPr>
                <w:rFonts w:ascii="方正仿宋_GBK" w:hAnsi="Tahoma" w:eastAsia="方正仿宋_GBK" w:cs="Tahoma"/>
                <w:color w:val="000000"/>
                <w:kern w:val="0"/>
                <w:sz w:val="28"/>
                <w:szCs w:val="28"/>
              </w:rPr>
              <w:t>对应。</w:t>
            </w:r>
          </w:p>
        </w:tc>
      </w:tr>
    </w:tbl>
    <w:p>
      <w:pPr>
        <w:sectPr>
          <w:footerReference r:id="rId5" w:type="default"/>
          <w:footerReference r:id="rId6" w:type="even"/>
          <w:pgSz w:w="16838" w:h="11906" w:orient="landscape"/>
          <w:pgMar w:top="1797" w:right="1440" w:bottom="1797" w:left="1440" w:header="851" w:footer="992" w:gutter="0"/>
          <w:pgNumType w:fmt="decimal"/>
          <w:cols w:space="425" w:num="1"/>
          <w:docGrid w:type="linesAndChars" w:linePitch="312" w:charSpace="0"/>
        </w:sectPr>
      </w:pPr>
    </w:p>
    <w:p>
      <w:pPr>
        <w:spacing w:line="500" w:lineRule="exact"/>
        <w:rPr>
          <w:rFonts w:hint="eastAsia" w:ascii="方正小标宋_GBK" w:hAnsi="黑体" w:eastAsia="方正小标宋_GBK" w:cs="Tahoma"/>
          <w:kern w:val="0"/>
          <w:sz w:val="44"/>
          <w:szCs w:val="44"/>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4</w:t>
      </w:r>
    </w:p>
    <w:p>
      <w:pPr>
        <w:jc w:val="center"/>
        <w:rPr>
          <w:rFonts w:ascii="方正小标宋_GBK" w:eastAsia="方正小标宋_GBK"/>
          <w:sz w:val="44"/>
          <w:szCs w:val="44"/>
        </w:rPr>
      </w:pPr>
      <w:r>
        <w:rPr>
          <w:rFonts w:hint="eastAsia" w:ascii="方正小标宋_GBK" w:hAnsi="黑体" w:eastAsia="方正小标宋_GBK" w:cs="Tahoma"/>
          <w:kern w:val="0"/>
          <w:sz w:val="44"/>
          <w:szCs w:val="44"/>
        </w:rPr>
        <w:t>用人单位职业健康基础建设监督执法清单（试行）</w:t>
      </w:r>
    </w:p>
    <w:p>
      <w:pPr>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企业名称：                                      联系人：                       电话：</w:t>
      </w:r>
    </w:p>
    <w:tbl>
      <w:tblPr>
        <w:tblStyle w:val="6"/>
        <w:tblW w:w="15489"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474"/>
        <w:gridCol w:w="3509"/>
        <w:gridCol w:w="1151"/>
        <w:gridCol w:w="409"/>
        <w:gridCol w:w="1701"/>
        <w:gridCol w:w="1926"/>
        <w:gridCol w:w="2154"/>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blHeader/>
        </w:trPr>
        <w:tc>
          <w:tcPr>
            <w:tcW w:w="75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项目</w:t>
            </w: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条款</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检查要点及评分标准</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检查方式</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扣分</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违法行为</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违法条款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处罚依据</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处罚种类和幅度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一、职业卫生管理（3项，共5分）</w:t>
            </w: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1.职业卫生管理机构（组织）、职业卫生管理人员</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（1分）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（1）未设置或指定职业卫生管理机构（组织）的，扣1分；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（2）职业病危害风险为严重的用人单位或者劳动者超过100人的，未配备专职职业卫生管理人员，扣1分；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（3）未提供正式文件明确职业卫生管理人员或用人单位主要负责未在职业卫生管理机构（组织）内的，扣0.5分。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查阅相关文件和会议记录。</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未设置或者指定职业卫生管理机构或者组织。</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《职业病防治法》第二十条第(一)项；《监督管理规定》第八条。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《职业病防治法》第七十条第（二）项；《监督管理规定》第四十九条第（二）项。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未配备专职或者兼职的职业卫生管理人员。</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《职业病防治法》第二十条第(一)项；《监督管理规定》第八条。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《监督管理规定》第四十九条第（二）项。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2.职业病防治计划和实施方案，职业卫生管理制度</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（1）未制定职业病防治计划和实施方案的，扣0.5分；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（2）未建立12项制度的，扣0.5分；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（3）未建立岗位职业卫生操作规程，扣0.5分；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（4）职业病防治计划和实施方案、12项制度、岗位职业卫生操作规程内容不规范的，每处扣0.2分；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（5）未按规定公布的，扣0.5分。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查阅当年防治计划和实施方案、职业卫生管理制度；现场查阅岗位职业卫生操作规程。</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未制定职业病防治计划和实施方案。</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《职业病防治法》第二十条第（二）项；《监督管理规定》第十一条。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《职业病防治法》第七十条第（二）项；《监督管理规定》第四十九条第（一）项。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未建立、健全职业卫生管理制度。</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《职业病防治法》第二十条第(三)项；《监督管理规定》第十一条。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《职业病防治法》第七十条第（二）项；《监督管理规定》第四十九条第（三）项。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未建立、健全职业卫生操作规程。</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《职业病防治法》第二十条第（三）项；《监督管理规定》第十一条第（十二）项。</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《职业病防治法》第七十条第（二）项；《监督管理规定》第四十九条第（三）项、第（六）项。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5"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3.职业卫生档案</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（1）未按“安监总厅安健〔2013〕171号”目录要求建立职业卫生档案的，扣1分；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（2）职业卫生档案内容不健全的，每处扣0.2分。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查阅用人单位的职业卫生档案。</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未建立、健全职业卫生档案。</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《职业病防治法》第二十条第（四）项；《监督管理规定》第三十四条。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《职业病防治法》第七十条第（二）项；《监督管理规定》第四十九条第（四）项。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二、前期预防（3项，共8分）</w:t>
            </w: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4.职业病危害项目申报</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（1）无申报回执，扣2分；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（2）未变更申报，扣1分；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（3）主要职业病危害因素申报信息不全的，扣1分。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查阅申报表及申报回执、检测结果报告。</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未及时、如实申报产生职业病危害的项目。</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《职业病防治法》第十六条；《申报办法》第二条；《监督管理规定》第十三条。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《职业病防治法》第七十一条第（一）项；《申报办法》第十四条；《监督管理规定》第五十条第（一）项。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责令限期改正，给予警告，可以并处5万元以上10万元以下的罚款。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未及时申报变更职业病危害项目内容。</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《申报办法》第八条。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《申报办法》第十五条。</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责令限期改正，可以并处5千元以上3万元以下罚款。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5.建设项目职业病防护设施“三同时”</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（5分）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（1）建设项目未开展职业病危害预评价、职业病防护设施设计专篇、职业病危害控制效果评价的，每缺一项扣2分；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（2）未提供职业病危害预评价报告、职业病防护设施设计专篇、防护设施竣工验收及其评审过程记录的，每缺一项扣1分；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（3）未形成书面报告或验收方案书面报告的，扣2分。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查阅书面报告及其评审过程记录。</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未进行职业病危害预评价。</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《职业病防治法》第十七条；《建设项目职业病防护设施“三同时”监督管理办法》第九条、第十二条第二款。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《职业病防治法》第六十九条第（一）项；《建设项目职业病防护设施“三同时”监督管理办法》 第三十九条第（一）项。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给予警告，责令限期改正；逾期不改正的，处10万元以上50万元以下的罚款；情节严重的，责令停止产生职业病危害的作业，或者提请有关人民政府按照国务院规定的权限责令停建、关闭。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未形成职业病危害预评价书面报告，未提供评审过程记录资料。</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《建设项目职业病防护设施“三同时”监督管理办法》第十二条。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《建设项目职业病防护设施“三同时”监督管理办法》第四十条第一款、第二款。</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未进行职业病防护设施设计。</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《职业病防治法》第十八条第一款、第二款；《建设项目职业病防护设施“三同时”监督管理办法》第十五条。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《职业病防治法》第六十九条第（三）项、第（四）项；《建设项目职业病防护设施“三同时”监督管理办法》 第三十九条第（三）项。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给予警告，责令限期改正；逾期不改正的，处10万元以上50万元以下的罚款；情节严重的，责令停止产生职业病危害的作业，或者提请有关人民政府按照国务院规定的权限责令停建、关闭。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未形成职业病防护设施设计书面报告，未提供评审过程记录资料。</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《建设项目职业病防护设施“三同时”监督管理办法》第十七条。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《建设项目职业病防护设施“三同时”监督管理办法》第四十条第一款、第二款。</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未进行职业病危害控制效果评价或者未提交控制效果评价报告。</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《职业病防治法》第十八条第三款；《建设项目职业病防护设施“三同时”监督管理办法》第二十四条、第二十六条第三款。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《职业病防治法》第六十九条第（五）项、《建设项目职业病防护设施“三同时”监督管理办法》 第三十九条第（四）项。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left="-42" w:leftChars="-20" w:right="-42" w:rightChars="-20"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给予警告，责令限期改正；逾期不改正的，处10万元以上50万元以下的罚款；情节严重的，责令停止产生职业病危害的作业，或者提请有关人民政府按照国务院规定的权限责令停建、关闭。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职业病危害控制效果评价未进行评审和验收。</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《建设项目职业病防护设施“三同时”监督管理办法》第二十六条第一款、第二款。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《建设项目职业病防护设施“三同时”监督管理办法》第四十条第（一）项。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5"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未形成职业病危害控制效果评价书面报告、验收方案，职业病危害风险为严重的建设项目未提供书面报告。</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《建设项目职业病防护设施“三同时”监督管理办法》第二十五条、第二十六条第三款。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《建设项目职业病防护设施“三同时”监督管理办法》第四十条第（二）项、第四十二条。</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6"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6.公布建设项目职业病防护设施“三同时”有关信息</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（1分）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未按要求通过公告栏、网站等方式公示建设项目职业病防护设施“三同时”有关信息，扣1分。</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现场查阅公示信息。</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未公布建设项目职业病防护设施“三同时”有关信息。</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《建设项目职业病防护设施“三同时”监督管理办法》第四十条第（五）项。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0"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三、工作场所管理（4项，共15分）</w:t>
            </w: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7.生产布局</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有害作业与无害作业未分开，工作场所与生活场所未分开，扣3分。</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查看现场。</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生产布局不合理，未将有害作业与无害作业分开，未将工作场所与生活场所分开，工作场所住人。</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《职业病防治法》第十五条第（三）项；《监督管理规定》第十二条第（一）项、第（二）项。</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《监督管理规定》第四十八条第（一）项。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给予警告，责令限期改正，可以并处5千元以上2万元以下的罚款。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5"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8.工作场所职业病危害因素的强度或者浓度符合国家职业卫生标准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（10分）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工作场所职业病危害因素强度或者浓度不符合国家职业卫生标准要求的。物理因素超标的，每岗位扣1分；粉尘、化学因素超标的，每岗位扣2分。扣完为止。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查阅工作场所职业病危害因素检测结果报告。</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工作场所职业病危害因素的强度或浓度超过国家职业卫生标准。</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《职业病防治法》第十五条第（一）项；《监督管理规定》第十二条第（四）项。</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《职业病防治法》第七十二条第（一）项；《监督管理规定》第五十一条第（一）项。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给予警告，责令限期改正；逾期不改正的，处5万元以上20万以下罚款；情节严重的，责令停止产生职业病危害的作业，或者提请有关人民政府按照国务院规定的权限责令关闭。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3"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9.辅助用室</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（1分）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未设置与车间卫生特征相适应的辅助用室，扣1分。</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现场查看。</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未设置与车间卫生特征相适应的辅助用室。</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《职业病防治法》第十五条第（四）项；《监督管理规定》第十二条第（五）项。</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9"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10.中文说明书管理（1分）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（1）不能提供采购化学品的中文说明书，扣1分；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（2）提供采购化学品的中文说明书不全的，扣0.5分。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查阅资料。</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用人单位提供可能产生职业病危害的设备、材料，不能提供中文说明书。</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《职业病防治法》第二十九条；《监督管理规定》第二十四条。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《职业病防治法》第七十三条；《监督管理规定》第五十四条。</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责令限期改正，给予警告，并处5万元以上20万元以下的罚款。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四、职业病危害因素检测</w:t>
            </w:r>
            <w:r>
              <w:rPr>
                <w:rFonts w:hint="eastAsia" w:ascii="方正黑体_GBK" w:hAnsi="方正黑体_GBK" w:eastAsia="方正黑体_GBK" w:cs="方正黑体_GBK"/>
                <w:b w:val="0"/>
                <w:bCs w:val="0"/>
                <w:kern w:val="0"/>
                <w:sz w:val="18"/>
                <w:szCs w:val="18"/>
              </w:rPr>
              <w:br w:type="page"/>
            </w:r>
            <w:r>
              <w:rPr>
                <w:rFonts w:hint="eastAsia" w:ascii="方正黑体_GBK" w:hAnsi="方正黑体_GBK" w:eastAsia="方正黑体_GBK" w:cs="方正黑体_GBK"/>
                <w:b w:val="0"/>
                <w:bCs w:val="0"/>
                <w:kern w:val="0"/>
                <w:sz w:val="18"/>
                <w:szCs w:val="18"/>
              </w:rPr>
              <w:t>（2项，共20分）</w:t>
            </w: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11.定期对工作场所进行职业病危害因素检测、评价</w:t>
            </w:r>
            <w:r>
              <w:rPr>
                <w:rFonts w:hint="eastAsia" w:ascii="方正仿宋_GBK" w:hAnsi="方正仿宋_GBK" w:eastAsia="方正仿宋_GBK" w:cs="方正仿宋_GBK"/>
                <w:b w:val="0"/>
                <w:bCs w:val="0"/>
                <w:kern w:val="0"/>
                <w:sz w:val="18"/>
                <w:szCs w:val="18"/>
              </w:rPr>
              <w:br w:type="page"/>
            </w:r>
            <w:r>
              <w:rPr>
                <w:rFonts w:hint="eastAsia" w:ascii="方正仿宋_GBK" w:hAnsi="方正仿宋_GBK" w:eastAsia="方正仿宋_GBK" w:cs="方正仿宋_GBK"/>
                <w:b w:val="0"/>
                <w:bCs w:val="0"/>
                <w:kern w:val="0"/>
                <w:sz w:val="18"/>
                <w:szCs w:val="18"/>
              </w:rPr>
              <w:t>（18分）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（1）未按规定每年至少一次对工作场所职业病危害因素定期检测（未委托具有资质职业卫生技术服务机构的视为当年未开展职业病危害因素检测或职业病危害现状评价），每缺1年扣6分；</w:t>
            </w:r>
            <w:r>
              <w:rPr>
                <w:rFonts w:hint="eastAsia" w:ascii="方正仿宋_GBK" w:hAnsi="方正仿宋_GBK" w:eastAsia="方正仿宋_GBK" w:cs="方正仿宋_GBK"/>
                <w:b w:val="0"/>
                <w:bCs w:val="0"/>
                <w:kern w:val="0"/>
                <w:sz w:val="18"/>
                <w:szCs w:val="18"/>
              </w:rPr>
              <w:br w:type="page"/>
            </w:r>
            <w:r>
              <w:rPr>
                <w:rFonts w:hint="eastAsia" w:ascii="方正仿宋_GBK" w:hAnsi="方正仿宋_GBK" w:eastAsia="方正仿宋_GBK" w:cs="方正仿宋_GBK"/>
                <w:b w:val="0"/>
                <w:bCs w:val="0"/>
                <w:kern w:val="0"/>
                <w:sz w:val="18"/>
                <w:szCs w:val="18"/>
              </w:rPr>
              <w:t>（2）职业病危害风险为严重的用人单位未按规定每三年至少进行一次职业病危害现状评价，扣8分；</w:t>
            </w:r>
            <w:r>
              <w:rPr>
                <w:rFonts w:hint="eastAsia" w:ascii="方正仿宋_GBK" w:hAnsi="方正仿宋_GBK" w:eastAsia="方正仿宋_GBK" w:cs="方正仿宋_GBK"/>
                <w:b w:val="0"/>
                <w:bCs w:val="0"/>
                <w:kern w:val="0"/>
                <w:sz w:val="18"/>
                <w:szCs w:val="18"/>
              </w:rPr>
              <w:br w:type="page"/>
            </w:r>
            <w:r>
              <w:rPr>
                <w:rFonts w:hint="eastAsia" w:ascii="方正仿宋_GBK" w:hAnsi="方正仿宋_GBK" w:eastAsia="方正仿宋_GBK" w:cs="方正仿宋_GBK"/>
                <w:b w:val="0"/>
                <w:bCs w:val="0"/>
                <w:kern w:val="0"/>
                <w:sz w:val="18"/>
                <w:szCs w:val="18"/>
              </w:rPr>
              <w:t>（3）定期检测范围未包含用人单位产生职业病危害的全部工作场所（岗位），发现1处扣2分；</w:t>
            </w:r>
            <w:r>
              <w:rPr>
                <w:rFonts w:hint="eastAsia" w:ascii="方正仿宋_GBK" w:hAnsi="方正仿宋_GBK" w:eastAsia="方正仿宋_GBK" w:cs="方正仿宋_GBK"/>
                <w:b w:val="0"/>
                <w:bCs w:val="0"/>
                <w:kern w:val="0"/>
                <w:sz w:val="18"/>
                <w:szCs w:val="18"/>
              </w:rPr>
              <w:br w:type="page"/>
            </w:r>
            <w:r>
              <w:rPr>
                <w:rFonts w:hint="eastAsia" w:ascii="方正仿宋_GBK" w:hAnsi="方正仿宋_GBK" w:eastAsia="方正仿宋_GBK" w:cs="方正仿宋_GBK"/>
                <w:b w:val="0"/>
                <w:bCs w:val="0"/>
                <w:kern w:val="0"/>
                <w:sz w:val="18"/>
                <w:szCs w:val="18"/>
              </w:rPr>
              <w:t>（4）每漏检1种主要职业病危害因素，扣2分。</w:t>
            </w:r>
            <w:r>
              <w:rPr>
                <w:rFonts w:hint="eastAsia" w:ascii="方正仿宋_GBK" w:hAnsi="方正仿宋_GBK" w:eastAsia="方正仿宋_GBK" w:cs="方正仿宋_GBK"/>
                <w:b w:val="0"/>
                <w:bCs w:val="0"/>
                <w:kern w:val="0"/>
                <w:sz w:val="18"/>
                <w:szCs w:val="18"/>
              </w:rPr>
              <w:br w:type="page"/>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查阅近三年检测报告（资质证书、定期检测、现状评价）。现场抽查工作场所和岗位、使用的原辅助材料、设备，查看是否进行了检测和评价。</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未委托具备资质的职业卫生技术服务机构开展检测。</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《职业病防治法》第二十六条第三款；《监督管理规定》第二十条第一款、第二款。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《职业病防治法》第七十二条第（四）项；《监督管理规定》第五十一条第（四）项。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给予警告，责令限期改正；逾期未改正的，处5万元以上20万元以下的罚款；情节严重的，责令停止产生职业病危害的作业，或者提请有关人民政府按照国务院规定的权限责令关闭。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8"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未定期对工作场所进行职业病危害因素检测、评价。</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《职业病防治法》第二十六条第二款；《监督管理规定》第二十条第一款、第二款。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《职业病防治法》第七十二条第（四）项；《监督管理规定》第五十一条第（四）项。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给予警告，责令限期改正；逾期未改正的，处5万元以上20万元以下的罚款；情节严重的，责令停止产生职业病危害的作业，或者提请有关人民政府按照国务院规定的权限责令关闭。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5"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未按照规定对工作场所职业病危害因素进行检测、评价。</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《职业病防治法》第二十六条第二款；《监督管理规定》第二十条第一款、第二款。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《职业病防治法》第七十二条第（四）项；《监督管理规定》第五十一条第（四）项。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给予警告，责令限期改正；逾期未改正的，处5万元以上20万元以下的罚款；情节严重的，责令停止产生职业病危害的作业，或者提请有关人民政府按照国务院规定的权限责令关闭。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12.检测结果向安监部门报告</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检测结果未按要求向安监部门报告的，扣2分。</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安监部门核实。</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工作场所职业病危害因素检测、评价结果未按照规定报告。</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《职业病防治法》第二十六条第二款；《监督管理规定》第二十条第三款。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《职业病防治法》第七十条第（一）项；《监督管理规定》第四十九条第（八）项。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3"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五、职业病防护设施（3项，共10分）</w:t>
            </w: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13.防护设施设置合理性和有效性</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（7分）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（1）产生粉尘、毒物的生产过程和设备，未安装通风除尘、净化装置的，或高噪声设备未采取隔声、减振设施的，每发现1处扣2分；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（2）不能提供职业病防护设施台账及档案的，扣2分；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（3）防护效果不符合国家职业卫生标准和卫生要求，每发现1处扣1分。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对照职业病防护设施台账及档案、职业病危害因素检测结果报告。现场核查。</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没有职业病危害防护相适应的设施。</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《职业病防治法》第十五条第（二）项；《监督管理规定》第十二条（三）项。</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《职业病防治法》第七十二条第（二）项；《监督管理规定》第五十一条第（二）项。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给予警告，责令限期改正，逾期未改正的，处5万元以上20万元以下的罚款；情节严重的，责令停止产生职业病危害的作业，或者提请人民政府按照国务院规定的权限责令关闭。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2"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提供的职业病危害防护设施不符合国家职业卫生标准。</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《职业病防治法》第二十二条第一款；《监督管理规定》第十二条第（三）项。</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《职业病防治法》第七十二条第（二）项 ；《监督管理条例》第五十一条第（二）项。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给予警告，责令限期改正，逾期未改正的，处5万元以上20万元以下的罚款；情节严重的，责令停止产生职业病危害的作业，或者提请人民政府按照国务院规定的权限责令关闭。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14.防护设施检修与维护</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（1）职业病危害防护设施未按照规定进行维护、检修、检测，无防护设施定期检查记录和维修记录，扣1分；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（2）擅自拆除、停止使用职业病危害防护设施，每发现1处扣1分。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查阅职业病危害防护设施日常运转记录、定期检查记录和维修记录等，现场检查职业病危害防护设施、设备。</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对职业病危害防护设施未按照规定进行维护、检修、检测，或不能保持正常运行、使用状态的。</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《职业病防治法》第二十五条第三款；《监督管理规定》第十八条。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《职业病防治法》第七十二条第（三）项；《监督管理规定》第五十一条第（三）项。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给予警告，责令限期改正，逾期未改正的，处5万元以上20万元以下的罚款；情节严重的，责令停止产生职业病危害的作业，或者提请人民政府按照国务院规定的权限责令关闭。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擅自拆除、停止使用职业病危害防护设施、设备。</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《职业病防治法》第二十五条第三款；《监督管理规定》第十八条。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《职业病防治法》第七十五条第（六）项；《监督管理规定》 第五十二条（六）项。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责令限期改正，并处5万元以上30万元以下的罚款；情节严重的，责令停止产生职业病危害的作业，或者提请有关人民政府按照国务院规定的权限责令关闭。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15.放射工作场所防护</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（1分）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若不存在放射工作场所，此项按得分计。</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（1）未设置放射防护设施以及必要的防护安全联锁、报警装置或者工作信号、或未配备与辐射类型和辐射水平相适应的防护用品和监测仪器，发现1处扣0.5分；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（2）未按要求提供辐射检测和个人剂量检测报告的，扣1分。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查阅职业卫生档案及有关资料，现场检查。</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对放射工作场所和放射性同位素的运输、贮存，用人单位未配置防护设备和报警装置，接触放射线的工作人员未佩戴个人剂量计。</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《职业病防治法》第二十五条第二款。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《职业病防治法》第七十五条第（三）项。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责令限期治理，并处五万元以上三十万元以下的罚款；情节严重的，责令停止产生职业病危害的作业，或者提请有关人民政府按照国务院规定的权限责令关闭。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六、应急救援设施（1项，共3分）</w:t>
            </w: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16.应急救援设施设置、检修与维护</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（1）现场核实，报警装置、急救用品、冲洗设备、应急撤离通道、必要的泄险区、事故通风装置。应设置但未设置的，缺1项扣0.5分;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（2）应急救援设施设置不合理、不便于使用、无效的，每1处扣0.5分；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（3）不能提供应急救援设施维护、检修和保养记录的，扣1分；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（4）擅自拆除、停止使用应急救援设施，每发现1处扣0.5分。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查阅维护、检修和保养记录等有关资料。现场核实。</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对可能发生急性职业损伤的有毒、有害工作场所，未设置相应的应急救援设施。</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《职业病防治法》第二十五条第一款；《监督管理规定》第十七条第一款、第二款。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对应急救援设施未按照规定进行维护、检修、检测，或者不能保持正常运行、使用状态。</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《职业病防治法》第二十五条第三款；《监督管理规定》第十八条。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《职业病防治法》第七十二条第（三）项；《监督管理规定》第五十一条第（三）项。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给予警告，责令限期改正；逾期不改正的，处5万元以上20万元以下的罚款；情节严重的，责令停止产生职业病危害的作业，或者提请有关人民政府按照国务院规定的权限责令关闭。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擅自拆除、停止使用应急救援设施。</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《职业病防治法》第二十五条第三款；《监督管理规定》第十八条。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《职业病防治法》第七十二条第（三）项；《监督管理规定》第五十二条第（六）项。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责令限期改正，并处5万元以上30万元以下的罚款；情节严重的，责令停止产生职业病危害的作业，或者提请有关人民政府按照国务院规定的权限责令关闭。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0"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七、劳动防护用品（3项，共10分）</w:t>
            </w: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17.为劳动者提供劳动防护用品</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（4分）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（1）无采购记录、凭证及入库记录的，扣2分；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（2）无发放登记、领用记录的，扣2分；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（3）未按要求为劳动者配备适宜的劳动防护用品，每1处扣0.5分；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（4）提供不合格产品的，扣3分。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结合职业病危害因素检测报告，查阅采购记录、发票（收据）、发放登记、领取记录、入库记录等资料。现场抽查劳动者（含劳务派遣人员）。</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未提供个人使用的职业病防护用品，或者提供的个人使用的职业病防护用品不符合国家职业卫生标准和卫生要求。</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《职业病防治法》第二十二条；《监督管理规定》第十六条。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《职业病防治法》第七十二条第（二）项；《监督管理规定》第五十一条第（二）项。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给予警告，责令限期改正，逾期不改正的，处5万元以上20万元以下的罚款；情节严重的，责令停止产生职业病危害的作业，或者提请有关人民政府按照国务院规定的权限责令关闭。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18.正确使用劳动防护用品</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（4分）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劳动者未正确使用的，每发现1人扣1分，扣完为止。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现场抽查劳动者（含劳务派遣人员）。</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未对劳动者使用个人职业病防护用品采取有效的指导、督促措施。</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《职业病防治法》第三十四条第二款、第四款；《监督管理规定》第十六条第一款。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《监督管理规定》第四十九条第（七）项。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19.劳动防护用品的存放、更换</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未按要求存放或更换的，每1处扣1分，扣完为止。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现场抽查劳动者（含劳务派遣人员）。</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个人使用的职业病防护用品不能保持正常使用状态。</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《职业病防治法》第二十五条第三款；《监督管理规定》第十六条第二款。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《职业病防治法》第七十二条第（三）项；《监督管理规定》第五十一条第（三）项。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给予警告，责令限期改正；逾期未改正的，处5万元以上20万元以下的罚款；情节严重的，责令停止产生职业病危害的作业，或者提请有关人民政府按照国务院规定的权限责令关闭。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八、职业病危害告知和警示标识（4项，共8分）</w:t>
            </w: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20.合同告知</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未按要求告知的，每发现1人扣0.5分，扣完为止。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查阅有关资料，现场询问。</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订立或变更劳动合同时未书面告知劳动者职业病危害真实情况。</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《职业病防治法》第三十三条第一款、第二款；《监督管理规定》第二十九条第一款、第二款。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《职业病防治法》第七十一条第（三）项；《监督管理规定》第五十条第（三）项。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责令限期改正，给予警告，可以并处5万元以上10万元以下罚款。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21.公告栏</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（1）未公示职业卫生管理制度和职业卫生操作规程，扣1分；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（2）未在工作场所公示职业病危害因素检测结果（存在的职业病危害因素及岗位、健康危害、接触限值、应急救援措施，以及工作场所职业病危害因素检测结果、检测日期、检测机构名称），扣0.5分。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查阅有关资料，现场核实。</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未按照规定公布有关职业病防治的规章制度、操作规程、职业病危害因素检测结果。</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《职业病防治法》第二十四条第一款、《监督管理规定》第十五条第一款。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《职业病防治法》第七十条第（一）项、第（三）项；《监督管理规定》第四十九条第（六）项、第（八）项。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给予警告，责令限期改正；逾期不改正的，处10万元以下罚款。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4"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22.工作场所职业病危害警示标识</w:t>
            </w:r>
            <w:r>
              <w:rPr>
                <w:rFonts w:hint="eastAsia" w:ascii="方正仿宋_GBK" w:hAnsi="方正仿宋_GBK" w:eastAsia="方正仿宋_GBK" w:cs="方正仿宋_GBK"/>
                <w:b w:val="0"/>
                <w:bCs w:val="0"/>
                <w:kern w:val="0"/>
                <w:sz w:val="18"/>
                <w:szCs w:val="18"/>
              </w:rPr>
              <w:br w:type="page"/>
            </w:r>
            <w:r>
              <w:rPr>
                <w:rFonts w:hint="eastAsia" w:ascii="方正仿宋_GBK" w:hAnsi="方正仿宋_GBK" w:eastAsia="方正仿宋_GBK" w:cs="方正仿宋_GBK"/>
                <w:b w:val="0"/>
                <w:bCs w:val="0"/>
                <w:kern w:val="0"/>
                <w:sz w:val="18"/>
                <w:szCs w:val="18"/>
              </w:rPr>
              <w:t>（2分）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（1）有毒有害工作场所未在醒目位置设置警示标识的，每发现1处扣1分；</w:t>
            </w:r>
            <w:r>
              <w:rPr>
                <w:rFonts w:hint="eastAsia" w:ascii="方正仿宋_GBK" w:hAnsi="方正仿宋_GBK" w:eastAsia="方正仿宋_GBK" w:cs="方正仿宋_GBK"/>
                <w:b w:val="0"/>
                <w:bCs w:val="0"/>
                <w:kern w:val="0"/>
                <w:sz w:val="18"/>
                <w:szCs w:val="18"/>
              </w:rPr>
              <w:br w:type="page"/>
            </w:r>
            <w:r>
              <w:rPr>
                <w:rFonts w:hint="eastAsia" w:ascii="方正仿宋_GBK" w:hAnsi="方正仿宋_GBK" w:eastAsia="方正仿宋_GBK" w:cs="方正仿宋_GBK"/>
                <w:b w:val="0"/>
                <w:bCs w:val="0"/>
                <w:kern w:val="0"/>
                <w:sz w:val="18"/>
                <w:szCs w:val="18"/>
              </w:rPr>
              <w:t>（2）工作场所职业病危害警示标识使用不规范的（尺寸、位置、职业病危害的种类、后果、预防和应急处置措施等方面），每发现1处扣0.5分。</w:t>
            </w:r>
            <w:r>
              <w:rPr>
                <w:rFonts w:hint="eastAsia" w:ascii="方正仿宋_GBK" w:hAnsi="方正仿宋_GBK" w:eastAsia="方正仿宋_GBK" w:cs="方正仿宋_GBK"/>
                <w:b w:val="0"/>
                <w:bCs w:val="0"/>
                <w:kern w:val="0"/>
                <w:sz w:val="18"/>
                <w:szCs w:val="18"/>
              </w:rPr>
              <w:br w:type="page"/>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现场核查，重点核查产生严重职业病危害的作业岗位。</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未按照规定在产生严重职业病危害的作业岗位醒目位置设置警示标识和中文警示说明。</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《职业病防治法》第二十四条第二款；《监督管理规定》第十五条第二款。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《职业病防治法》第七十二条第（八）项；《监督管理规定》第五十一条第（七）项。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给予警告，责令限期改正；逾期未改正的，处5万元以上20万元以下罚款；情节严重的，责令停止产生职业病危害的作业，或者提请人民政府按照国务院规定的权限责令关闭。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0"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23.高毒物品作业岗位设置职业病危害告知卡</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（1）高毒物品作业场所未在醒目位置设置高毒物品告知卡的，每发现1处扣1分；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（2）高毒物品告知卡内容未载明高毒物品的名称、理化特性、健康危害、防护措施及应急处理的，每1处扣0.5分。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现场核查。</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高毒物品作业场所未按照规定设置高毒物品告知卡。</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《监督管理规定》第十五条第三款。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7"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九、教育培训（2项，共5分）</w:t>
            </w: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24.用人单位的主要负责人和职业卫生管理人员培训</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（1）用人单位的主要负责人未接受职业卫生培训，扣3分；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（2）职业卫生管理人员未接受职业卫生培训，扣1分。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查阅资料。</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用人单位主要负责人、职业卫生管理人员未接受职业卫生培训。</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《职业病防治法》第三十四条第一款；《监督管理规定》第九条第一款。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《监督管理规定》第四十八条第（二）项。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给予警告，责令限期改正，可以并处5千元以上2万元以下罚款。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6" w:hRule="atLeast"/>
        </w:trPr>
        <w:tc>
          <w:tcPr>
            <w:tcW w:w="750"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25.劳动者上岗前、在岗期间定期培训</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（1）未制定培训计划的，扣1分；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（2）不能提供培训过程记录的，每发现1处扣0.5分；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（3）现场抽查并询问劳动者不知晓其岗位职业卫生有关内容的，每发现1人扣0.5分；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（4）职业病危害严重岗位的劳动者未经培训合格上岗的，每发现1人扣1分。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查阅资料，包括①培训通知，②课件，③试卷、考核成绩、总结，④人员签到册，⑤影像资料等。现场询问劳动者。</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未按照规定组织劳动者进行职业卫生培训。</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《职业病防治法》第三十四条第二款；《监督管理规定》第十条。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《职业病防治法》第七十条第（四）项；《监督管理规定》第四十九条第（七）项。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给予警告，责令限期改正；逾期未改正的，处10万元以下的罚款。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trPr>
        <w:tc>
          <w:tcPr>
            <w:tcW w:w="75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黑体_GBK" w:hAnsi="方正黑体_GBK" w:eastAsia="方正黑体_GBK" w:cs="方正黑体_GBK"/>
                <w:b w:val="0"/>
                <w:bCs w:val="0"/>
                <w:kern w:val="0"/>
                <w:sz w:val="18"/>
                <w:szCs w:val="18"/>
              </w:rPr>
            </w:pPr>
            <w:r>
              <w:rPr>
                <w:rFonts w:hint="eastAsia" w:ascii="方正黑体_GBK" w:hAnsi="方正黑体_GBK" w:eastAsia="方正黑体_GBK" w:cs="方正黑体_GBK"/>
                <w:b w:val="0"/>
                <w:bCs w:val="0"/>
                <w:kern w:val="0"/>
                <w:sz w:val="18"/>
                <w:szCs w:val="18"/>
              </w:rPr>
              <w:t>十、职业健康检查（4项，共16分）</w:t>
            </w: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26.委托取得《医疗机构执业许可证》的医疗卫生机构开展职业健康检查</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未委托取得《医疗机构执业许可证》的医疗卫生机构开展的，扣16分，终止该项目检查。</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查阅资料。</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未委托取得《医疗机构执业许可证》的医疗卫生机构开展。</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《职业病防治法》第三十五条第三款；《健康监护监督管理办法》第八条。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《职业病防治法》第七十一条第（四）项；《监督管理规定》第五十条第(四)项；《健康监护监督管理办法》第二十七条第(一)项。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责令限期改正，给予警告，可以并处5万元以上10万元以下的罚款。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2"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27.职业健康监护</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（10分）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（1）未建立劳动者职业健康监护档案（上岗前、在岗期间、离岗时），扣3分；建立职业健康监护档案不全的，每发现1处扣1分，扣完3分为止；</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安排未经职业健康检查的劳动者从事接触职业病危害的作业的，每发现1人扣1分；职业健康体检率小于等于50%，扣10分；职业健康检查项目或检查周期不符合《职业健康监护技术规范》（GBZ188）要求的视为未进行职业健康检查；</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（3）劳动者岗前30日内未进行离岗职业健康检查（离岗前90日内已进行在岗职业健康体检的可视为离岗体检）的，每发现1人扣1分。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检查劳动者名册、职业健康检查报告（上岗前、在岗期间、离岗时）、劳动者职业健康监护档案。现场核查。</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未按照规定建立职业健康监护档案。</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《职业病防治法》第三十六条第一款；《健康监护监督管理办法》第十九条。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《职业病防治法》第七十一条第（四）项；《健康监护监督管理办法》第二十七条第(一)项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责令限期改正，给予警告，可以并处5万元以上10万元以下的罚款。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3"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安排未经上岗前职业健康检查的职业健康检查的劳动者从事接触职业病危害的作业。</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《职业病防治法》第三十五条第二款；《健康监护监督管理办法》第十一条、第十二条。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《职业病防治法》第七十五条第（七）项；《健康监护监督管理办法》第二十九条第（一）项。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责令限期治理，并处5万元以上30万元以下的罚款；情节严重的，责令停止产生职业病危害的作业，或者提请有关人民政府按照国务院规定的权限责令关闭。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2"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未按照规定组织在岗期间的职业健康检查。</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《职业病防治法》第三十五条第一款；《健康监护监督管理办法》第十三条。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《职业病防治法》第七十一条第（四）项；《健康监护监督管理办法》第二十七条第（一）项。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责令限期改正，给予警告，可以并处5万元以上10万元以下的罚款。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3"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未按照规定组织离岗时的职业健康检查。</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《职业病防治法》第三十五条第一款；《监督管理规定》第三十条第一款；《健康监护监督管理办法》第十五条第一款。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《职业病防治法》第七十一条第（四）项；《监督管理规定》第五十条第（四）项；《健康监护监督管理办法》第二十七条第(一)项。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责令限期改正，给予警告，可以并处5万元以上10万元以下罚款。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5"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28.职业健康检查结果告知（2分）</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（1）现场抽查，每发现1名劳动者不知晓体检结果的扣0.5分；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（2）不能提供职业健康检查结果书面告知记录，或书面告知书无劳动者本人签名的，每发现1处扣0.5分。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查看职业健康检查结果书面告知记录。现场抽查劳动者。</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未将职业健康检查结果如实书面告知劳动者。</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《职业病防治法》第三十五条第一款；《监督管理规定》第三十条第一款；《健康监护监督管理办法》第十六条。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《职业病防治法》第七十一条第（四）项；《健康监护监督管理办法》第二十七条第（一）项。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责令限期改正，给予警告，可以并处5万元以上10万元以下罚款。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29.复查、职业禁忌的劳动者以及疑似职业病病人、职业病病人</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（4分）</w:t>
            </w:r>
          </w:p>
        </w:tc>
        <w:tc>
          <w:tcPr>
            <w:tcW w:w="35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（1）未按照职业健康检查机构要求的时间安排复查，每发现1人扣1分；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（2）安排有职业禁忌的劳动者从事其所禁忌的作业，每发现1人扣1分；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（3）发现疑似职业病病人、职业病病人未及时向所在地安全生产监督部门报告的，扣2分；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（4）未安排疑似职业病病人和职业病病人进行诊治的，扣2分；</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（5）未按照规定承担职业病诊断、鉴定费用和职业病病人的医疗、生活保障费用的。</w:t>
            </w:r>
            <w:r>
              <w:rPr>
                <w:rFonts w:hint="eastAsia" w:ascii="方正仿宋_GBK" w:hAnsi="方正仿宋_GBK" w:eastAsia="方正仿宋_GBK" w:cs="方正仿宋_GBK"/>
                <w:b w:val="0"/>
                <w:bCs w:val="0"/>
                <w:kern w:val="0"/>
                <w:sz w:val="18"/>
                <w:szCs w:val="18"/>
              </w:rPr>
              <w:br w:type="textWrapping"/>
            </w:r>
            <w:r>
              <w:rPr>
                <w:rFonts w:hint="eastAsia" w:ascii="方正仿宋_GBK" w:hAnsi="方正仿宋_GBK" w:eastAsia="方正仿宋_GBK" w:cs="方正仿宋_GBK"/>
                <w:b w:val="0"/>
                <w:bCs w:val="0"/>
                <w:kern w:val="0"/>
                <w:sz w:val="18"/>
                <w:szCs w:val="18"/>
              </w:rPr>
              <w:t>逐项扣分，扣完为止。</w:t>
            </w:r>
          </w:p>
        </w:tc>
        <w:tc>
          <w:tcPr>
            <w:tcW w:w="115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现场核查，查阅档案。</w:t>
            </w:r>
          </w:p>
        </w:tc>
        <w:tc>
          <w:tcPr>
            <w:tcW w:w="40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未根据职业健康检查情况采取相应措施。</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《健康监护监督管理办法》第十七条第（三）项。</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《健康监护监督管理办法》第二十六条第(五)项。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给予警告，责令限期改正，可以并处3万元以下的罚款。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安排有职业禁忌的劳动者从事其所禁忌的作业。</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《职业病防治法》第三十五条第二款；《健康监护监督管理办法》第十二条第一款。</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《职业病防治法》第七十五条第（七）项；《健康监护监督管理办法》第二十九条第(四)项。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责令限期治理，并处5万元以上30万元以下罚款；情节严重的，责令停止产生职业病危害的作业，或者提请有关人民政府按照国务院规定的权限责令关闭。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发现疑似职业病病人、职业病病人未及时向所在地安全生产监督部门报告。</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《职业病防治法》第五十条；《健康监护监督管理办法》第十八条。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《职业病防治法》第七十四条；《健康监护监督管理办法》第三十条。</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责令限期改正，给予警告，可以并处1万元以下的罚款。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未安排疑似职业病病人进行诊断。</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《职业病防治法》第五十五条第二款；《健康监护监督管理办法》第十七条第（四）项。</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《健康监护监督管理办法》第二十六条第（五）项。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给予警告，责令限期改正，可以并处3万元以下的罚款。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75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474"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3509" w:type="dxa"/>
            <w:vMerge w:val="continue"/>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151" w:type="dxa"/>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409" w:type="dxa"/>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未安排职业病病人进行诊治；未按照规定承担职业病诊断、鉴定费用和职业病病人的医疗、生活保障费用的。</w:t>
            </w: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《职业病防治法》第五十六条第二款、第五十七条、第五十八条、第五十九条。</w:t>
            </w: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《职业病防治法》第七十二条第（六）项、第（十一）项。</w:t>
            </w: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给予警告，责令限期改正，逾期不改正的，处5万元以上20万元以下的罚款；情节严重的，责令停止产生职业病危害的作业，或者提请有关人民政府按照国务院规定的权限责令关闭。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75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47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合计：</w:t>
            </w:r>
          </w:p>
        </w:tc>
        <w:tc>
          <w:tcPr>
            <w:tcW w:w="35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righ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等级：</w:t>
            </w:r>
          </w:p>
        </w:tc>
        <w:tc>
          <w:tcPr>
            <w:tcW w:w="115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409"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center"/>
              <w:textAlignment w:val="auto"/>
              <w:outlineLvl w:val="9"/>
              <w:rPr>
                <w:rFonts w:hint="eastAsia" w:ascii="方正仿宋_GBK" w:hAnsi="方正仿宋_GBK" w:eastAsia="方正仿宋_GBK" w:cs="方正仿宋_GBK"/>
                <w:b w:val="0"/>
                <w:bCs w:val="0"/>
                <w:kern w:val="0"/>
                <w:sz w:val="18"/>
                <w:szCs w:val="18"/>
              </w:rPr>
            </w:pPr>
            <w:r>
              <w:rPr>
                <w:rFonts w:hint="eastAsia" w:ascii="方正仿宋_GBK" w:hAnsi="方正仿宋_GBK" w:eastAsia="方正仿宋_GBK" w:cs="方正仿宋_GBK"/>
                <w:b w:val="0"/>
                <w:bCs w:val="0"/>
                <w:kern w:val="0"/>
                <w:sz w:val="18"/>
                <w:szCs w:val="18"/>
              </w:rPr>
              <w: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192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215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c>
          <w:tcPr>
            <w:tcW w:w="24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00" w:lineRule="exact"/>
              <w:ind w:firstLine="0" w:firstLineChars="0"/>
              <w:jc w:val="left"/>
              <w:textAlignment w:val="auto"/>
              <w:outlineLvl w:val="9"/>
              <w:rPr>
                <w:rFonts w:hint="eastAsia" w:ascii="方正仿宋_GBK" w:hAnsi="方正仿宋_GBK" w:eastAsia="方正仿宋_GBK" w:cs="方正仿宋_GBK"/>
                <w:b w:val="0"/>
                <w:bCs w:val="0"/>
                <w:kern w:val="0"/>
                <w:sz w:val="18"/>
                <w:szCs w:val="18"/>
              </w:rPr>
            </w:pPr>
          </w:p>
        </w:tc>
      </w:tr>
    </w:tbl>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填表说明：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1.此表适用于安监部门对企业职业健康基础建设的监督执法使用，也适用于企业自查、自改使用。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2.基础建设实行100分制量化打分评估，综合得分总计达60分以上的为合格水平。</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3.分为四个档次：基础建设不合格企业（60分以下），基础建设合格企业（60-79分），基础建设良好企业（80－89分），基础建设示范企业（90分以上）。</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4.不涉及或不适用项目，该项自动得分。</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5.本清单职业卫生档案均引用自国家安监总局《用人单位职业卫生档案管理规范》（安监总厅安健〔2013〕171号），可在总局或市局网站上自行下载。 </w:t>
      </w:r>
      <w:bookmarkStart w:id="1" w:name="_GoBack"/>
      <w:bookmarkEnd w:id="1"/>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本表中《职业病防治法》是指《中华人民共和国职业病防治法》；《监督管理规定》是指《工作场所职业卫生监督管理规定》（安监总局47号令）；《申报办法》是指《职业病危害项目申报办法》（安监总局48号令）；《健康监护监督管理办法》是指《用人单位职业健康监护监督管理办法》(安监总局49号令）。</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7.发现其他违法行为，另行处理。</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检查时间：     年     月     日 </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t xml:space="preserve">              检查人签字：                       检查单位负责人签字：       </w:t>
      </w:r>
    </w:p>
    <w:p>
      <w:pPr>
        <w:rPr>
          <w:rFonts w:hint="eastAsia" w:ascii="方正仿宋_GBK" w:hAnsi="方正仿宋_GBK" w:eastAsia="方正仿宋_GBK" w:cs="方正仿宋_GBK"/>
          <w:kern w:val="2"/>
          <w:sz w:val="24"/>
          <w:szCs w:val="24"/>
          <w:lang w:val="en-US" w:eastAsia="zh-CN" w:bidi="ar-SA"/>
        </w:rPr>
      </w:pPr>
    </w:p>
    <w:p>
      <w:pPr>
        <w:rPr>
          <w:rFonts w:hint="eastAsia" w:ascii="方正仿宋_GBK" w:hAnsi="方正仿宋_GBK" w:eastAsia="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sectPr>
          <w:pgSz w:w="16840" w:h="11907" w:orient="landscape"/>
          <w:pgMar w:top="1797" w:right="985" w:bottom="1558" w:left="1440" w:header="851" w:footer="992" w:gutter="0"/>
          <w:pgNumType w:fmt="decimal"/>
          <w:cols w:space="425" w:num="1"/>
          <w:docGrid w:type="linesAndChars" w:linePitch="312" w:charSpace="0"/>
        </w:sectPr>
      </w:pPr>
    </w:p>
    <w:p>
      <w:pPr>
        <w:tabs>
          <w:tab w:val="left" w:pos="4505"/>
        </w:tabs>
        <w:jc w:val="left"/>
        <w:rPr>
          <w:rFonts w:hint="eastAsia" w:ascii="方正仿宋_GBK" w:hAnsi="方正仿宋_GBK" w:cs="方正仿宋_GBK"/>
          <w:kern w:val="2"/>
          <w:sz w:val="24"/>
          <w:szCs w:val="24"/>
          <w:lang w:val="en-US" w:eastAsia="zh-CN" w:bidi="ar-SA"/>
        </w:rPr>
      </w:pPr>
      <w:r>
        <w:rPr>
          <w:rFonts w:hint="eastAsia" w:ascii="方正仿宋_GBK" w:hAnsi="方正仿宋_GBK" w:cs="方正仿宋_GBK"/>
          <w:kern w:val="2"/>
          <w:sz w:val="24"/>
          <w:szCs w:val="24"/>
          <w:lang w:val="en-US" w:eastAsia="zh-CN" w:bidi="ar-SA"/>
        </w:rPr>
        <w:br w:type="page"/>
      </w: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tabs>
          <w:tab w:val="left" w:pos="4505"/>
        </w:tabs>
        <w:jc w:val="left"/>
        <w:rPr>
          <w:rFonts w:hint="eastAsia" w:ascii="方正仿宋_GBK" w:hAnsi="方正仿宋_GBK" w:cs="方正仿宋_GBK"/>
          <w:kern w:val="2"/>
          <w:sz w:val="24"/>
          <w:szCs w:val="24"/>
          <w:lang w:val="en-US" w:eastAsia="zh-CN" w:bidi="ar-SA"/>
        </w:rPr>
      </w:pPr>
    </w:p>
    <w:p>
      <w:pPr>
        <w:shd w:val="clear"/>
        <w:rPr>
          <w:rFonts w:hint="eastAsia" w:ascii="方正仿宋_GBK" w:hAnsi="方正仿宋_GBK" w:eastAsia="方正仿宋_GBK" w:cs="方正仿宋_GBK"/>
          <w:b w:val="0"/>
          <w:bCs w:val="0"/>
          <w:color w:val="000000" w:themeColor="text1"/>
          <w:sz w:val="28"/>
          <w:szCs w:val="28"/>
        </w:rPr>
      </w:pPr>
      <w:r>
        <w:rPr>
          <w:rFonts w:hint="eastAsia" w:ascii="方正仿宋_GBK" w:hAnsi="方正仿宋_GBK" w:cs="方正仿宋_GBK"/>
          <w:b w:val="0"/>
          <w:bCs w:val="0"/>
          <w:color w:val="000000" w:themeColor="text1"/>
          <w:sz w:val="28"/>
          <w:szCs w:val="28"/>
          <w:lang w:val="en-US" w:eastAsia="zh-CN"/>
        </w:rPr>
        <w:t xml:space="preserve">  </w:t>
      </w:r>
      <w:r>
        <w:rPr>
          <w:rFonts w:hint="eastAsia" w:ascii="方正仿宋_GBK" w:hAnsi="方正仿宋_GBK" w:eastAsia="方正仿宋_GBK" w:cs="方正仿宋_GBK"/>
          <w:b w:val="0"/>
          <w:bCs w:val="0"/>
          <w:color w:val="000000" w:themeColor="text1"/>
          <w:sz w:val="28"/>
          <w:szCs w:val="28"/>
        </w:rPr>
        <w:t>（</w:t>
      </w:r>
      <w:r>
        <w:rPr>
          <w:rFonts w:hint="eastAsia" w:ascii="方正仿宋_GBK" w:hAnsi="方正仿宋_GBK" w:eastAsia="方正仿宋_GBK" w:cs="方正仿宋_GBK"/>
          <w:b w:val="0"/>
          <w:bCs w:val="0"/>
          <w:color w:val="000000" w:themeColor="text1"/>
          <w:kern w:val="0"/>
          <w:sz w:val="28"/>
          <w:szCs w:val="28"/>
        </w:rPr>
        <w:t>公开方式：主动公开</w:t>
      </w:r>
      <w:r>
        <w:rPr>
          <w:rFonts w:hint="eastAsia" w:ascii="方正仿宋_GBK" w:hAnsi="方正仿宋_GBK" w:eastAsia="方正仿宋_GBK" w:cs="方正仿宋_GBK"/>
          <w:b w:val="0"/>
          <w:bCs w:val="0"/>
          <w:color w:val="000000" w:themeColor="text1"/>
          <w:sz w:val="28"/>
          <w:szCs w:val="28"/>
        </w:rPr>
        <w:t>）</w:t>
      </w:r>
    </w:p>
    <w:p>
      <w:pPr>
        <w:pBdr>
          <w:top w:val="single" w:color="auto" w:sz="6" w:space="1"/>
          <w:bottom w:val="single" w:color="auto" w:sz="6" w:space="1"/>
        </w:pBdr>
        <w:shd w:val="clear"/>
        <w:rPr>
          <w:rFonts w:hint="eastAsia" w:ascii="方正仿宋_GBK" w:hAnsi="方正仿宋_GBK" w:cs="方正仿宋_GBK"/>
          <w:kern w:val="2"/>
          <w:sz w:val="24"/>
          <w:szCs w:val="24"/>
          <w:lang w:val="en-US" w:eastAsia="zh-CN" w:bidi="ar-SA"/>
        </w:rPr>
      </w:pPr>
      <w:r>
        <w:drawing>
          <wp:anchor distT="0" distB="0" distL="114300" distR="114300" simplePos="0" relativeHeight="251658240" behindDoc="0" locked="0" layoutInCell="1" allowOverlap="1">
            <wp:simplePos x="0" y="0"/>
            <wp:positionH relativeFrom="column">
              <wp:posOffset>3705225</wp:posOffset>
            </wp:positionH>
            <wp:positionV relativeFrom="paragraph">
              <wp:posOffset>438785</wp:posOffset>
            </wp:positionV>
            <wp:extent cx="1790700" cy="5905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1790700" cy="590550"/>
                    </a:xfrm>
                    <a:prstGeom prst="rect">
                      <a:avLst/>
                    </a:prstGeom>
                    <a:noFill/>
                    <a:ln w="9525">
                      <a:noFill/>
                    </a:ln>
                  </pic:spPr>
                </pic:pic>
              </a:graphicData>
            </a:graphic>
          </wp:anchor>
        </w:drawing>
      </w:r>
      <w:r>
        <w:rPr>
          <w:rFonts w:hint="eastAsia" w:ascii="方正仿宋_GBK" w:hAnsi="方正仿宋_GBK" w:cs="方正仿宋_GBK"/>
          <w:b w:val="0"/>
          <w:bCs w:val="0"/>
          <w:color w:val="000000" w:themeColor="text1"/>
          <w:sz w:val="28"/>
          <w:szCs w:val="28"/>
          <w:lang w:val="en-US" w:eastAsia="zh-CN"/>
        </w:rPr>
        <w:t xml:space="preserve">  </w:t>
      </w:r>
      <w:r>
        <w:rPr>
          <w:rFonts w:hint="eastAsia" w:ascii="方正仿宋_GBK" w:hAnsi="方正仿宋_GBK" w:eastAsia="方正仿宋_GBK" w:cs="方正仿宋_GBK"/>
          <w:b w:val="0"/>
          <w:bCs w:val="0"/>
          <w:color w:val="000000" w:themeColor="text1"/>
          <w:sz w:val="28"/>
          <w:szCs w:val="28"/>
        </w:rPr>
        <w:t>重庆市安全生产监督管理局办公室</w:t>
      </w:r>
      <w:r>
        <w:rPr>
          <w:rFonts w:hint="eastAsia" w:ascii="方正仿宋_GBK" w:hAnsi="方正仿宋_GBK" w:eastAsia="方正仿宋_GBK" w:cs="方正仿宋_GBK"/>
          <w:b w:val="0"/>
          <w:bCs w:val="0"/>
          <w:color w:val="000000" w:themeColor="text1"/>
          <w:sz w:val="28"/>
          <w:szCs w:val="28"/>
          <w:lang w:val="en-US" w:eastAsia="zh-CN"/>
        </w:rPr>
        <w:t xml:space="preserve">      </w:t>
      </w:r>
      <w:r>
        <w:rPr>
          <w:rFonts w:hint="eastAsia" w:ascii="方正仿宋_GBK" w:hAnsi="方正仿宋_GBK" w:cs="方正仿宋_GBK"/>
          <w:b w:val="0"/>
          <w:bCs w:val="0"/>
          <w:color w:val="000000" w:themeColor="text1"/>
          <w:sz w:val="28"/>
          <w:szCs w:val="28"/>
          <w:lang w:val="en-US" w:eastAsia="zh-CN"/>
        </w:rPr>
        <w:t xml:space="preserve"> </w:t>
      </w:r>
      <w:r>
        <w:rPr>
          <w:rFonts w:hint="eastAsia" w:ascii="方正仿宋_GBK" w:hAnsi="方正仿宋_GBK" w:eastAsia="方正仿宋_GBK" w:cs="方正仿宋_GBK"/>
          <w:b w:val="0"/>
          <w:bCs w:val="0"/>
          <w:color w:val="000000" w:themeColor="text1"/>
          <w:sz w:val="28"/>
          <w:szCs w:val="28"/>
          <w:lang w:val="en-US" w:eastAsia="zh-CN"/>
        </w:rPr>
        <w:t xml:space="preserve"> </w:t>
      </w:r>
      <w:r>
        <w:rPr>
          <w:rFonts w:hint="eastAsia" w:ascii="方正仿宋_GBK" w:hAnsi="方正仿宋_GBK" w:cs="方正仿宋_GBK"/>
          <w:b w:val="0"/>
          <w:bCs w:val="0"/>
          <w:color w:val="000000" w:themeColor="text1"/>
          <w:sz w:val="28"/>
          <w:szCs w:val="28"/>
          <w:lang w:val="en-US" w:eastAsia="zh-CN"/>
        </w:rPr>
        <w:t xml:space="preserve"> </w:t>
      </w:r>
      <w:r>
        <w:rPr>
          <w:rFonts w:hint="eastAsia" w:ascii="方正仿宋_GBK" w:hAnsi="方正仿宋_GBK" w:eastAsia="方正仿宋_GBK" w:cs="方正仿宋_GBK"/>
          <w:b w:val="0"/>
          <w:bCs w:val="0"/>
          <w:color w:val="000000" w:themeColor="text1"/>
          <w:sz w:val="28"/>
          <w:szCs w:val="28"/>
          <w:lang w:val="en-US" w:eastAsia="zh-CN"/>
        </w:rPr>
        <w:t xml:space="preserve">   </w:t>
      </w:r>
      <w:r>
        <w:rPr>
          <w:rFonts w:hint="eastAsia" w:ascii="方正仿宋_GBK" w:hAnsi="方正仿宋_GBK" w:eastAsia="方正仿宋_GBK" w:cs="方正仿宋_GBK"/>
          <w:b w:val="0"/>
          <w:bCs w:val="0"/>
          <w:color w:val="000000" w:themeColor="text1"/>
          <w:sz w:val="28"/>
          <w:szCs w:val="28"/>
        </w:rPr>
        <w:t>2018年</w:t>
      </w:r>
      <w:r>
        <w:rPr>
          <w:rFonts w:hint="eastAsia" w:ascii="方正仿宋_GBK" w:hAnsi="方正仿宋_GBK" w:cs="方正仿宋_GBK"/>
          <w:b w:val="0"/>
          <w:bCs w:val="0"/>
          <w:color w:val="000000" w:themeColor="text1"/>
          <w:sz w:val="28"/>
          <w:szCs w:val="28"/>
          <w:lang w:val="en-US" w:eastAsia="zh-CN"/>
        </w:rPr>
        <w:t>3</w:t>
      </w:r>
      <w:r>
        <w:rPr>
          <w:rFonts w:hint="eastAsia" w:ascii="方正仿宋_GBK" w:hAnsi="方正仿宋_GBK" w:eastAsia="方正仿宋_GBK" w:cs="方正仿宋_GBK"/>
          <w:b w:val="0"/>
          <w:bCs w:val="0"/>
          <w:color w:val="000000" w:themeColor="text1"/>
          <w:sz w:val="28"/>
          <w:szCs w:val="28"/>
        </w:rPr>
        <w:t>月</w:t>
      </w:r>
      <w:r>
        <w:rPr>
          <w:rFonts w:hint="eastAsia" w:ascii="方正仿宋_GBK" w:hAnsi="方正仿宋_GBK" w:cs="方正仿宋_GBK"/>
          <w:b w:val="0"/>
          <w:bCs w:val="0"/>
          <w:color w:val="000000" w:themeColor="text1"/>
          <w:sz w:val="28"/>
          <w:szCs w:val="28"/>
          <w:lang w:val="en-US" w:eastAsia="zh-CN"/>
        </w:rPr>
        <w:t>2</w:t>
      </w:r>
      <w:r>
        <w:rPr>
          <w:rFonts w:hint="eastAsia" w:ascii="方正仿宋_GBK" w:hAnsi="方正仿宋_GBK" w:eastAsia="方正仿宋_GBK" w:cs="方正仿宋_GBK"/>
          <w:b w:val="0"/>
          <w:bCs w:val="0"/>
          <w:color w:val="000000" w:themeColor="text1"/>
          <w:sz w:val="28"/>
          <w:szCs w:val="28"/>
        </w:rPr>
        <w:t>日印发</w:t>
      </w:r>
    </w:p>
    <w:sectPr>
      <w:footerReference r:id="rId7" w:type="default"/>
      <w:footerReference r:id="rId8" w:type="even"/>
      <w:pgSz w:w="11907" w:h="16840"/>
      <w:pgMar w:top="2098" w:right="1474" w:bottom="1984" w:left="1587" w:header="851" w:footer="1474" w:gutter="0"/>
      <w:pgNumType w:fmt="decimal"/>
      <w:cols w:space="0" w:num="1"/>
      <w:rtlGutter w:val="0"/>
      <w:docGrid w:type="linesAndChars" w:linePitch="579" w:charSpace="-8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80F3C52" w:usb2="00000016" w:usb3="00000000" w:csb0="0004001F" w:csb1="00000000"/>
  </w:font>
  <w:font w:name="PMingLiU">
    <w:panose1 w:val="02020500000000000000"/>
    <w:charset w:val="88"/>
    <w:family w:val="roman"/>
    <w:pitch w:val="default"/>
    <w:sig w:usb0="A00002FF" w:usb1="28CFFCFA" w:usb2="00000016" w:usb3="00000000" w:csb0="00100001" w:csb1="00000000"/>
  </w:font>
  <w:font w:name="方正黑体_GBK">
    <w:panose1 w:val="03000509000000000000"/>
    <w:charset w:val="86"/>
    <w:family w:val="script"/>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叶根友毛笔行书2.0版">
    <w:panose1 w:val="0201060103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准圆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粗圆_GBK">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简体">
    <w:panose1 w:val="02010601030101010101"/>
    <w:charset w:val="86"/>
    <w:family w:val="auto"/>
    <w:pitch w:val="default"/>
    <w:sig w:usb0="00000001" w:usb1="080E0000" w:usb2="00000000" w:usb3="00000000" w:csb0="00040000" w:csb1="00000000"/>
  </w:font>
  <w:font w:name="方正隶二简体">
    <w:panose1 w:val="02010601030101010101"/>
    <w:charset w:val="86"/>
    <w:family w:val="auto"/>
    <w:pitch w:val="default"/>
    <w:sig w:usb0="00000001" w:usb1="080E0000" w:usb2="00000000" w:usb3="00000000" w:csb0="00040000" w:csb1="00000000"/>
  </w:font>
  <w:font w:name="方正隶二繁体">
    <w:panose1 w:val="02010601030101010101"/>
    <w:charset w:val="86"/>
    <w:family w:val="auto"/>
    <w:pitch w:val="default"/>
    <w:sig w:usb0="00000001" w:usb1="080E0000" w:usb2="00000000" w:usb3="00000000" w:csb0="00040000" w:csb1="00000000"/>
  </w:font>
  <w:font w:name="方正隶变繁体">
    <w:panose1 w:val="02010601030101010101"/>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DengXian">
    <w:altName w:val="Times New Roman"/>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方正宋黑_GBK">
    <w:altName w:val="宋体"/>
    <w:panose1 w:val="03000509000000000000"/>
    <w:charset w:val="86"/>
    <w:family w:val="script"/>
    <w:pitch w:val="default"/>
    <w:sig w:usb0="00000000" w:usb1="00000000" w:usb2="00000010" w:usb3="00000000" w:csb0="00040000" w:csb1="00000000"/>
  </w:font>
  <w:font w:name="方正小标宋简体">
    <w:altName w:val="宋体"/>
    <w:panose1 w:val="00000000000000000000"/>
    <w:charset w:val="86"/>
    <w:family w:val="roman"/>
    <w:pitch w:val="default"/>
    <w:sig w:usb0="00000000" w:usb1="00000000" w:usb2="0000001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新宋体">
    <w:panose1 w:val="02010609030101010101"/>
    <w:charset w:val="86"/>
    <w:family w:val="auto"/>
    <w:pitch w:val="default"/>
    <w:sig w:usb0="00000003" w:usb1="288F0000" w:usb2="00000006" w:usb3="00000000" w:csb0="00040001" w:csb1="00000000"/>
  </w:font>
  <w:font w:name="方正隶书_GBK">
    <w:panose1 w:val="03000509000000000000"/>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Microsoft JhengHei UI">
    <w:panose1 w:val="020B0604030504040204"/>
    <w:charset w:val="88"/>
    <w:family w:val="auto"/>
    <w:pitch w:val="default"/>
    <w:sig w:usb0="00000087" w:usb1="28AF4000" w:usb2="00000016" w:usb3="00000000" w:csb0="00100009" w:csb1="00000000"/>
  </w:font>
  <w:font w:name="Microsoft YaHei UI">
    <w:panose1 w:val="020B0503020204020204"/>
    <w:charset w:val="86"/>
    <w:family w:val="auto"/>
    <w:pitch w:val="default"/>
    <w:sig w:usb0="80000287" w:usb1="28CF3C52" w:usb2="00000016" w:usb3="00000000" w:csb0="0004001F" w:csb1="00000000"/>
  </w:font>
  <w:font w:name="Microsoft YaHei UI Light">
    <w:altName w:val="宋体"/>
    <w:panose1 w:val="020B0502040204020203"/>
    <w:charset w:val="86"/>
    <w:family w:val="auto"/>
    <w:pitch w:val="default"/>
    <w:sig w:usb0="00000000" w:usb1="00000000" w:usb2="00000016" w:usb3="00000000" w:csb0="0004000F"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SimSun-ExtB">
    <w:panose1 w:val="02010609060101010101"/>
    <w:charset w:val="86"/>
    <w:family w:val="auto"/>
    <w:pitch w:val="default"/>
    <w:sig w:usb0="00000001" w:usb1="02000000" w:usb2="00000000" w:usb3="00000000" w:csb0="00040001" w:csb1="00000000"/>
  </w:font>
  <w:font w:name="Yu Gothic Light">
    <w:altName w:val="Meiryo UI"/>
    <w:panose1 w:val="020B0300000000000000"/>
    <w:charset w:val="80"/>
    <w:family w:val="auto"/>
    <w:pitch w:val="default"/>
    <w:sig w:usb0="00000000" w:usb1="00000000" w:usb2="00000016" w:usb3="00000000" w:csb0="2002009F" w:csb1="00000000"/>
  </w:font>
  <w:font w:name="Arial Narrow">
    <w:panose1 w:val="020B0606020202030204"/>
    <w:charset w:val="00"/>
    <w:family w:val="auto"/>
    <w:pitch w:val="default"/>
    <w:sig w:usb0="00000287" w:usb1="00000800" w:usb2="00000000" w:usb3="00000000" w:csb0="2000009F" w:csb1="DFD70000"/>
  </w:font>
  <w:font w:name="Bell MT">
    <w:panose1 w:val="02020503060305020303"/>
    <w:charset w:val="00"/>
    <w:family w:val="auto"/>
    <w:pitch w:val="default"/>
    <w:sig w:usb0="00000003" w:usb1="00000000" w:usb2="00000000" w:usb3="00000000" w:csb0="20000001" w:csb1="00000000"/>
  </w:font>
  <w:font w:name="Berlin Sans FB Demi">
    <w:panose1 w:val="020E0802020502020306"/>
    <w:charset w:val="00"/>
    <w:family w:val="auto"/>
    <w:pitch w:val="default"/>
    <w:sig w:usb0="00000003" w:usb1="00000000" w:usb2="00000000" w:usb3="00000000" w:csb0="20000001" w:csb1="00000000"/>
  </w:font>
  <w:font w:name="Bodoni MT">
    <w:panose1 w:val="02070603080606020203"/>
    <w:charset w:val="00"/>
    <w:family w:val="auto"/>
    <w:pitch w:val="default"/>
    <w:sig w:usb0="00000003" w:usb1="00000000" w:usb2="00000000" w:usb3="00000000" w:csb0="20000001" w:csb1="00000000"/>
  </w:font>
  <w:font w:name="Bookman Old Style">
    <w:panose1 w:val="02050604050505020204"/>
    <w:charset w:val="00"/>
    <w:family w:val="auto"/>
    <w:pitch w:val="default"/>
    <w:sig w:usb0="00000287" w:usb1="00000000" w:usb2="00000000" w:usb3="00000000" w:csb0="2000009F" w:csb1="DFD70000"/>
  </w:font>
  <w:font w:name="Britannic Bold">
    <w:panose1 w:val="020B0903060703020204"/>
    <w:charset w:val="00"/>
    <w:family w:val="auto"/>
    <w:pitch w:val="default"/>
    <w:sig w:usb0="00000003" w:usb1="00000000" w:usb2="00000000" w:usb3="00000000" w:csb0="20000001" w:csb1="00000000"/>
  </w:font>
  <w:font w:name="Brush Script MT">
    <w:panose1 w:val="03060802040406070304"/>
    <w:charset w:val="00"/>
    <w:family w:val="auto"/>
    <w:pitch w:val="default"/>
    <w:sig w:usb0="00000003" w:usb1="00000000" w:usb2="00000000" w:usb3="00000000" w:csb0="20000001" w:csb1="00000000"/>
  </w:font>
  <w:font w:name="Calisto MT">
    <w:panose1 w:val="02040603050505030304"/>
    <w:charset w:val="00"/>
    <w:family w:val="auto"/>
    <w:pitch w:val="default"/>
    <w:sig w:usb0="00000003" w:usb1="00000000" w:usb2="00000000" w:usb3="00000000" w:csb0="20000001" w:csb1="00000000"/>
  </w:font>
  <w:font w:name="Cambria Math">
    <w:panose1 w:val="02040503050406030204"/>
    <w:charset w:val="00"/>
    <w:family w:val="auto"/>
    <w:pitch w:val="default"/>
    <w:sig w:usb0="A00002EF" w:usb1="420020EB" w:usb2="00000000" w:usb3="00000000" w:csb0="2000009F" w:csb1="00000000"/>
  </w:font>
  <w:font w:name="Candara">
    <w:altName w:val="Segoe Print"/>
    <w:panose1 w:val="020E0502030303020204"/>
    <w:charset w:val="00"/>
    <w:family w:val="auto"/>
    <w:pitch w:val="default"/>
    <w:sig w:usb0="00000000" w:usb1="00000000" w:usb2="00000000" w:usb3="00000000" w:csb0="2000019F" w:csb1="00000000"/>
  </w:font>
  <w:font w:name="Californian FB">
    <w:panose1 w:val="0207040306080B030204"/>
    <w:charset w:val="00"/>
    <w:family w:val="auto"/>
    <w:pitch w:val="default"/>
    <w:sig w:usb0="00000003" w:usb1="00000000" w:usb2="00000000" w:usb3="00000000" w:csb0="20000001" w:csb1="00000000"/>
  </w:font>
  <w:font w:name="微软雅黑 Light">
    <w:altName w:val="黑体"/>
    <w:panose1 w:val="020B0502040204020203"/>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Malgun Gothic">
    <w:panose1 w:val="020B0503020000020004"/>
    <w:charset w:val="81"/>
    <w:family w:val="auto"/>
    <w:pitch w:val="default"/>
    <w:sig w:usb0="900002AF" w:usb1="01D77CFB" w:usb2="00000012" w:usb3="00000000" w:csb0="00080001" w:csb1="00000000"/>
  </w:font>
  <w:font w:name="PMingLiU-ExtB">
    <w:panose1 w:val="02020500000000000000"/>
    <w:charset w:val="88"/>
    <w:family w:val="auto"/>
    <w:pitch w:val="default"/>
    <w:sig w:usb0="8000002F" w:usb1="02000008" w:usb2="00000000" w:usb3="00000000" w:csb0="00100001" w:csb1="00000000"/>
  </w:font>
  <w:font w:name="TimesNewRoman">
    <w:altName w:val="Times New Roman"/>
    <w:panose1 w:val="00000000000000000000"/>
    <w:charset w:val="00"/>
    <w:family w:val="roman"/>
    <w:pitch w:val="default"/>
    <w:sig w:usb0="00000000" w:usb1="00000000" w:usb2="00000000" w:usb3="00000000" w:csb0="00000001" w:csb1="00000000"/>
  </w:font>
  <w:font w:name="Microsoft JhengHei">
    <w:panose1 w:val="020B0604030504040204"/>
    <w:charset w:val="88"/>
    <w:family w:val="auto"/>
    <w:pitch w:val="default"/>
    <w:sig w:usb0="00000087" w:usb1="28AF4000" w:usb2="00000016" w:usb3="00000000" w:csb0="00100009" w:csb1="00000000"/>
  </w:font>
  <w:font w:name="Meiryo UI">
    <w:panose1 w:val="020B0604030504040204"/>
    <w:charset w:val="80"/>
    <w:family w:val="auto"/>
    <w:pitch w:val="default"/>
    <w:sig w:usb0="E10102FF" w:usb1="EAC7FFFF" w:usb2="00010012" w:usb3="00000000" w:csb0="6002009F" w:csb1="DFD70000"/>
  </w:font>
  <w:font w:name="Bodoni MT Poster Compressed">
    <w:panose1 w:val="02070706080601050204"/>
    <w:charset w:val="00"/>
    <w:family w:val="auto"/>
    <w:pitch w:val="default"/>
    <w:sig w:usb0="00000003" w:usb1="00000000" w:usb2="00000000" w:usb3="00000000" w:csb0="20000011" w:csb1="00000000"/>
  </w:font>
  <w:font w:name="Segoe Print">
    <w:panose1 w:val="02000600000000000000"/>
    <w:charset w:val="00"/>
    <w:family w:val="auto"/>
    <w:pitch w:val="default"/>
    <w:sig w:usb0="0000028F" w:usb1="00000000" w:usb2="00000000" w:usb3="00000000" w:csb0="2000009F" w:csb1="47010000"/>
  </w:font>
  <w:font w:name="ˎ̥,Arial,Helvetica">
    <w:altName w:val="Times New Roman"/>
    <w:panose1 w:val="00000000000000000000"/>
    <w:charset w:val="00"/>
    <w:family w:val="roman"/>
    <w:pitch w:val="default"/>
    <w:sig w:usb0="00000000" w:usb1="00000000" w:usb2="00000000" w:usb3="00000000" w:csb0="00040001" w:csb1="00000000"/>
  </w:font>
  <w:font w:name="方正小标宋简体">
    <w:altName w:val="Arial Unicode MS"/>
    <w:panose1 w:val="00000000000000000000"/>
    <w:charset w:val="00"/>
    <w:family w:val="auto"/>
    <w:pitch w:val="default"/>
    <w:sig w:usb0="00000000" w:usb1="00000000" w:usb2="00000000" w:usb3="00000000" w:csb0="00000000" w:csb1="00000000"/>
  </w:font>
  <w:font w:name="Calibri">
    <w:altName w:val="Arial Rounded MT Bold"/>
    <w:panose1 w:val="020F0502020204030204"/>
    <w:charset w:val="86"/>
    <w:family w:val="swiss"/>
    <w:pitch w:val="default"/>
    <w:sig w:usb0="00000000" w:usb1="00000000" w:usb2="00000009" w:usb3="00000000" w:csb0="2000019F" w:csb1="00000000"/>
  </w:font>
  <w:font w:name="Times">
    <w:altName w:val="Times New Roman"/>
    <w:panose1 w:val="02020603050405020304"/>
    <w:charset w:val="00"/>
    <w:family w:val="roman"/>
    <w:pitch w:val="default"/>
    <w:sig w:usb0="00000000" w:usb1="00000000" w:usb2="00000008" w:usb3="00000000" w:csb0="000001FF" w:csb1="00000000"/>
  </w:font>
  <w:font w:name="����">
    <w:altName w:val="Times New Roman"/>
    <w:panose1 w:val="00000000000000000000"/>
    <w:charset w:val="00"/>
    <w:family w:val="roman"/>
    <w:pitch w:val="default"/>
    <w:sig w:usb0="00000000" w:usb1="00000000" w:usb2="00000000" w:usb3="00000000" w:csb0="00040001" w:csb1="00000000"/>
  </w:font>
  <w:font w:name="汉仪旗黑-55">
    <w:altName w:val="黑体"/>
    <w:panose1 w:val="00020600040101010101"/>
    <w:charset w:val="86"/>
    <w:family w:val="auto"/>
    <w:pitch w:val="default"/>
    <w:sig w:usb0="00000000" w:usb1="00000000" w:usb2="00000016"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Malgun Gothic Semilight">
    <w:altName w:val="宋体"/>
    <w:panose1 w:val="020B0502040204020203"/>
    <w:charset w:val="86"/>
    <w:family w:val="auto"/>
    <w:pitch w:val="default"/>
    <w:sig w:usb0="00000000" w:usb1="00000000" w:usb2="00000012" w:usb3="00000000" w:csb0="203E01BD" w:csb1="D7FF0000"/>
  </w:font>
  <w:font w:name="ˎ̥">
    <w:altName w:val="Times New Roman"/>
    <w:panose1 w:val="00000000000000000000"/>
    <w:charset w:val="00"/>
    <w:family w:val="roman"/>
    <w:pitch w:val="default"/>
    <w:sig w:usb0="00000000" w:usb1="00000000" w:usb2="00000000" w:usb3="00000000" w:csb0="00000000" w:csb1="00000000"/>
  </w:font>
  <w:font w:name="宋体_x0004_fal">
    <w:altName w:val="Arial Unicode MS"/>
    <w:panose1 w:val="02010600030101010101"/>
    <w:charset w:val="86"/>
    <w:family w:val="auto"/>
    <w:pitch w:val="default"/>
    <w:sig w:usb0="00000000" w:usb1="00000000" w:usb2="00000010" w:usb3="00000000" w:csb0="00040000" w:csb1="00000000"/>
  </w:font>
  <w:font w:name="Tms Rmn">
    <w:altName w:val="Times New Roman"/>
    <w:panose1 w:val="02020603040505020304"/>
    <w:charset w:val="00"/>
    <w:family w:val="roman"/>
    <w:pitch w:val="default"/>
    <w:sig w:usb0="00000000" w:usb1="00000000" w:usb2="00000000" w:usb3="00000000" w:csb0="00000001" w:csb1="00000000"/>
  </w:font>
  <w:font w:name="方正仿宋简体">
    <w:altName w:val="微软雅黑"/>
    <w:panose1 w:val="03000509000000000000"/>
    <w:charset w:val="86"/>
    <w:family w:val="script"/>
    <w:pitch w:val="default"/>
    <w:sig w:usb0="00000000" w:usb1="00000000" w:usb2="00000010" w:usb3="00000000" w:csb0="00040000" w:csb1="00000000"/>
  </w:font>
  <w:font w:name="方正宋黑简体">
    <w:altName w:val="宋体"/>
    <w:panose1 w:val="00000000000000000000"/>
    <w:charset w:val="86"/>
    <w:family w:val="auto"/>
    <w:pitch w:val="default"/>
    <w:sig w:usb0="00000000" w:usb1="00000000" w:usb2="00000010" w:usb3="00000000" w:csb0="00040000" w:csb1="00000000"/>
  </w:font>
  <w:font w:name="方正大黑_GBK">
    <w:altName w:val="黑体"/>
    <w:panose1 w:val="00000000000000000000"/>
    <w:charset w:val="86"/>
    <w:family w:val="script"/>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0" w:usb3="00000000" w:csb0="00060007" w:csb1="00000000"/>
  </w:font>
  <w:font w:name="KTJ+ZBSJHj-1">
    <w:altName w:val="Times New Roman"/>
    <w:panose1 w:val="00000000000000000000"/>
    <w:charset w:val="00"/>
    <w:family w:val="auto"/>
    <w:pitch w:val="default"/>
    <w:sig w:usb0="00000000" w:usb1="00000000" w:usb2="00000000" w:usb3="00000000" w:csb0="00040001" w:csb1="00000000"/>
  </w:font>
  <w:font w:name="Mangal">
    <w:panose1 w:val="02040503050203030202"/>
    <w:charset w:val="00"/>
    <w:family w:val="roman"/>
    <w:pitch w:val="default"/>
    <w:sig w:usb0="00008003" w:usb1="00000000" w:usb2="00000000" w:usb3="00000000" w:csb0="00000001" w:csb1="00000000"/>
  </w:font>
  <w:font w:name="monospace">
    <w:altName w:val="Latha"/>
    <w:panose1 w:val="00000000000000000000"/>
    <w:charset w:val="00"/>
    <w:family w:val="auto"/>
    <w:pitch w:val="default"/>
    <w:sig w:usb0="00000000" w:usb1="00000000" w:usb2="00000000" w:usb3="00000000" w:csb0="00040001" w:csb1="00000000"/>
  </w:font>
  <w:font w:name="Latha">
    <w:panose1 w:val="020B0604020202020204"/>
    <w:charset w:val="00"/>
    <w:family w:val="auto"/>
    <w:pitch w:val="default"/>
    <w:sig w:usb0="00100003" w:usb1="00000000" w:usb2="00000000" w:usb3="00000000" w:csb0="00000001" w:csb1="00000000"/>
  </w:font>
  <w:font w:name="等线">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PingFang SC">
    <w:altName w:val="Segoe Print"/>
    <w:panose1 w:val="00000000000000000000"/>
    <w:charset w:val="00"/>
    <w:family w:val="auto"/>
    <w:pitch w:val="default"/>
    <w:sig w:usb0="00000000" w:usb1="00000000" w:usb2="00000000" w:usb3="00000000" w:csb0="00000000" w:csb1="00000000"/>
  </w:font>
  <w:font w:name="FZFSK--GBK1-0">
    <w:altName w:val="宋体"/>
    <w:panose1 w:val="00000000000000000000"/>
    <w:charset w:val="86"/>
    <w:family w:val="auto"/>
    <w:pitch w:val="default"/>
    <w:sig w:usb0="00000000" w:usb1="00000000" w:usb2="00000010" w:usb3="00000000" w:csb0="00040000" w:csb1="00000000"/>
  </w:font>
  <w:font w:name="Dotum">
    <w:panose1 w:val="020B0600000101010101"/>
    <w:charset w:val="81"/>
    <w:family w:val="swiss"/>
    <w:pitch w:val="default"/>
    <w:sig w:usb0="B00002AF" w:usb1="69D77CFB" w:usb2="00000030" w:usb3="00000000" w:csb0="4008009F" w:csb1="DFD70000"/>
  </w:font>
  <w:font w:name="方正楷体简体">
    <w:altName w:val="Arial Unicode MS"/>
    <w:panose1 w:val="00000000000000000000"/>
    <w:charset w:val="86"/>
    <w:family w:val="auto"/>
    <w:pitch w:val="default"/>
    <w:sig w:usb0="00000000" w:usb1="00000000" w:usb2="00000010" w:usb3="00000000" w:csb0="00040000" w:csb1="00000000"/>
  </w:font>
  <w:font w:name="Lingoes Unicode">
    <w:altName w:val="宋体"/>
    <w:panose1 w:val="020B0604020202020204"/>
    <w:charset w:val="86"/>
    <w:family w:val="swiss"/>
    <w:pitch w:val="default"/>
    <w:sig w:usb0="00000000" w:usb1="00000000" w:usb2="00000010" w:usb3="00000000" w:csb0="003E019F" w:csb1="00000000"/>
  </w:font>
  <w:font w:name="Gulim">
    <w:panose1 w:val="020B0600000101010101"/>
    <w:charset w:val="81"/>
    <w:family w:val="auto"/>
    <w:pitch w:val="default"/>
    <w:sig w:usb0="B00002AF" w:usb1="69D77CFB" w:usb2="00000030" w:usb3="00000000" w:csb0="4008009F" w:csb1="DFD70000"/>
  </w:font>
  <w:font w:name="Meiryo">
    <w:panose1 w:val="020B0604030504040204"/>
    <w:charset w:val="80"/>
    <w:family w:val="auto"/>
    <w:pitch w:val="default"/>
    <w:sig w:usb0="E10102FF" w:usb1="EAC7FFFF" w:usb2="00010012" w:usb3="00000000" w:csb0="6002009F" w:csb1="DFD70000"/>
  </w:font>
  <w:font w:name="GulimChe">
    <w:panose1 w:val="020B0609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Yu Gothic UI">
    <w:altName w:val="Meiryo UI"/>
    <w:panose1 w:val="020B0500000000000000"/>
    <w:charset w:val="80"/>
    <w:family w:val="auto"/>
    <w:pitch w:val="default"/>
    <w:sig w:usb0="00000000" w:usb1="00000000" w:usb2="00000016" w:usb3="00000000" w:csb0="2002009F" w:csb1="00000000"/>
  </w:font>
  <w:font w:name="Microsoft Sans Serif">
    <w:panose1 w:val="020B0604020202020204"/>
    <w:charset w:val="00"/>
    <w:family w:val="auto"/>
    <w:pitch w:val="default"/>
    <w:sig w:usb0="E1002AFF" w:usb1="C0000002" w:usb2="00000008" w:usb3="00000000" w:csb0="200101FF" w:csb1="20280000"/>
  </w:font>
  <w:font w:name="方正黑体简体">
    <w:altName w:val="Arial Unicode MS"/>
    <w:panose1 w:val="02010601030101010101"/>
    <w:charset w:val="86"/>
    <w:family w:val="auto"/>
    <w:pitch w:val="default"/>
    <w:sig w:usb0="00000000" w:usb1="00000000" w:usb2="00000010" w:usb3="00000000" w:csb0="00040000" w:csb1="00000000"/>
  </w:font>
  <w:font w:name="Book Antiqua">
    <w:panose1 w:val="02040602050305030304"/>
    <w:charset w:val="00"/>
    <w:family w:val="roman"/>
    <w:pitch w:val="default"/>
    <w:sig w:usb0="00000287" w:usb1="00000000" w:usb2="00000000" w:usb3="00000000" w:csb0="2000009F" w:csb1="DFD7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snapToGrid w:val="0"/>
      <w:jc w:val="right"/>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 </w:t>
    </w: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w:pict>
        <v:shape id="_x0000_s4099" o:spid="_x0000_s4099" o:spt="202" type="#_x0000_t202" style="position:absolute;left:0pt;margin-left:-56.8pt;margin-top:-32.55pt;height:67.5pt;width:30.75pt;z-index:251658240;mso-width-relative:page;mso-height-relative:page;" filled="f" stroked="f" coordsize="21600,21600">
          <v:path/>
          <v:fill on="f" focussize="0,0"/>
          <v:stroke on="f"/>
          <v:imagedata o:title=""/>
          <o:lock v:ext="edit" aspectratio="f"/>
          <v:textbox style="layout-flow:vertical-ideographic;">
            <w:txbxContent>
              <w:p>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100" o:spid="_x0000_s4100" o:spt="202" type="#_x0000_t202" style="position:absolute;left:0pt;margin-left:-59.8pt;margin-top:-455.3pt;height:67.5pt;width:35.25pt;z-index:251659264;mso-width-relative:page;mso-height-relative:page;" filled="f" stroked="f" coordsize="21600,21600">
          <v:path/>
          <v:fill on="f" focussize="0,0"/>
          <v:stroke on="f"/>
          <v:imagedata o:title=""/>
          <o:lock v:ext="edit" aspectratio="f"/>
          <v:textbox style="layout-flow:vertical-ideographic;">
            <w:txbxContent>
              <w:p>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24993"/>
    <w:rsid w:val="00016844"/>
    <w:rsid w:val="00031B29"/>
    <w:rsid w:val="00084E00"/>
    <w:rsid w:val="00087BA4"/>
    <w:rsid w:val="00121DB8"/>
    <w:rsid w:val="00172F8E"/>
    <w:rsid w:val="00196911"/>
    <w:rsid w:val="00262475"/>
    <w:rsid w:val="002663E3"/>
    <w:rsid w:val="002866DD"/>
    <w:rsid w:val="002D1594"/>
    <w:rsid w:val="002F65B6"/>
    <w:rsid w:val="003109D0"/>
    <w:rsid w:val="00315DC8"/>
    <w:rsid w:val="003629F3"/>
    <w:rsid w:val="004120FA"/>
    <w:rsid w:val="00416FF2"/>
    <w:rsid w:val="00427BCA"/>
    <w:rsid w:val="00436DDA"/>
    <w:rsid w:val="00463CCF"/>
    <w:rsid w:val="004E5A81"/>
    <w:rsid w:val="004F067F"/>
    <w:rsid w:val="005235F1"/>
    <w:rsid w:val="00530E51"/>
    <w:rsid w:val="00586F4C"/>
    <w:rsid w:val="005F50A6"/>
    <w:rsid w:val="00674C58"/>
    <w:rsid w:val="006C555E"/>
    <w:rsid w:val="006E1174"/>
    <w:rsid w:val="00722017"/>
    <w:rsid w:val="0076502D"/>
    <w:rsid w:val="00791FCC"/>
    <w:rsid w:val="007C32A2"/>
    <w:rsid w:val="0084588B"/>
    <w:rsid w:val="00864D2B"/>
    <w:rsid w:val="00871361"/>
    <w:rsid w:val="008B0B14"/>
    <w:rsid w:val="008F452B"/>
    <w:rsid w:val="00917492"/>
    <w:rsid w:val="009262E9"/>
    <w:rsid w:val="009A4176"/>
    <w:rsid w:val="009A547A"/>
    <w:rsid w:val="009E6492"/>
    <w:rsid w:val="00A739D9"/>
    <w:rsid w:val="00AC0094"/>
    <w:rsid w:val="00B46248"/>
    <w:rsid w:val="00B73679"/>
    <w:rsid w:val="00C93187"/>
    <w:rsid w:val="00D3638F"/>
    <w:rsid w:val="00E10690"/>
    <w:rsid w:val="00E24993"/>
    <w:rsid w:val="00E75708"/>
    <w:rsid w:val="00EA68D0"/>
    <w:rsid w:val="00F460C7"/>
    <w:rsid w:val="00F56931"/>
    <w:rsid w:val="00F66335"/>
    <w:rsid w:val="00F81F50"/>
    <w:rsid w:val="00F87DC0"/>
    <w:rsid w:val="00FC7575"/>
    <w:rsid w:val="0A1F421E"/>
    <w:rsid w:val="12923D42"/>
    <w:rsid w:val="18AC597A"/>
    <w:rsid w:val="1CED3311"/>
    <w:rsid w:val="1E1874E5"/>
    <w:rsid w:val="38DF7551"/>
    <w:rsid w:val="3D12444F"/>
    <w:rsid w:val="45F62324"/>
    <w:rsid w:val="4DE43CBD"/>
    <w:rsid w:val="52731F1C"/>
    <w:rsid w:val="673974CC"/>
    <w:rsid w:val="70AF0EE3"/>
    <w:rsid w:val="72FB4B18"/>
    <w:rsid w:val="748A5AB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8">
    <w:name w:val="网格型1"/>
    <w:basedOn w:val="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9">
    <w:name w:val="页眉 Char"/>
    <w:basedOn w:val="5"/>
    <w:link w:val="4"/>
    <w:qFormat/>
    <w:uiPriority w:val="99"/>
    <w:rPr>
      <w:sz w:val="18"/>
      <w:szCs w:val="18"/>
    </w:rPr>
  </w:style>
  <w:style w:type="character" w:customStyle="1" w:styleId="10">
    <w:name w:val="页脚 Char"/>
    <w:basedOn w:val="5"/>
    <w:link w:val="3"/>
    <w:qFormat/>
    <w:uiPriority w:val="99"/>
    <w:rPr>
      <w:sz w:val="18"/>
      <w:szCs w:val="18"/>
    </w:rPr>
  </w:style>
  <w:style w:type="character" w:customStyle="1" w:styleId="11">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2691</Words>
  <Characters>15341</Characters>
  <Lines>127</Lines>
  <Paragraphs>35</Paragraphs>
  <ScaleCrop>false</ScaleCrop>
  <LinksUpToDate>false</LinksUpToDate>
  <CharactersWithSpaces>17997</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2018-01-26T08:16:00Z</dcterms:created>
  <dc:creator>Administrator</dc:creator>
  <cp:lastModifiedBy>市安监局办公室</cp:lastModifiedBy>
  <cp:lastPrinted>2018-03-05T06:04:00Z</cp:lastPrinted>
  <dcterms:modified xsi:type="dcterms:W3CDTF">2018-03-05T09:45:47Z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