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天津市市场监督管理轻微免罚清单</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本清单适用《中华人民共和国行政处罚法》第三十三条</w:t>
      </w:r>
      <w:r>
        <w:rPr>
          <w:rFonts w:hint="eastAsia" w:ascii="仿宋_GB2312" w:hAnsi="仿宋_GB2312" w:eastAsia="仿宋_GB2312" w:cs="仿宋_GB2312"/>
          <w:sz w:val="24"/>
          <w:lang w:eastAsia="zh-CN"/>
        </w:rPr>
        <w:t>第一款</w:t>
      </w:r>
      <w:r>
        <w:rPr>
          <w:rFonts w:hint="eastAsia" w:ascii="仿宋_GB2312" w:hAnsi="仿宋_GB2312" w:eastAsia="仿宋_GB2312" w:cs="仿宋_GB2312"/>
          <w:sz w:val="24"/>
        </w:rPr>
        <w:t>规定的“违法行为轻微并及时改正，没有造成危害后果的，不予行政处罚”的情形。</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378"/>
        <w:gridCol w:w="7938"/>
        <w:gridCol w:w="3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tcPr>
          <w:p>
            <w:pPr>
              <w:jc w:val="center"/>
              <w:rPr>
                <w:rFonts w:ascii="黑体" w:hAnsi="黑体" w:eastAsia="黑体" w:cs="黑体"/>
                <w:kern w:val="0"/>
                <w:sz w:val="24"/>
              </w:rPr>
            </w:pPr>
            <w:r>
              <w:rPr>
                <w:rFonts w:hint="eastAsia" w:ascii="黑体" w:hAnsi="黑体" w:eastAsia="黑体" w:cs="黑体"/>
                <w:kern w:val="0"/>
                <w:sz w:val="24"/>
              </w:rPr>
              <w:t>序号</w:t>
            </w:r>
          </w:p>
        </w:tc>
        <w:tc>
          <w:tcPr>
            <w:tcW w:w="2378" w:type="dxa"/>
          </w:tcPr>
          <w:p>
            <w:pPr>
              <w:jc w:val="center"/>
              <w:rPr>
                <w:rFonts w:ascii="黑体" w:hAnsi="黑体" w:eastAsia="黑体" w:cs="黑体"/>
                <w:kern w:val="0"/>
                <w:sz w:val="24"/>
              </w:rPr>
            </w:pPr>
            <w:r>
              <w:rPr>
                <w:rFonts w:hint="eastAsia" w:ascii="黑体" w:hAnsi="黑体" w:eastAsia="黑体" w:cs="黑体"/>
                <w:kern w:val="0"/>
                <w:sz w:val="24"/>
              </w:rPr>
              <w:t>违法行为类型</w:t>
            </w:r>
          </w:p>
        </w:tc>
        <w:tc>
          <w:tcPr>
            <w:tcW w:w="7938" w:type="dxa"/>
          </w:tcPr>
          <w:p>
            <w:pPr>
              <w:jc w:val="center"/>
              <w:rPr>
                <w:rFonts w:ascii="黑体" w:hAnsi="黑体" w:eastAsia="黑体" w:cs="黑体"/>
                <w:kern w:val="0"/>
                <w:sz w:val="24"/>
              </w:rPr>
            </w:pPr>
            <w:r>
              <w:rPr>
                <w:rFonts w:hint="eastAsia" w:ascii="黑体" w:hAnsi="黑体" w:eastAsia="黑体" w:cs="黑体"/>
                <w:kern w:val="0"/>
                <w:sz w:val="24"/>
              </w:rPr>
              <w:t>处罚依据</w:t>
            </w:r>
          </w:p>
        </w:tc>
        <w:tc>
          <w:tcPr>
            <w:tcW w:w="3151" w:type="dxa"/>
          </w:tcPr>
          <w:p>
            <w:pPr>
              <w:jc w:val="center"/>
              <w:rPr>
                <w:rFonts w:ascii="黑体" w:hAnsi="黑体" w:eastAsia="黑体" w:cs="黑体"/>
                <w:kern w:val="0"/>
                <w:sz w:val="24"/>
              </w:rPr>
            </w:pPr>
            <w:r>
              <w:rPr>
                <w:rFonts w:hint="eastAsia" w:ascii="黑体" w:hAnsi="黑体" w:eastAsia="黑体" w:cs="黑体"/>
                <w:kern w:val="0"/>
                <w:sz w:val="24"/>
              </w:rPr>
              <w:t>免罚条件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w:t>
            </w:r>
          </w:p>
        </w:tc>
        <w:tc>
          <w:tcPr>
            <w:tcW w:w="2378" w:type="dxa"/>
            <w:vAlign w:val="center"/>
          </w:tcPr>
          <w:p>
            <w:pPr>
              <w:pStyle w:val="2"/>
              <w:ind w:left="0" w:leftChars="0" w:firstLine="0" w:firstLineChars="0"/>
              <w:rPr>
                <w:rFonts w:hint="eastAsia"/>
              </w:rPr>
            </w:pPr>
            <w:r>
              <w:rPr>
                <w:rFonts w:hint="eastAsia"/>
              </w:rPr>
              <w:t>广告中使用的引证内容未表明出处</w:t>
            </w:r>
          </w:p>
          <w:p>
            <w:pPr>
              <w:rPr>
                <w:rFonts w:hint="eastAsia"/>
                <w:lang w:eastAsia="zh-CN"/>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《中华人民共和国广告法》第十一条第二款  广告使用数据、统计资料、调查结果、文摘、引用语等引证内容的，应当真实、准确，并表明出处。引证内容有适用范围和有效期限的，应当明确表示。</w:t>
            </w:r>
          </w:p>
          <w:p>
            <w:pPr>
              <w:pStyle w:val="2"/>
              <w:ind w:left="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第五十九条第一款第二项  有下列行为之一的，由市场监督管理部门责令停止发布广告，对广告主处十万元以下的罚款：（二）广告引证内容违反本法第十一条规定的；</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lang w:val="en"/>
              </w:rPr>
              <w:t>．</w:t>
            </w:r>
            <w:r>
              <w:rPr>
                <w:rFonts w:hint="eastAsia" w:ascii="仿宋_GB2312" w:hAnsi="仿宋_GB2312" w:eastAsia="仿宋_GB2312" w:cs="仿宋_GB2312"/>
                <w:kern w:val="2"/>
                <w:sz w:val="24"/>
                <w:szCs w:val="24"/>
              </w:rPr>
              <w:t>涉案广告引证内容合法有据；</w:t>
            </w:r>
          </w:p>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2</w:t>
            </w:r>
            <w:r>
              <w:rPr>
                <w:rFonts w:hint="eastAsia" w:ascii="仿宋_GB2312" w:hAnsi="仿宋_GB2312" w:eastAsia="仿宋_GB2312" w:cs="仿宋_GB2312"/>
                <w:kern w:val="2"/>
                <w:sz w:val="24"/>
                <w:szCs w:val="24"/>
                <w:lang w:val="en"/>
              </w:rPr>
              <w:t>．</w:t>
            </w: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2378" w:type="dxa"/>
            <w:vAlign w:val="center"/>
          </w:tcPr>
          <w:p>
            <w:pPr>
              <w:pStyle w:val="2"/>
              <w:ind w:left="0" w:leftChars="0" w:firstLine="0" w:firstLineChars="0"/>
              <w:rPr>
                <w:rFonts w:hint="eastAsia"/>
              </w:rPr>
            </w:pPr>
            <w:r>
              <w:rPr>
                <w:rFonts w:hint="eastAsia"/>
              </w:rPr>
              <w:t>广告中涉及专利产品或者专利方法，未标明专利号和专利种类</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《中华人民共和国广告法》第十二条第一款  广告中涉及专利产品或者专利方法的，应当标明专利号和专利种类。</w:t>
            </w:r>
          </w:p>
          <w:p>
            <w:pPr>
              <w:pStyle w:val="2"/>
              <w:ind w:left="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第五十九条第一款第三项  有下列行为之一的，由市场监督管理部门责令停止发布广告，对广告主处十万元以下的罚款：（三）涉及专利的广告违反本法第十二条规定的；</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0"/>
                <w:sz w:val="24"/>
                <w:szCs w:val="24"/>
                <w:lang w:val="en"/>
              </w:rPr>
              <w:t>.</w:t>
            </w:r>
            <w:r>
              <w:rPr>
                <w:rFonts w:hint="eastAsia" w:ascii="仿宋_GB2312" w:hAnsi="仿宋_GB2312" w:eastAsia="仿宋_GB2312" w:cs="仿宋_GB2312"/>
                <w:kern w:val="2"/>
                <w:sz w:val="24"/>
                <w:szCs w:val="24"/>
              </w:rPr>
              <w:t>具备合法有效专利证明；</w:t>
            </w:r>
          </w:p>
          <w:p>
            <w:pPr>
              <w:rPr>
                <w:rFonts w:hint="eastAsia" w:ascii="仿宋_GB2312" w:hAnsi="仿宋_GB2312" w:eastAsia="仿宋_GB2312" w:cs="仿宋_GB2312"/>
                <w:kern w:val="0"/>
                <w:sz w:val="24"/>
                <w:szCs w:val="24"/>
                <w:lang w:val="en"/>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2"/>
                <w:sz w:val="24"/>
                <w:szCs w:val="24"/>
              </w:rPr>
              <w:t xml:space="preserve"> 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2378" w:type="dxa"/>
            <w:vAlign w:val="center"/>
          </w:tcPr>
          <w:p>
            <w:pPr>
              <w:pStyle w:val="2"/>
              <w:ind w:left="0" w:leftChars="0" w:firstLine="0" w:firstLineChars="0"/>
              <w:rPr>
                <w:rFonts w:hint="eastAsia"/>
              </w:rPr>
            </w:pPr>
            <w:r>
              <w:rPr>
                <w:rFonts w:hint="eastAsia"/>
              </w:rPr>
              <w:t>发布农药广告未将广告批准文号列为广告内容同时发布</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《农药广告审查发布规定》第十一条  农药广告的批准文号应当列为广告内容同时发布。</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《农药广告审查发布规定》第十三条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lang w:val="en"/>
              </w:rPr>
              <w:t>．</w:t>
            </w:r>
            <w:r>
              <w:rPr>
                <w:rFonts w:hint="eastAsia" w:ascii="仿宋_GB2312" w:hAnsi="仿宋_GB2312" w:eastAsia="仿宋_GB2312" w:cs="仿宋_GB2312"/>
                <w:kern w:val="2"/>
                <w:sz w:val="24"/>
                <w:szCs w:val="24"/>
              </w:rPr>
              <w:t>已取得广告批准文号；</w:t>
            </w:r>
          </w:p>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2</w:t>
            </w:r>
            <w:r>
              <w:rPr>
                <w:rFonts w:hint="eastAsia" w:ascii="仿宋_GB2312" w:hAnsi="仿宋_GB2312" w:eastAsia="仿宋_GB2312" w:cs="仿宋_GB2312"/>
                <w:kern w:val="2"/>
                <w:sz w:val="24"/>
                <w:szCs w:val="24"/>
                <w:lang w:val="en"/>
              </w:rPr>
              <w:t>．</w:t>
            </w: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2378" w:type="dxa"/>
            <w:vAlign w:val="center"/>
          </w:tcPr>
          <w:p>
            <w:pPr>
              <w:pStyle w:val="2"/>
              <w:ind w:left="0" w:leftChars="0" w:firstLine="0" w:firstLineChars="0"/>
              <w:rPr>
                <w:rFonts w:hint="eastAsia"/>
              </w:rPr>
            </w:pPr>
            <w:r>
              <w:rPr>
                <w:rFonts w:hint="eastAsia"/>
              </w:rPr>
              <w:t>发布兽药广告未将广告批准文号列为广告内容同时发布</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《兽药广告审查发布规定》第十条  兽药广告的批准文号应当列为广告内容同时发布。</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《兽药广告审查发布规定》第十二条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lang w:val="en"/>
              </w:rPr>
              <w:t>．</w:t>
            </w:r>
            <w:r>
              <w:rPr>
                <w:rFonts w:hint="eastAsia" w:ascii="仿宋_GB2312" w:hAnsi="仿宋_GB2312" w:eastAsia="仿宋_GB2312" w:cs="仿宋_GB2312"/>
                <w:kern w:val="2"/>
                <w:sz w:val="24"/>
                <w:szCs w:val="24"/>
              </w:rPr>
              <w:t>已取得广告批准文号；</w:t>
            </w:r>
          </w:p>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2</w:t>
            </w:r>
            <w:r>
              <w:rPr>
                <w:rFonts w:hint="eastAsia" w:ascii="仿宋_GB2312" w:hAnsi="仿宋_GB2312" w:eastAsia="仿宋_GB2312" w:cs="仿宋_GB2312"/>
                <w:kern w:val="2"/>
                <w:sz w:val="24"/>
                <w:szCs w:val="24"/>
                <w:lang w:val="en"/>
              </w:rPr>
              <w:t>．</w:t>
            </w: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2378" w:type="dxa"/>
            <w:vAlign w:val="center"/>
          </w:tcPr>
          <w:p>
            <w:pPr>
              <w:pStyle w:val="2"/>
              <w:ind w:left="0" w:leftChars="0" w:firstLine="0" w:firstLineChars="0"/>
              <w:rPr>
                <w:rFonts w:hint="eastAsia"/>
                <w:lang w:eastAsia="zh-CN"/>
              </w:rPr>
            </w:pPr>
            <w:r>
              <w:rPr>
                <w:rFonts w:hint="eastAsia"/>
                <w:lang w:eastAsia="zh-CN"/>
              </w:rPr>
              <w:t>广告中未全部明示附带赠送商品或服务的品种、规格、数量、期限和方式</w:t>
            </w:r>
          </w:p>
          <w:p>
            <w:pPr>
              <w:rPr>
                <w:rFonts w:hint="eastAsia"/>
                <w:lang w:eastAsia="zh-CN"/>
              </w:rPr>
            </w:pPr>
          </w:p>
        </w:tc>
        <w:tc>
          <w:tcPr>
            <w:tcW w:w="7938"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《中华人民共和国广告法》第八条第二款  广告中表明推销的商品或者服务附带赠送的，应当明示所附带赠送商品或者服务的品种、规格、数量、期限和方式。                                                  </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第五十九条</w:t>
            </w:r>
            <w:r>
              <w:rPr>
                <w:rFonts w:hint="eastAsia" w:ascii="仿宋_GB2312" w:hAnsi="仿宋_GB2312" w:eastAsia="仿宋_GB2312" w:cs="仿宋_GB2312"/>
                <w:color w:val="auto"/>
                <w:spacing w:val="0"/>
                <w:w w:val="100"/>
                <w:kern w:val="2"/>
                <w:sz w:val="24"/>
                <w:szCs w:val="24"/>
                <w:highlight w:val="none"/>
                <w:lang w:eastAsia="zh-CN" w:bidi="ar"/>
              </w:rPr>
              <w:t>第一款第一项</w:t>
            </w:r>
            <w:r>
              <w:rPr>
                <w:rFonts w:hint="eastAsia" w:ascii="仿宋_GB2312" w:hAnsi="仿宋_GB2312" w:eastAsia="仿宋_GB2312" w:cs="仿宋_GB2312"/>
                <w:sz w:val="24"/>
                <w:szCs w:val="24"/>
              </w:rPr>
              <w:t xml:space="preserve">  有下列行为之一的，由市场监督管理部门责令停止发布广告，对广告主处十万元以下的罚款：（一）广告内容违反本法第八条规定的；</w:t>
            </w:r>
          </w:p>
        </w:tc>
        <w:tc>
          <w:tcPr>
            <w:tcW w:w="3151"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1.附带赠送的行为已实施，消费者</w:t>
            </w:r>
            <w:r>
              <w:rPr>
                <w:rFonts w:hint="eastAsia" w:ascii="仿宋_GB2312" w:hAnsi="仿宋_GB2312" w:eastAsia="仿宋_GB2312" w:cs="仿宋_GB2312"/>
                <w:sz w:val="24"/>
                <w:szCs w:val="24"/>
                <w:lang w:eastAsia="zh-CN"/>
              </w:rPr>
              <w:t>未投诉，或者</w:t>
            </w:r>
            <w:r>
              <w:rPr>
                <w:rFonts w:hint="eastAsia" w:ascii="仿宋_GB2312" w:hAnsi="仿宋_GB2312" w:eastAsia="仿宋_GB2312" w:cs="仿宋_GB2312"/>
                <w:color w:val="auto"/>
                <w:spacing w:val="0"/>
                <w:w w:val="100"/>
                <w:kern w:val="2"/>
                <w:sz w:val="24"/>
                <w:szCs w:val="24"/>
                <w:highlight w:val="none"/>
                <w:lang w:bidi="ar"/>
              </w:rPr>
              <w:t>附带赠送的行为尚未实施</w:t>
            </w:r>
            <w:r>
              <w:rPr>
                <w:rFonts w:hint="eastAsia" w:ascii="仿宋_GB2312" w:hAnsi="仿宋_GB2312" w:eastAsia="仿宋_GB2312" w:cs="仿宋_GB2312"/>
                <w:sz w:val="24"/>
                <w:szCs w:val="24"/>
              </w:rPr>
              <w:t>；</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2378" w:type="dxa"/>
            <w:vAlign w:val="center"/>
          </w:tcPr>
          <w:p>
            <w:pPr>
              <w:pStyle w:val="2"/>
              <w:ind w:left="0" w:leftChars="0" w:firstLine="0" w:firstLineChars="0"/>
              <w:rPr>
                <w:rFonts w:hint="eastAsia"/>
                <w:lang w:eastAsia="zh-CN"/>
              </w:rPr>
            </w:pPr>
            <w:r>
              <w:rPr>
                <w:rFonts w:hint="eastAsia"/>
                <w:lang w:eastAsia="zh-CN"/>
              </w:rPr>
              <w:t>发布含有链接的互联网广告，广告主未核对下一级链接中与前端广告相关的广告内容</w:t>
            </w:r>
          </w:p>
          <w:p>
            <w:pPr>
              <w:rPr>
                <w:rFonts w:hint="eastAsia"/>
                <w:lang w:eastAsia="zh-CN"/>
              </w:rPr>
            </w:pPr>
          </w:p>
        </w:tc>
        <w:tc>
          <w:tcPr>
            <w:tcW w:w="7938"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《互联网广告管理办法》第十八条 发布含有链接的互联网广告，广告主、广告经营者和广告发布者应当核对下一级链接中与前端广告相关的广告内容。</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第二十八条第二款  违反本办法第十三条第四款、第十五条、第十八条规定，广告主未按规定建立广告档案，或者未对广告内容进行核对的，由县级以上市场监督管理部门责令改正，可以处五万元以下的罚款。</w:t>
            </w:r>
          </w:p>
          <w:p>
            <w:pPr>
              <w:rPr>
                <w:rFonts w:hint="eastAsia" w:ascii="仿宋_GB2312" w:hAnsi="仿宋_GB2312" w:eastAsia="仿宋_GB2312" w:cs="仿宋_GB2312"/>
                <w:sz w:val="24"/>
                <w:szCs w:val="24"/>
              </w:rPr>
            </w:pPr>
          </w:p>
        </w:tc>
        <w:tc>
          <w:tcPr>
            <w:tcW w:w="3151"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w:t>
            </w:r>
          </w:p>
        </w:tc>
        <w:tc>
          <w:tcPr>
            <w:tcW w:w="2378" w:type="dxa"/>
            <w:vAlign w:val="center"/>
          </w:tcPr>
          <w:p>
            <w:pPr>
              <w:pStyle w:val="2"/>
              <w:ind w:left="0" w:leftChars="0" w:firstLine="0" w:firstLineChars="0"/>
              <w:rPr>
                <w:rFonts w:hint="eastAsia"/>
                <w:lang w:eastAsia="zh-CN"/>
              </w:rPr>
            </w:pPr>
            <w:r>
              <w:rPr>
                <w:rFonts w:hint="eastAsia"/>
                <w:lang w:eastAsia="zh-CN"/>
              </w:rPr>
              <w:t>广告经营者、广告发布者发布医疗广告，未查验《医疗广告审查证明》，未核实广告内容</w:t>
            </w:r>
          </w:p>
          <w:p>
            <w:pPr>
              <w:rPr>
                <w:rFonts w:hint="eastAsia"/>
                <w:lang w:eastAsia="zh-CN"/>
              </w:rPr>
            </w:pPr>
          </w:p>
        </w:tc>
        <w:tc>
          <w:tcPr>
            <w:tcW w:w="7938"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《医疗广告管理办法》第十八条　广告经营者、广告发布者发布医疗广告，应当由其广告审查员查验《医疗广告审查证明》，核实广告内容。</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第二十二条　工商行政管理机关对违反本办法规定的广告主、广告经营者、广告发布者依据《广告法》、《反不正当竞争法》予以处罚，对情节严重，造成严重后果的，可以并处一至六个月暂停发布医疗广告、直至取消广告经营者、广告发布者的医疗广告经营和发布资格的处罚。法律法规没有规定的，工商行政管理机关应当对负有责任的广告主、广告经营者、广告发布者给予警告或者处以一万元以上三万元以下的罚款；医疗广告内容涉嫌虚假的，工商行政管理机关可根据需要会同卫生行政部门、中医药管理部门作出认定。</w:t>
            </w:r>
          </w:p>
        </w:tc>
        <w:tc>
          <w:tcPr>
            <w:tcW w:w="3151" w:type="dxa"/>
            <w:vAlign w:val="center"/>
          </w:tcPr>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2378" w:type="dxa"/>
            <w:vAlign w:val="center"/>
          </w:tcPr>
          <w:p>
            <w:pPr>
              <w:pStyle w:val="2"/>
              <w:ind w:left="0" w:leftChars="0" w:firstLine="0" w:firstLineChars="0"/>
              <w:rPr>
                <w:rFonts w:hint="eastAsia"/>
                <w:lang w:eastAsia="zh-CN"/>
              </w:rPr>
            </w:pPr>
            <w:r>
              <w:rPr>
                <w:rFonts w:hint="eastAsia"/>
                <w:lang w:eastAsia="zh-CN"/>
              </w:rPr>
              <w:t>广告代言人在广告中为其未使用过的商品或者未接受过的服务作推荐、证明</w:t>
            </w:r>
          </w:p>
          <w:p>
            <w:pPr>
              <w:rPr>
                <w:rFonts w:hint="eastAsia"/>
                <w:lang w:eastAsia="zh-CN"/>
              </w:rPr>
            </w:pPr>
          </w:p>
        </w:tc>
        <w:tc>
          <w:tcPr>
            <w:tcW w:w="7938"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《中华人民共和国广告法》第三十八条第一款 广告代言人在广告中对商品、服务作推荐、证明，应当依据事实，符合本法和有关法律、行政法规规定，并不得为其未使用过的商品或者未接受过的服务作推荐、证明。</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第六十一条</w:t>
            </w:r>
            <w:r>
              <w:rPr>
                <w:rFonts w:hint="eastAsia" w:ascii="仿宋_GB2312" w:hAnsi="仿宋_GB2312" w:eastAsia="仿宋_GB2312" w:cs="仿宋_GB2312"/>
                <w:sz w:val="24"/>
                <w:szCs w:val="24"/>
                <w:lang w:eastAsia="zh-CN"/>
              </w:rPr>
              <w:t>第三项</w:t>
            </w:r>
            <w:r>
              <w:rPr>
                <w:rFonts w:hint="eastAsia" w:ascii="仿宋_GB2312" w:hAnsi="仿宋_GB2312" w:eastAsia="仿宋_GB2312" w:cs="仿宋_GB2312"/>
                <w:sz w:val="24"/>
                <w:szCs w:val="24"/>
              </w:rPr>
              <w:t>　广告代言人有下列情形之一的，由市场监督管理部门没收违法所得，并处违法所得一倍以上二倍以下的罚款：</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（三）违反本法第三十八条第一款规定，为其未使用过的商品或者未接受过的服务作推荐、证明的；</w:t>
            </w:r>
          </w:p>
        </w:tc>
        <w:tc>
          <w:tcPr>
            <w:tcW w:w="3151" w:type="dxa"/>
            <w:vAlign w:val="center"/>
          </w:tcPr>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sz w:val="24"/>
                <w:szCs w:val="24"/>
              </w:rPr>
              <w:t>广告代言人</w:t>
            </w:r>
            <w:r>
              <w:rPr>
                <w:rFonts w:hint="eastAsia" w:ascii="仿宋_GB2312" w:hAnsi="仿宋_GB2312" w:eastAsia="仿宋_GB2312" w:cs="仿宋_GB2312"/>
                <w:kern w:val="2"/>
                <w:sz w:val="24"/>
                <w:szCs w:val="24"/>
                <w:lang w:val="en-US" w:eastAsia="zh-CN"/>
              </w:rPr>
              <w:t>出于公益目的且未获利；</w:t>
            </w:r>
          </w:p>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val="en" w:eastAsia="zh-CN"/>
              </w:rPr>
              <w:t>．</w:t>
            </w: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w:t>
            </w:r>
          </w:p>
        </w:tc>
        <w:tc>
          <w:tcPr>
            <w:tcW w:w="2378" w:type="dxa"/>
            <w:vAlign w:val="center"/>
          </w:tcPr>
          <w:p>
            <w:pPr>
              <w:pStyle w:val="2"/>
              <w:ind w:left="0" w:leftChars="0" w:firstLine="0" w:firstLineChars="0"/>
              <w:rPr>
                <w:rFonts w:hint="eastAsia"/>
                <w:lang w:eastAsia="zh-CN"/>
              </w:rPr>
            </w:pPr>
            <w:r>
              <w:rPr>
                <w:rFonts w:hint="eastAsia"/>
                <w:lang w:eastAsia="zh-CN"/>
              </w:rPr>
              <w:t>广告批准文号已超过有效期，仍继续发布药品、医疗器械、保健食品和特殊医学用途配方食品广告</w:t>
            </w:r>
          </w:p>
          <w:p>
            <w:pPr>
              <w:rPr>
                <w:rFonts w:hint="eastAsia"/>
                <w:lang w:eastAsia="zh-CN"/>
              </w:rPr>
            </w:pPr>
          </w:p>
        </w:tc>
        <w:tc>
          <w:tcPr>
            <w:tcW w:w="7938"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《中华人民共和国广告法》第四十六条　发布医疗、药品、医疗器械、农药、兽药和保健食品广告，以及法律、行政法规规定应当进行审查的其他广告，应当在发布前由有关部门（以下称广告审查机关）对广告内容进行审查；未经审查，不得发布。</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第五十八条</w:t>
            </w:r>
            <w:r>
              <w:rPr>
                <w:rFonts w:hint="eastAsia" w:ascii="仿宋_GB2312" w:hAnsi="仿宋_GB2312" w:eastAsia="仿宋_GB2312" w:cs="仿宋_GB2312"/>
                <w:sz w:val="24"/>
                <w:szCs w:val="24"/>
                <w:lang w:eastAsia="zh-CN"/>
              </w:rPr>
              <w:t>第一款第十四项</w:t>
            </w:r>
            <w:r>
              <w:rPr>
                <w:rFonts w:hint="eastAsia" w:ascii="仿宋_GB2312" w:hAnsi="仿宋_GB2312" w:eastAsia="仿宋_GB2312" w:cs="仿宋_GB2312"/>
                <w:sz w:val="24"/>
                <w:szCs w:val="24"/>
              </w:rPr>
              <w:t>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（十四）违反本法第四十六条规定，未经审查发布广告的。</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《药品、医疗器械、保健食品、特殊医学用途配方食品广告审查管理暂行办法》</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第二十六条</w:t>
            </w:r>
            <w:r>
              <w:rPr>
                <w:rFonts w:hint="eastAsia" w:ascii="仿宋_GB2312" w:hAnsi="仿宋_GB2312" w:eastAsia="仿宋_GB2312" w:cs="仿宋_GB2312"/>
                <w:sz w:val="24"/>
                <w:szCs w:val="24"/>
                <w:lang w:eastAsia="zh-CN"/>
              </w:rPr>
              <w:t>第二项</w:t>
            </w:r>
            <w:r>
              <w:rPr>
                <w:rFonts w:hint="eastAsia" w:ascii="仿宋_GB2312" w:hAnsi="仿宋_GB2312" w:eastAsia="仿宋_GB2312" w:cs="仿宋_GB2312"/>
                <w:sz w:val="24"/>
                <w:szCs w:val="24"/>
              </w:rPr>
              <w:t xml:space="preserve"> 有下列情形之一的，按照《中华人民共和国广告法》第五十八条处罚：</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（二）违反本办法第十九条规定或者广告批准文号已超过有效期，仍继续发布药品、医疗器械、保健食品和特殊医学用途配方食品广告；</w:t>
            </w:r>
          </w:p>
        </w:tc>
        <w:tc>
          <w:tcPr>
            <w:tcW w:w="3151"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广告批准文号过期</w:t>
            </w:r>
            <w:r>
              <w:rPr>
                <w:rFonts w:hint="eastAsia" w:ascii="仿宋_GB2312" w:hAnsi="仿宋_GB2312" w:eastAsia="仿宋_GB2312" w:cs="仿宋_GB2312"/>
                <w:sz w:val="24"/>
                <w:szCs w:val="24"/>
              </w:rPr>
              <w:t>未</w:t>
            </w:r>
            <w:r>
              <w:rPr>
                <w:rFonts w:hint="eastAsia" w:ascii="仿宋_GB2312" w:hAnsi="仿宋_GB2312" w:eastAsia="仿宋_GB2312" w:cs="仿宋_GB2312"/>
                <w:sz w:val="24"/>
                <w:szCs w:val="24"/>
                <w:lang w:eastAsia="zh-CN"/>
              </w:rPr>
              <w:t>达到</w:t>
            </w:r>
            <w:r>
              <w:rPr>
                <w:rFonts w:hint="eastAsia" w:ascii="仿宋_GB2312" w:hAnsi="仿宋_GB2312" w:eastAsia="仿宋_GB2312" w:cs="仿宋_GB2312"/>
                <w:sz w:val="24"/>
                <w:szCs w:val="24"/>
              </w:rPr>
              <w:t>三个月；</w:t>
            </w:r>
          </w:p>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val="en" w:eastAsia="zh-CN"/>
              </w:rPr>
              <w:t>．</w:t>
            </w: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2378" w:type="dxa"/>
            <w:vAlign w:val="center"/>
          </w:tcPr>
          <w:p>
            <w:pPr>
              <w:pStyle w:val="2"/>
              <w:ind w:left="0" w:leftChars="0" w:firstLine="0" w:firstLineChars="0"/>
              <w:rPr>
                <w:rFonts w:hint="eastAsia"/>
                <w:lang w:eastAsia="zh-CN"/>
              </w:rPr>
            </w:pPr>
            <w:r>
              <w:rPr>
                <w:rFonts w:hint="eastAsia"/>
                <w:lang w:eastAsia="zh-CN"/>
              </w:rPr>
              <w:t>药品、医疗器械、保健食品和特殊医学用途配方食品广告未显著、清晰表示应当显著标明的内容</w:t>
            </w:r>
          </w:p>
          <w:p>
            <w:pPr>
              <w:rPr>
                <w:rFonts w:hint="eastAsia"/>
                <w:lang w:eastAsia="zh-CN"/>
              </w:rPr>
            </w:pPr>
          </w:p>
        </w:tc>
        <w:tc>
          <w:tcPr>
            <w:tcW w:w="7938"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《药品、医疗器械、保健食品、特殊医学用途配方食品广告审查管理暂行办法》第十条　药品、医疗器械、保健食品和特殊医学用途配方食品广告中应当显著标明的内容，其字体和颜色必须清晰可见、易于辨认，在视频广告中应当持续显示。</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第二十五条　违反本办法第十条规定，未显著、清晰表示广告中应当显著标明内容的，按照《中华人民共和国广告法》第五十九条处罚。</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《中华人民共和国广告法》第五十九条</w:t>
            </w:r>
            <w:r>
              <w:rPr>
                <w:rFonts w:hint="eastAsia" w:ascii="仿宋_GB2312" w:hAnsi="仿宋_GB2312" w:eastAsia="仿宋_GB2312" w:cs="仿宋_GB2312"/>
                <w:sz w:val="24"/>
                <w:szCs w:val="24"/>
                <w:lang w:eastAsia="zh-CN"/>
              </w:rPr>
              <w:t>第一款</w:t>
            </w:r>
            <w:r>
              <w:rPr>
                <w:rFonts w:hint="eastAsia" w:ascii="仿宋_GB2312" w:hAnsi="仿宋_GB2312" w:eastAsia="仿宋_GB2312" w:cs="仿宋_GB2312"/>
                <w:sz w:val="24"/>
                <w:szCs w:val="24"/>
              </w:rPr>
              <w:t>　有下列行为之一的，由市场监督管理部门责令停止发布广告，对广告主处十万元以下的罚款：</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（一）广告内容违反本法第八条规定的；</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（二）广告引证内容违反本法第十一条规定的；</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（三）涉及专利的广告违反本法第十二条规定的；</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（四）违反本法第十三条规定，广告贬低其他生产经营者的商品或者服务的。</w:t>
            </w:r>
          </w:p>
        </w:tc>
        <w:tc>
          <w:tcPr>
            <w:tcW w:w="3151" w:type="dxa"/>
            <w:vAlign w:val="center"/>
          </w:tcPr>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1.已取得药品、医疗器械、保健食品、特殊医学用途配方食品广告审查批准文号；</w:t>
            </w:r>
          </w:p>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val="en" w:eastAsia="zh-CN"/>
              </w:rPr>
              <w:t>．</w:t>
            </w: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11</w:t>
            </w:r>
          </w:p>
        </w:tc>
        <w:tc>
          <w:tcPr>
            <w:tcW w:w="2378" w:type="dxa"/>
            <w:vAlign w:val="center"/>
          </w:tcPr>
          <w:p>
            <w:pPr>
              <w:pStyle w:val="2"/>
              <w:ind w:left="0" w:leftChars="0" w:firstLine="0" w:firstLineChars="0"/>
              <w:rPr>
                <w:rFonts w:hint="eastAsia"/>
                <w:lang w:val="en-US" w:eastAsia="zh-CN"/>
              </w:rPr>
            </w:pPr>
            <w:r>
              <w:rPr>
                <w:rFonts w:hint="eastAsia"/>
                <w:lang w:val="en-US" w:eastAsia="zh-CN"/>
              </w:rPr>
              <w:t>未经设立登记从事一般经营活动</w:t>
            </w:r>
          </w:p>
          <w:p>
            <w:pPr>
              <w:rPr>
                <w:rFonts w:hint="eastAsia"/>
                <w:lang w:val="en-US" w:eastAsia="zh-CN"/>
              </w:rPr>
            </w:pPr>
          </w:p>
        </w:tc>
        <w:tc>
          <w:tcPr>
            <w:tcW w:w="7938" w:type="dxa"/>
            <w:vAlign w:val="center"/>
          </w:tcPr>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20" w:lineRule="exact"/>
              <w:jc w:val="both"/>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《中华人民共和国市场主体登记管理条例》第三条第一款　市场主体应当依照本条例办理登记。未经登记，不得以市场主体名义从事经营活动。法律、行政法规规定无需办理登记的除外。</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20" w:lineRule="exact"/>
              <w:jc w:val="both"/>
              <w:textAlignment w:val="auto"/>
              <w:rPr>
                <w:rFonts w:hint="eastAsia" w:ascii="仿宋_GB2312" w:hAnsi="仿宋_GB2312" w:eastAsia="仿宋_GB2312" w:cs="仿宋_GB2312"/>
                <w:kern w:val="2"/>
                <w:sz w:val="24"/>
                <w:szCs w:val="24"/>
                <w:lang w:val="en" w:eastAsia="zh-CN"/>
              </w:rPr>
            </w:pPr>
            <w:r>
              <w:rPr>
                <w:rFonts w:hint="eastAsia" w:ascii="仿宋_GB2312" w:hAnsi="仿宋_GB2312" w:eastAsia="仿宋_GB2312" w:cs="仿宋_GB2312"/>
                <w:kern w:val="2"/>
                <w:sz w:val="24"/>
                <w:szCs w:val="24"/>
                <w:lang w:val="en-US" w:eastAsia="zh-CN"/>
              </w:rPr>
              <w:t>第四十三条  未经设立登记从事经营活动的，由登记机关责令改正，没收违法所得；拒不改正的，处1万元以上10万元以下的罚款；情节严重的，依法责令关闭停业，并处10万元以上50万元以下的罚款。</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20" w:lineRule="exact"/>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2"/>
                <w:sz w:val="24"/>
                <w:szCs w:val="24"/>
                <w:lang w:val="en-US" w:eastAsia="zh-CN"/>
              </w:rPr>
              <w:t>《中华人民共和国市场主体登记管理条例实施细则》第六十八条 未经设立登记从事一般经营活动的，由登记机关责令改正，没收违法所得；拒不改正的，处1万元以上10万元以下的罚款；情节严重的，依法责令关闭停业，并处10万元以上50万元以下的罚款。</w:t>
            </w:r>
          </w:p>
        </w:tc>
        <w:tc>
          <w:tcPr>
            <w:tcW w:w="3151" w:type="dxa"/>
            <w:vAlign w:val="center"/>
          </w:tcPr>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20" w:lineRule="exact"/>
              <w:jc w:val="both"/>
              <w:textAlignment w:val="auto"/>
              <w:rPr>
                <w:rFonts w:hint="eastAsia" w:ascii="仿宋_GB2312" w:hAnsi="仿宋_GB2312" w:eastAsia="仿宋_GB2312" w:cs="仿宋_GB2312"/>
                <w:kern w:val="2"/>
                <w:sz w:val="24"/>
                <w:szCs w:val="24"/>
                <w:lang w:val="en" w:eastAsia="zh-CN"/>
              </w:rPr>
            </w:pP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lang w:val="en" w:eastAsia="zh-CN"/>
              </w:rPr>
              <w:t>．</w:t>
            </w:r>
            <w:r>
              <w:rPr>
                <w:rFonts w:hint="eastAsia" w:ascii="仿宋_GB2312" w:hAnsi="仿宋_GB2312" w:eastAsia="仿宋_GB2312" w:cs="仿宋_GB2312"/>
                <w:kern w:val="2"/>
                <w:sz w:val="24"/>
                <w:szCs w:val="24"/>
                <w:lang w:val="en-US" w:eastAsia="zh-CN"/>
              </w:rPr>
              <w:t>立案调查前已申请设立登记并通过审核；</w:t>
            </w:r>
          </w:p>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val="en" w:eastAsia="zh-CN"/>
              </w:rPr>
              <w:t>．</w:t>
            </w:r>
            <w:r>
              <w:rPr>
                <w:rFonts w:hint="eastAsia" w:ascii="仿宋_GB2312" w:hAnsi="仿宋_GB2312" w:eastAsia="仿宋_GB2312" w:cs="仿宋_GB2312"/>
                <w:kern w:val="2"/>
                <w:sz w:val="24"/>
                <w:szCs w:val="24"/>
                <w:lang w:val="en-US" w:eastAsia="zh-CN"/>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12</w:t>
            </w:r>
          </w:p>
        </w:tc>
        <w:tc>
          <w:tcPr>
            <w:tcW w:w="2378" w:type="dxa"/>
            <w:vAlign w:val="center"/>
          </w:tcPr>
          <w:p>
            <w:pPr>
              <w:pStyle w:val="2"/>
              <w:ind w:left="0" w:leftChars="0" w:firstLine="0" w:firstLineChars="0"/>
              <w:rPr>
                <w:rFonts w:hint="eastAsia"/>
                <w:lang w:val="en-US" w:eastAsia="zh-CN"/>
              </w:rPr>
            </w:pPr>
            <w:r>
              <w:rPr>
                <w:rFonts w:hint="eastAsia"/>
                <w:lang w:val="en-US" w:eastAsia="zh-CN"/>
              </w:rPr>
              <w:t>属于非强制检定范围的计量器具未自行定期检定或者送其他计量检定机构定期检定</w:t>
            </w:r>
          </w:p>
          <w:p>
            <w:pPr>
              <w:rPr>
                <w:rFonts w:hint="eastAsia"/>
              </w:rPr>
            </w:pPr>
          </w:p>
        </w:tc>
        <w:tc>
          <w:tcPr>
            <w:tcW w:w="7938" w:type="dxa"/>
            <w:vAlign w:val="center"/>
          </w:tcPr>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20" w:lineRule="exact"/>
              <w:jc w:val="both"/>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《中华人民共和国计量法》第九条第二款  对前款规定以外的其他计量标准器具和工作计量器具，使用单位应当自行定期检定或者送其他计量检定机构检定。</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20" w:lineRule="exact"/>
              <w:jc w:val="both"/>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《中华人民共和国计量法实施细则》第四十三条  属于强制检定范围的计量器具，未按照规定申请检定和属于非强制检定范围的计量器具未自行定期检定或者送其他计量检定机构定期检定的，以及经检定不合格继续使用的，责令其停止使用，可并处1000元以下的罚款。</w:t>
            </w:r>
          </w:p>
        </w:tc>
        <w:tc>
          <w:tcPr>
            <w:tcW w:w="3151" w:type="dxa"/>
            <w:vAlign w:val="center"/>
          </w:tcPr>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20" w:lineRule="exact"/>
              <w:jc w:val="both"/>
              <w:textAlignment w:val="auto"/>
              <w:rPr>
                <w:rFonts w:hint="eastAsia" w:ascii="仿宋_GB2312" w:hAnsi="仿宋_GB2312" w:eastAsia="仿宋_GB2312" w:cs="仿宋_GB2312"/>
                <w:kern w:val="2"/>
                <w:sz w:val="24"/>
                <w:szCs w:val="24"/>
                <w:lang w:val="en" w:eastAsia="zh-CN"/>
              </w:rPr>
            </w:pP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lang w:val="en" w:eastAsia="zh-CN"/>
              </w:rPr>
              <w:t>．</w:t>
            </w:r>
            <w:r>
              <w:rPr>
                <w:rFonts w:hint="eastAsia" w:ascii="仿宋_GB2312" w:hAnsi="仿宋_GB2312" w:eastAsia="仿宋_GB2312" w:cs="仿宋_GB2312"/>
                <w:kern w:val="2"/>
                <w:sz w:val="24"/>
                <w:szCs w:val="24"/>
                <w:lang w:val="en-US" w:eastAsia="zh-CN"/>
              </w:rPr>
              <w:t>经发现后主动送检且检定合格；</w:t>
            </w:r>
          </w:p>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val="en" w:eastAsia="zh-CN"/>
              </w:rPr>
              <w:t>．</w:t>
            </w:r>
            <w:r>
              <w:rPr>
                <w:rFonts w:hint="eastAsia" w:ascii="仿宋_GB2312" w:hAnsi="仿宋_GB2312" w:eastAsia="仿宋_GB2312" w:cs="仿宋_GB2312"/>
                <w:kern w:val="2"/>
                <w:sz w:val="24"/>
                <w:szCs w:val="24"/>
                <w:lang w:val="en-US" w:eastAsia="zh-CN"/>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13</w:t>
            </w:r>
          </w:p>
        </w:tc>
        <w:tc>
          <w:tcPr>
            <w:tcW w:w="2378" w:type="dxa"/>
            <w:vAlign w:val="center"/>
          </w:tcPr>
          <w:p>
            <w:pPr>
              <w:pStyle w:val="2"/>
              <w:ind w:left="0" w:leftChars="0" w:firstLine="0" w:firstLineChars="0"/>
              <w:rPr>
                <w:rFonts w:hint="eastAsia"/>
              </w:rPr>
            </w:pPr>
            <w:r>
              <w:rPr>
                <w:rFonts w:hint="eastAsia"/>
              </w:rPr>
              <w:t>经销的商品印有未经核准注册、备案或者伪造的商品条码</w:t>
            </w:r>
          </w:p>
          <w:p>
            <w:pPr>
              <w:rPr>
                <w:rFonts w:hint="eastAsia"/>
                <w:lang w:val="en-US" w:eastAsia="zh-CN"/>
              </w:rPr>
            </w:pPr>
          </w:p>
        </w:tc>
        <w:tc>
          <w:tcPr>
            <w:tcW w:w="7938" w:type="dxa"/>
            <w:vAlign w:val="center"/>
          </w:tcPr>
          <w:p>
            <w:pPr>
              <w:keepNext w:val="0"/>
              <w:keepLines w:val="0"/>
              <w:pageBreakBefore w:val="0"/>
              <w:widowControl/>
              <w:numPr>
                <w:ilvl w:val="0"/>
                <w:numId w:val="0"/>
              </w:numPr>
              <w:kinsoku/>
              <w:wordWrap/>
              <w:topLinePunct w:val="0"/>
              <w:autoSpaceDE/>
              <w:autoSpaceDN/>
              <w:bidi w:val="0"/>
              <w:adjustRightInd w:val="0"/>
              <w:snapToGrid w:val="0"/>
              <w:spacing w:line="280" w:lineRule="exact"/>
              <w:jc w:val="both"/>
              <w:textAlignment w:val="center"/>
              <w:rPr>
                <w:rFonts w:hint="eastAsia" w:ascii="仿宋_GB2312" w:hAnsi="仿宋_GB2312" w:eastAsia="仿宋_GB2312" w:cs="仿宋_GB2312"/>
                <w:color w:val="auto"/>
                <w:spacing w:val="0"/>
                <w:w w:val="100"/>
                <w:kern w:val="2"/>
                <w:sz w:val="24"/>
                <w:szCs w:val="24"/>
                <w:highlight w:val="none"/>
                <w:lang w:bidi="ar"/>
              </w:rPr>
            </w:pPr>
            <w:r>
              <w:rPr>
                <w:rFonts w:hint="eastAsia" w:ascii="仿宋_GB2312" w:hAnsi="仿宋_GB2312" w:eastAsia="仿宋_GB2312" w:cs="仿宋_GB2312"/>
                <w:kern w:val="2"/>
                <w:sz w:val="24"/>
                <w:szCs w:val="24"/>
                <w:lang w:val="en-US" w:eastAsia="zh-CN"/>
              </w:rPr>
              <w:t>《商品条码管理办法》</w:t>
            </w:r>
            <w:r>
              <w:rPr>
                <w:rFonts w:hint="eastAsia" w:ascii="仿宋_GB2312" w:hAnsi="仿宋_GB2312" w:eastAsia="仿宋_GB2312" w:cs="仿宋_GB2312"/>
                <w:color w:val="auto"/>
                <w:spacing w:val="0"/>
                <w:w w:val="100"/>
                <w:kern w:val="2"/>
                <w:sz w:val="24"/>
                <w:szCs w:val="24"/>
                <w:highlight w:val="none"/>
                <w:lang w:bidi="ar"/>
              </w:rPr>
              <w:t>第二十一条</w:t>
            </w:r>
            <w:r>
              <w:rPr>
                <w:rFonts w:hint="eastAsia" w:ascii="仿宋_GB2312" w:hAnsi="仿宋_GB2312" w:eastAsia="仿宋_GB2312" w:cs="仿宋_GB2312"/>
                <w:color w:val="auto"/>
                <w:spacing w:val="0"/>
                <w:w w:val="100"/>
                <w:kern w:val="2"/>
                <w:sz w:val="24"/>
                <w:szCs w:val="24"/>
                <w:highlight w:val="none"/>
                <w:lang w:val="en-US" w:eastAsia="zh-CN" w:bidi="ar"/>
              </w:rPr>
              <w:t xml:space="preserve">  </w:t>
            </w:r>
            <w:r>
              <w:rPr>
                <w:rFonts w:hint="eastAsia" w:ascii="仿宋_GB2312" w:hAnsi="仿宋_GB2312" w:eastAsia="仿宋_GB2312" w:cs="仿宋_GB2312"/>
                <w:color w:val="auto"/>
                <w:spacing w:val="0"/>
                <w:w w:val="100"/>
                <w:kern w:val="2"/>
                <w:sz w:val="24"/>
                <w:szCs w:val="24"/>
                <w:highlight w:val="none"/>
                <w:lang w:bidi="ar"/>
              </w:rPr>
              <w:t>任何单位和个人未经核准注册不得使用厂商识别代码和相应的条码。</w:t>
            </w:r>
          </w:p>
          <w:p>
            <w:pPr>
              <w:keepNext w:val="0"/>
              <w:keepLines w:val="0"/>
              <w:pageBreakBefore w:val="0"/>
              <w:widowControl/>
              <w:numPr>
                <w:ilvl w:val="0"/>
                <w:numId w:val="0"/>
              </w:numPr>
              <w:kinsoku/>
              <w:wordWrap/>
              <w:topLinePunct w:val="0"/>
              <w:autoSpaceDE/>
              <w:autoSpaceDN/>
              <w:bidi w:val="0"/>
              <w:adjustRightInd w:val="0"/>
              <w:snapToGrid w:val="0"/>
              <w:spacing w:line="280" w:lineRule="exact"/>
              <w:jc w:val="both"/>
              <w:textAlignment w:val="center"/>
              <w:rPr>
                <w:rFonts w:hint="eastAsia" w:ascii="仿宋_GB2312" w:hAnsi="仿宋_GB2312" w:eastAsia="仿宋_GB2312" w:cs="仿宋_GB2312"/>
                <w:color w:val="auto"/>
                <w:spacing w:val="0"/>
                <w:w w:val="100"/>
                <w:kern w:val="2"/>
                <w:sz w:val="24"/>
                <w:szCs w:val="24"/>
                <w:highlight w:val="none"/>
                <w:lang w:bidi="ar"/>
              </w:rPr>
            </w:pPr>
            <w:r>
              <w:rPr>
                <w:rFonts w:hint="eastAsia" w:ascii="仿宋_GB2312" w:hAnsi="仿宋_GB2312" w:eastAsia="仿宋_GB2312" w:cs="仿宋_GB2312"/>
                <w:color w:val="auto"/>
                <w:spacing w:val="0"/>
                <w:w w:val="100"/>
                <w:kern w:val="2"/>
                <w:sz w:val="24"/>
                <w:szCs w:val="24"/>
                <w:highlight w:val="none"/>
                <w:lang w:bidi="ar"/>
              </w:rPr>
              <w:t>任何单位和个人不得在商品包装上使用其他条码冒充商品条码；不得伪造商品条码。</w:t>
            </w:r>
          </w:p>
          <w:p>
            <w:pPr>
              <w:keepNext w:val="0"/>
              <w:keepLines w:val="0"/>
              <w:pageBreakBefore w:val="0"/>
              <w:widowControl/>
              <w:numPr>
                <w:ilvl w:val="0"/>
                <w:numId w:val="0"/>
              </w:numPr>
              <w:kinsoku/>
              <w:wordWrap/>
              <w:topLinePunct w:val="0"/>
              <w:autoSpaceDE/>
              <w:autoSpaceDN/>
              <w:bidi w:val="0"/>
              <w:adjustRightInd w:val="0"/>
              <w:snapToGrid w:val="0"/>
              <w:spacing w:line="280" w:lineRule="exact"/>
              <w:jc w:val="both"/>
              <w:textAlignment w:val="center"/>
              <w:rPr>
                <w:rFonts w:hint="eastAsia" w:ascii="仿宋_GB2312" w:hAnsi="仿宋_GB2312" w:eastAsia="仿宋_GB2312" w:cs="仿宋_GB2312"/>
                <w:color w:val="auto"/>
                <w:spacing w:val="0"/>
                <w:w w:val="100"/>
                <w:kern w:val="2"/>
                <w:sz w:val="24"/>
                <w:szCs w:val="24"/>
                <w:highlight w:val="none"/>
                <w:lang w:bidi="ar"/>
              </w:rPr>
            </w:pPr>
            <w:r>
              <w:rPr>
                <w:rFonts w:hint="eastAsia" w:ascii="仿宋_GB2312" w:hAnsi="仿宋_GB2312" w:eastAsia="仿宋_GB2312" w:cs="仿宋_GB2312"/>
                <w:color w:val="auto"/>
                <w:spacing w:val="-6"/>
                <w:w w:val="100"/>
                <w:kern w:val="2"/>
                <w:sz w:val="24"/>
                <w:szCs w:val="24"/>
                <w:highlight w:val="none"/>
                <w:lang w:bidi="ar"/>
              </w:rPr>
              <w:t>第二十四条第一款</w:t>
            </w:r>
            <w:r>
              <w:rPr>
                <w:rFonts w:hint="eastAsia" w:ascii="仿宋_GB2312" w:hAnsi="仿宋_GB2312" w:eastAsia="仿宋_GB2312" w:cs="仿宋_GB2312"/>
                <w:color w:val="auto"/>
                <w:spacing w:val="-6"/>
                <w:w w:val="100"/>
                <w:kern w:val="2"/>
                <w:sz w:val="24"/>
                <w:szCs w:val="24"/>
                <w:highlight w:val="none"/>
                <w:lang w:val="en-US" w:eastAsia="zh-CN" w:bidi="ar"/>
              </w:rPr>
              <w:t xml:space="preserve">  </w:t>
            </w:r>
            <w:r>
              <w:rPr>
                <w:rFonts w:hint="eastAsia" w:ascii="仿宋_GB2312" w:hAnsi="仿宋_GB2312" w:eastAsia="仿宋_GB2312" w:cs="仿宋_GB2312"/>
                <w:color w:val="auto"/>
                <w:spacing w:val="0"/>
                <w:w w:val="100"/>
                <w:kern w:val="2"/>
                <w:sz w:val="24"/>
                <w:szCs w:val="24"/>
                <w:highlight w:val="none"/>
                <w:lang w:bidi="ar"/>
              </w:rPr>
              <w:t>销售者不得经销违反第二十一条规定的商品。</w:t>
            </w:r>
          </w:p>
          <w:p>
            <w:pPr>
              <w:keepNext w:val="0"/>
              <w:keepLines w:val="0"/>
              <w:pageBreakBefore w:val="0"/>
              <w:widowControl/>
              <w:numPr>
                <w:ilvl w:val="0"/>
                <w:numId w:val="0"/>
              </w:numPr>
              <w:kinsoku/>
              <w:wordWrap/>
              <w:topLinePunct w:val="0"/>
              <w:autoSpaceDE/>
              <w:autoSpaceDN/>
              <w:bidi w:val="0"/>
              <w:adjustRightInd w:val="0"/>
              <w:snapToGrid w:val="0"/>
              <w:spacing w:line="280" w:lineRule="exact"/>
              <w:jc w:val="both"/>
              <w:textAlignment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color w:val="auto"/>
                <w:spacing w:val="0"/>
                <w:w w:val="100"/>
                <w:kern w:val="2"/>
                <w:sz w:val="24"/>
                <w:szCs w:val="24"/>
                <w:highlight w:val="none"/>
                <w:lang w:bidi="ar"/>
              </w:rPr>
              <w:t>第二十五条</w:t>
            </w:r>
            <w:r>
              <w:rPr>
                <w:rFonts w:hint="eastAsia" w:ascii="仿宋_GB2312" w:hAnsi="仿宋_GB2312" w:eastAsia="仿宋_GB2312" w:cs="仿宋_GB2312"/>
                <w:color w:val="auto"/>
                <w:spacing w:val="0"/>
                <w:w w:val="100"/>
                <w:kern w:val="2"/>
                <w:sz w:val="24"/>
                <w:szCs w:val="24"/>
                <w:highlight w:val="none"/>
                <w:lang w:val="en-US" w:eastAsia="zh-CN" w:bidi="ar"/>
              </w:rPr>
              <w:t xml:space="preserve">  </w:t>
            </w:r>
            <w:r>
              <w:rPr>
                <w:rFonts w:hint="eastAsia" w:ascii="仿宋_GB2312" w:hAnsi="仿宋_GB2312" w:eastAsia="仿宋_GB2312" w:cs="仿宋_GB2312"/>
                <w:color w:val="auto"/>
                <w:spacing w:val="0"/>
                <w:w w:val="100"/>
                <w:kern w:val="2"/>
                <w:sz w:val="24"/>
                <w:szCs w:val="24"/>
                <w:highlight w:val="none"/>
                <w:lang w:bidi="ar"/>
              </w:rPr>
              <w:t>在国内生产的商品使用境外注册的商品条码时，生产者应当提供该商品条码的注册证明、授权委托书等相关证明，并到所在地的编码分支机构备案，由编码分支机构将备案材料报送编码中心。</w:t>
            </w:r>
          </w:p>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rPr>
              <w:t>第三十六条  经销的商品印有未经核准注册、备案或者伪造的商品条码的，责令其改正，处以10000元以下罚款。</w:t>
            </w:r>
          </w:p>
        </w:tc>
        <w:tc>
          <w:tcPr>
            <w:tcW w:w="3151" w:type="dxa"/>
            <w:vAlign w:val="center"/>
          </w:tcPr>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14</w:t>
            </w:r>
          </w:p>
        </w:tc>
        <w:tc>
          <w:tcPr>
            <w:tcW w:w="2378" w:type="dxa"/>
            <w:vAlign w:val="center"/>
          </w:tcPr>
          <w:p>
            <w:pPr>
              <w:pStyle w:val="2"/>
              <w:ind w:left="0" w:leftChars="0" w:firstLine="0" w:firstLineChars="0"/>
              <w:rPr>
                <w:rFonts w:hint="eastAsia"/>
                <w:lang w:val="en-US" w:eastAsia="zh-CN"/>
              </w:rPr>
            </w:pPr>
            <w:r>
              <w:rPr>
                <w:rFonts w:hint="eastAsia"/>
                <w:lang w:val="en-US" w:eastAsia="zh-CN"/>
              </w:rPr>
              <w:t>经营主体未按时报送年度报告</w:t>
            </w:r>
          </w:p>
          <w:p>
            <w:pPr>
              <w:rPr>
                <w:rFonts w:hint="eastAsia"/>
                <w:lang w:val="en-US" w:eastAsia="zh-CN"/>
              </w:rPr>
            </w:pPr>
          </w:p>
        </w:tc>
        <w:tc>
          <w:tcPr>
            <w:tcW w:w="7938" w:type="dxa"/>
            <w:vAlign w:val="center"/>
          </w:tcPr>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《中华人民共和国市场主体登记管理条例实施细则》第六十三条第一款</w:t>
            </w:r>
            <w:r>
              <w:rPr>
                <w:rFonts w:hint="eastAsia" w:ascii="仿宋_GB2312" w:hAnsi="仿宋_GB2312" w:eastAsia="仿宋_GB2312" w:cs="仿宋_GB2312"/>
                <w:color w:val="FF0000"/>
                <w:kern w:val="2"/>
                <w:sz w:val="24"/>
                <w:szCs w:val="24"/>
                <w:lang w:val="en-US" w:eastAsia="zh-CN"/>
              </w:rPr>
              <w:t xml:space="preserve"> </w:t>
            </w:r>
            <w:r>
              <w:rPr>
                <w:rFonts w:hint="eastAsia" w:ascii="仿宋_GB2312" w:hAnsi="仿宋_GB2312" w:eastAsia="仿宋_GB2312" w:cs="仿宋_GB2312"/>
                <w:kern w:val="2"/>
                <w:sz w:val="24"/>
                <w:szCs w:val="24"/>
                <w:lang w:val="en-US" w:eastAsia="zh-CN"/>
              </w:rPr>
              <w:t>市场主体应当于每年1月1日至6月30日，通过国家企业信用信息公示系统报送上一年度年度报告，并向社会公示。</w:t>
            </w:r>
          </w:p>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第七十条  市场主体未按照法律、行政法规规定的期限公示或者报送年度报告的，由登记机关列入经营异常名录，可以处1万元以下的罚款。</w:t>
            </w:r>
          </w:p>
        </w:tc>
        <w:tc>
          <w:tcPr>
            <w:tcW w:w="3151" w:type="dxa"/>
            <w:vAlign w:val="center"/>
          </w:tcPr>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highlight w:val="none"/>
                <w:lang w:val="en-US" w:eastAsia="zh-CN"/>
              </w:rPr>
              <w:t>主动公示或者报送年度报告，或者在收到市场监督管理部门《提醒敦促函》之日 起10日内公示或者报送年度报告</w:t>
            </w:r>
            <w:r>
              <w:rPr>
                <w:rFonts w:hint="eastAsia" w:ascii="仿宋_GB2312" w:hAnsi="仿宋_GB2312" w:eastAsia="仿宋_GB2312" w:cs="仿宋_GB2312"/>
                <w:kern w:val="2"/>
                <w:sz w:val="24"/>
                <w:szCs w:val="24"/>
                <w:lang w:val="en-US" w:eastAsia="zh-CN"/>
              </w:rPr>
              <w:t>；</w:t>
            </w:r>
          </w:p>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2.没有造成危害后果。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15</w:t>
            </w:r>
          </w:p>
        </w:tc>
        <w:tc>
          <w:tcPr>
            <w:tcW w:w="2378" w:type="dxa"/>
            <w:vAlign w:val="center"/>
          </w:tcPr>
          <w:p>
            <w:pPr>
              <w:rPr>
                <w:rFonts w:hint="eastAsia"/>
                <w:lang w:val="en-US" w:eastAsia="zh-CN"/>
              </w:rPr>
            </w:pPr>
            <w:r>
              <w:rPr>
                <w:rFonts w:hint="eastAsia"/>
                <w:lang w:val="en-US" w:eastAsia="zh-CN"/>
              </w:rPr>
              <w:t>使用的计量器具分度值不符合规定要求</w:t>
            </w:r>
          </w:p>
          <w:p>
            <w:pPr>
              <w:pStyle w:val="2"/>
              <w:ind w:left="0" w:leftChars="0" w:firstLine="0" w:firstLineChars="0"/>
              <w:rPr>
                <w:rFonts w:hint="eastAsia"/>
                <w:lang w:val="en-US" w:eastAsia="zh-CN"/>
              </w:rPr>
            </w:pPr>
          </w:p>
        </w:tc>
        <w:tc>
          <w:tcPr>
            <w:tcW w:w="7938" w:type="dxa"/>
            <w:vAlign w:val="center"/>
          </w:tcPr>
          <w:p>
            <w:pP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天津市计量管理条例》第二十七条　经营依据量值结算的商品，应当配备符合国家和本市规定的计量器具；没有配备的，不得从事经营活动。</w:t>
            </w:r>
          </w:p>
          <w:p>
            <w:pPr>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kern w:val="0"/>
                <w:sz w:val="24"/>
                <w:szCs w:val="24"/>
                <w:lang w:val="en-US" w:eastAsia="zh-CN"/>
              </w:rPr>
              <w:t>《天津市计量管理条例》第三十九条　违反本条例第二十条第（一）项、第（二）项、第（三）项、第（五）项、第（六）项和第二十七条、第二十八条、第二十九条规定的，责令停止使用或者销售，没收计量器具和非法检定印、证，并可处以二千元以下罚款；有违法所得的，没收违法所得。</w:t>
            </w:r>
          </w:p>
        </w:tc>
        <w:tc>
          <w:tcPr>
            <w:tcW w:w="3151" w:type="dxa"/>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16</w:t>
            </w:r>
          </w:p>
        </w:tc>
        <w:tc>
          <w:tcPr>
            <w:tcW w:w="2378" w:type="dxa"/>
            <w:vAlign w:val="center"/>
          </w:tcPr>
          <w:p>
            <w:pPr>
              <w:pStyle w:val="2"/>
              <w:ind w:left="0" w:leftChars="0" w:firstLine="0" w:firstLineChars="0"/>
              <w:rPr>
                <w:rFonts w:hint="eastAsia"/>
              </w:rPr>
            </w:pPr>
            <w:r>
              <w:rPr>
                <w:rFonts w:hint="eastAsia"/>
              </w:rPr>
              <w:t>合伙企业未依照规定在其名称中标明“普通合伙”、“特殊普通合伙”或者“有限合伙”字样</w:t>
            </w:r>
          </w:p>
          <w:p>
            <w:pPr>
              <w:rPr>
                <w:rFonts w:hint="eastAsia"/>
                <w:lang w:eastAsia="zh-CN"/>
              </w:rPr>
            </w:pPr>
          </w:p>
        </w:tc>
        <w:tc>
          <w:tcPr>
            <w:tcW w:w="7938" w:type="dxa"/>
            <w:vAlign w:val="center"/>
          </w:tcPr>
          <w:p>
            <w:pPr>
              <w:keepNext w:val="0"/>
              <w:keepLines w:val="0"/>
              <w:pageBreakBefore w:val="0"/>
              <w:widowControl/>
              <w:numPr>
                <w:ilvl w:val="0"/>
                <w:numId w:val="0"/>
              </w:numPr>
              <w:kinsoku/>
              <w:wordWrap/>
              <w:topLinePunct w:val="0"/>
              <w:autoSpaceDE/>
              <w:autoSpaceDN/>
              <w:bidi w:val="0"/>
              <w:adjustRightInd w:val="0"/>
              <w:snapToGrid w:val="0"/>
              <w:spacing w:line="280" w:lineRule="exact"/>
              <w:jc w:val="both"/>
              <w:textAlignment w:val="center"/>
              <w:rPr>
                <w:rFonts w:hint="eastAsia" w:ascii="仿宋_GB2312" w:hAnsi="仿宋_GB2312" w:eastAsia="仿宋_GB2312" w:cs="仿宋_GB2312"/>
                <w:color w:val="auto"/>
                <w:spacing w:val="0"/>
                <w:w w:val="100"/>
                <w:kern w:val="2"/>
                <w:sz w:val="24"/>
                <w:szCs w:val="24"/>
                <w:highlight w:val="none"/>
                <w:lang w:bidi="ar"/>
              </w:rPr>
            </w:pPr>
            <w:r>
              <w:rPr>
                <w:rFonts w:hint="eastAsia" w:ascii="仿宋_GB2312" w:hAnsi="仿宋_GB2312" w:eastAsia="仿宋_GB2312" w:cs="仿宋_GB2312"/>
                <w:sz w:val="24"/>
                <w:szCs w:val="24"/>
              </w:rPr>
              <w:t>《中华人民共和国合伙企业法》</w:t>
            </w:r>
            <w:r>
              <w:rPr>
                <w:rFonts w:hint="eastAsia" w:ascii="仿宋_GB2312" w:hAnsi="仿宋_GB2312" w:eastAsia="仿宋_GB2312" w:cs="仿宋_GB2312"/>
                <w:color w:val="auto"/>
                <w:spacing w:val="0"/>
                <w:w w:val="100"/>
                <w:kern w:val="2"/>
                <w:sz w:val="24"/>
                <w:szCs w:val="24"/>
                <w:highlight w:val="none"/>
                <w:lang w:bidi="ar"/>
              </w:rPr>
              <w:t>第十五条</w:t>
            </w:r>
            <w:r>
              <w:rPr>
                <w:rFonts w:hint="eastAsia" w:ascii="仿宋_GB2312" w:hAnsi="仿宋_GB2312" w:eastAsia="仿宋_GB2312" w:cs="仿宋_GB2312"/>
                <w:color w:val="auto"/>
                <w:spacing w:val="0"/>
                <w:w w:val="100"/>
                <w:kern w:val="2"/>
                <w:sz w:val="24"/>
                <w:szCs w:val="24"/>
                <w:highlight w:val="none"/>
                <w:lang w:val="en-US" w:eastAsia="zh-CN" w:bidi="ar"/>
              </w:rPr>
              <w:t xml:space="preserve">  </w:t>
            </w:r>
            <w:r>
              <w:rPr>
                <w:rFonts w:hint="eastAsia" w:ascii="仿宋_GB2312" w:hAnsi="仿宋_GB2312" w:eastAsia="仿宋_GB2312" w:cs="仿宋_GB2312"/>
                <w:color w:val="auto"/>
                <w:spacing w:val="0"/>
                <w:w w:val="100"/>
                <w:kern w:val="2"/>
                <w:sz w:val="24"/>
                <w:szCs w:val="24"/>
                <w:highlight w:val="none"/>
                <w:lang w:bidi="ar"/>
              </w:rPr>
              <w:t>合伙企业名称中应当标明“普通合伙”字样。</w:t>
            </w:r>
          </w:p>
          <w:p>
            <w:pPr>
              <w:keepNext w:val="0"/>
              <w:keepLines w:val="0"/>
              <w:pageBreakBefore w:val="0"/>
              <w:widowControl/>
              <w:numPr>
                <w:ilvl w:val="0"/>
                <w:numId w:val="0"/>
              </w:numPr>
              <w:kinsoku/>
              <w:wordWrap/>
              <w:topLinePunct w:val="0"/>
              <w:autoSpaceDE/>
              <w:autoSpaceDN/>
              <w:bidi w:val="0"/>
              <w:adjustRightInd w:val="0"/>
              <w:snapToGrid w:val="0"/>
              <w:spacing w:line="280" w:lineRule="exact"/>
              <w:jc w:val="both"/>
              <w:textAlignment w:val="center"/>
              <w:rPr>
                <w:rFonts w:hint="eastAsia" w:ascii="仿宋_GB2312" w:hAnsi="仿宋_GB2312" w:eastAsia="仿宋_GB2312" w:cs="仿宋_GB2312"/>
                <w:color w:val="auto"/>
                <w:spacing w:val="0"/>
                <w:w w:val="100"/>
                <w:kern w:val="2"/>
                <w:sz w:val="24"/>
                <w:szCs w:val="24"/>
                <w:highlight w:val="none"/>
                <w:lang w:bidi="ar"/>
              </w:rPr>
            </w:pPr>
            <w:r>
              <w:rPr>
                <w:rFonts w:hint="eastAsia" w:ascii="仿宋_GB2312" w:hAnsi="仿宋_GB2312" w:eastAsia="仿宋_GB2312" w:cs="仿宋_GB2312"/>
                <w:color w:val="auto"/>
                <w:spacing w:val="0"/>
                <w:w w:val="100"/>
                <w:kern w:val="2"/>
                <w:sz w:val="24"/>
                <w:szCs w:val="24"/>
                <w:highlight w:val="none"/>
                <w:lang w:bidi="ar"/>
              </w:rPr>
              <w:t>第五十六条</w:t>
            </w:r>
            <w:r>
              <w:rPr>
                <w:rFonts w:hint="eastAsia" w:ascii="仿宋_GB2312" w:hAnsi="仿宋_GB2312" w:eastAsia="仿宋_GB2312" w:cs="仿宋_GB2312"/>
                <w:color w:val="auto"/>
                <w:spacing w:val="0"/>
                <w:w w:val="100"/>
                <w:kern w:val="2"/>
                <w:sz w:val="24"/>
                <w:szCs w:val="24"/>
                <w:highlight w:val="none"/>
                <w:lang w:val="en-US" w:eastAsia="zh-CN" w:bidi="ar"/>
              </w:rPr>
              <w:t xml:space="preserve">  </w:t>
            </w:r>
            <w:r>
              <w:rPr>
                <w:rFonts w:hint="eastAsia" w:ascii="仿宋_GB2312" w:hAnsi="仿宋_GB2312" w:eastAsia="仿宋_GB2312" w:cs="仿宋_GB2312"/>
                <w:color w:val="auto"/>
                <w:spacing w:val="0"/>
                <w:w w:val="100"/>
                <w:kern w:val="2"/>
                <w:sz w:val="24"/>
                <w:szCs w:val="24"/>
                <w:highlight w:val="none"/>
                <w:lang w:bidi="ar"/>
              </w:rPr>
              <w:t>特殊的普通合伙企业名称中应当标明“特殊普通合伙”字样。</w:t>
            </w:r>
          </w:p>
          <w:p>
            <w:pPr>
              <w:keepNext w:val="0"/>
              <w:keepLines w:val="0"/>
              <w:pageBreakBefore w:val="0"/>
              <w:widowControl/>
              <w:numPr>
                <w:ilvl w:val="0"/>
                <w:numId w:val="0"/>
              </w:numPr>
              <w:kinsoku/>
              <w:wordWrap/>
              <w:topLinePunct w:val="0"/>
              <w:autoSpaceDE/>
              <w:autoSpaceDN/>
              <w:bidi w:val="0"/>
              <w:adjustRightInd w:val="0"/>
              <w:snapToGrid w:val="0"/>
              <w:spacing w:line="280" w:lineRule="exact"/>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auto"/>
                <w:spacing w:val="0"/>
                <w:w w:val="100"/>
                <w:kern w:val="2"/>
                <w:sz w:val="24"/>
                <w:szCs w:val="24"/>
                <w:highlight w:val="none"/>
                <w:lang w:bidi="ar"/>
              </w:rPr>
              <w:t>第六十二条</w:t>
            </w:r>
            <w:r>
              <w:rPr>
                <w:rFonts w:hint="eastAsia" w:ascii="仿宋_GB2312" w:hAnsi="仿宋_GB2312" w:eastAsia="仿宋_GB2312" w:cs="仿宋_GB2312"/>
                <w:color w:val="auto"/>
                <w:spacing w:val="0"/>
                <w:w w:val="100"/>
                <w:kern w:val="2"/>
                <w:sz w:val="24"/>
                <w:szCs w:val="24"/>
                <w:highlight w:val="none"/>
                <w:lang w:val="en-US" w:eastAsia="zh-CN" w:bidi="ar"/>
              </w:rPr>
              <w:t xml:space="preserve">  </w:t>
            </w:r>
            <w:r>
              <w:rPr>
                <w:rFonts w:hint="eastAsia" w:ascii="仿宋_GB2312" w:hAnsi="仿宋_GB2312" w:eastAsia="仿宋_GB2312" w:cs="仿宋_GB2312"/>
                <w:color w:val="auto"/>
                <w:spacing w:val="0"/>
                <w:w w:val="100"/>
                <w:kern w:val="2"/>
                <w:sz w:val="24"/>
                <w:szCs w:val="24"/>
                <w:highlight w:val="none"/>
                <w:lang w:bidi="ar"/>
              </w:rPr>
              <w:t>有限合伙企业名称中应当标明“有限合伙”字样。</w:t>
            </w:r>
          </w:p>
          <w:p>
            <w:pP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第九十四条</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违反本法规定，合伙企业未在其名称中标明“普通合伙”、“特殊普通合伙”或者“有限合伙”字样的，由企业登记机关责令限期改正，处以二千元以上一万元以下罚款。</w:t>
            </w:r>
          </w:p>
        </w:tc>
        <w:tc>
          <w:tcPr>
            <w:tcW w:w="3151" w:type="dxa"/>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17</w:t>
            </w:r>
          </w:p>
        </w:tc>
        <w:tc>
          <w:tcPr>
            <w:tcW w:w="2378" w:type="dxa"/>
            <w:vAlign w:val="center"/>
          </w:tcPr>
          <w:p>
            <w:pPr>
              <w:pStyle w:val="2"/>
              <w:ind w:left="0" w:leftChars="0" w:firstLine="0" w:firstLineChars="0"/>
              <w:rPr>
                <w:rFonts w:hint="eastAsia"/>
              </w:rPr>
            </w:pPr>
            <w:r>
              <w:rPr>
                <w:rFonts w:hint="eastAsia"/>
              </w:rPr>
              <w:t>个人独资企业使用的名称与其在登记机关登记的名称不相符合</w:t>
            </w:r>
          </w:p>
          <w:p>
            <w:pPr>
              <w:rPr>
                <w:rFonts w:hint="eastAsia"/>
              </w:rPr>
            </w:pPr>
          </w:p>
        </w:tc>
        <w:tc>
          <w:tcPr>
            <w:tcW w:w="7938" w:type="dxa"/>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《中华人民共和国个人独资企业法》第三十四条</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违反本法规定，个人独资企业使用的名称与其在登记机关登记的名称不相符合的，责令限期改正，处以二千元以下的罚款。</w:t>
            </w:r>
          </w:p>
        </w:tc>
        <w:tc>
          <w:tcPr>
            <w:tcW w:w="3151" w:type="dxa"/>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2378" w:type="dxa"/>
            <w:vAlign w:val="center"/>
          </w:tcPr>
          <w:p>
            <w:pPr>
              <w:pStyle w:val="2"/>
              <w:ind w:left="0" w:leftChars="0" w:firstLine="0" w:firstLineChars="0"/>
              <w:rPr>
                <w:rFonts w:hint="eastAsia"/>
              </w:rPr>
            </w:pPr>
            <w:r>
              <w:rPr>
                <w:rFonts w:hint="eastAsia"/>
              </w:rPr>
              <w:t>经营者违反明码标价规定，不标明价格</w:t>
            </w:r>
            <w:r>
              <w:rPr>
                <w:rFonts w:hint="eastAsia"/>
                <w:lang w:eastAsia="zh-CN"/>
              </w:rPr>
              <w:t>，或者</w:t>
            </w:r>
            <w:r>
              <w:rPr>
                <w:rFonts w:hint="eastAsia"/>
              </w:rPr>
              <w:t>不按照规定的内容和方式明码标价</w:t>
            </w:r>
          </w:p>
          <w:p>
            <w:pPr>
              <w:rPr>
                <w:rFonts w:hint="eastAsia"/>
                <w:lang w:val="en-US" w:eastAsia="zh-CN"/>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《中华人民共和国价格法》第十三条第一款  经营者销售、收购商品和提供服务，应当按照政府价格主管部门的规定明码标价，注明商品的品名、产地、规格、等级、计价单位、价格或者服务的项目、收费标准等有关情况。</w:t>
            </w:r>
          </w:p>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lang w:val="zh-CN"/>
              </w:rPr>
              <w:t>第四十二条　经营者违反明码标价规定的，责令改正，没收违法所得，可以并处五千元以下的罚款。</w:t>
            </w:r>
          </w:p>
          <w:p>
            <w:pPr>
              <w:keepNext w:val="0"/>
              <w:keepLines w:val="0"/>
              <w:pageBreakBefore w:val="0"/>
              <w:widowControl w:val="0"/>
              <w:tabs>
                <w:tab w:val="left" w:pos="790"/>
                <w:tab w:val="left" w:pos="1264"/>
              </w:tabs>
              <w:kinsoku/>
              <w:wordWrap/>
              <w:overflowPunct w:val="0"/>
              <w:topLinePunct w:val="0"/>
              <w:autoSpaceDE/>
              <w:autoSpaceDN/>
              <w:bidi w:val="0"/>
              <w:adjustRightInd w:val="0"/>
              <w:snapToGrid w:val="0"/>
              <w:spacing w:line="320" w:lineRule="exact"/>
              <w:jc w:val="both"/>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sz w:val="24"/>
                <w:szCs w:val="24"/>
              </w:rPr>
              <w:t>《价格违法行为行政处罚规定》第十三条第一项  经营者违反明码标价规定，有下列行为之一的，责令改正，没收违法所得，可以并处5000元以下的罚款：（一</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不标明价格的；（二</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不按照规定的内容和方式明码标价的；</w:t>
            </w:r>
          </w:p>
        </w:tc>
        <w:tc>
          <w:tcPr>
            <w:tcW w:w="3151" w:type="dxa"/>
            <w:vAlign w:val="center"/>
          </w:tcPr>
          <w:p>
            <w:pP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rPr>
              <w:t>违法行为持续时间较短；</w:t>
            </w:r>
          </w:p>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rPr>
              <w:t>2.案涉商品、服务数量较少</w:t>
            </w:r>
            <w:r>
              <w:rPr>
                <w:rFonts w:hint="eastAsia" w:ascii="仿宋_GB2312" w:hAnsi="仿宋_GB2312" w:eastAsia="仿宋_GB2312" w:cs="仿宋_GB2312"/>
                <w:kern w:val="2"/>
                <w:sz w:val="24"/>
                <w:szCs w:val="24"/>
                <w:lang w:eastAsia="zh-CN"/>
              </w:rPr>
              <w:t>；</w:t>
            </w:r>
          </w:p>
          <w:p>
            <w:pP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3.</w:t>
            </w: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19</w:t>
            </w:r>
          </w:p>
        </w:tc>
        <w:tc>
          <w:tcPr>
            <w:tcW w:w="2378" w:type="dxa"/>
            <w:vAlign w:val="center"/>
          </w:tcPr>
          <w:p>
            <w:pPr>
              <w:pStyle w:val="2"/>
              <w:ind w:left="0" w:leftChars="0" w:firstLine="0" w:firstLineChars="0"/>
              <w:rPr>
                <w:rFonts w:hint="eastAsia"/>
                <w:lang w:eastAsia="zh-CN"/>
              </w:rPr>
            </w:pPr>
            <w:r>
              <w:rPr>
                <w:rFonts w:hint="eastAsia"/>
                <w:lang w:eastAsia="zh-CN"/>
              </w:rPr>
              <w:t>医疗器械持有人未按照要求配备与其产品相适应的机构和人员从事医疗器械不良事件监测相关工作</w:t>
            </w:r>
          </w:p>
          <w:p>
            <w:pPr>
              <w:rPr>
                <w:rFonts w:hint="eastAsia"/>
                <w:lang w:eastAsia="zh-CN"/>
              </w:rPr>
            </w:pPr>
          </w:p>
        </w:tc>
        <w:tc>
          <w:tcPr>
            <w:tcW w:w="7938" w:type="dxa"/>
            <w:vAlign w:val="center"/>
          </w:tcPr>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《医疗器械不良事件监测和再评价管理办法》第十四条第二项</w:t>
            </w:r>
            <w:r>
              <w:rPr>
                <w:rFonts w:hint="eastAsia" w:ascii="仿宋_GB2312" w:hAnsi="仿宋_GB2312" w:eastAsia="仿宋_GB2312" w:cs="仿宋_GB2312"/>
                <w:color w:val="auto"/>
                <w:sz w:val="24"/>
                <w:szCs w:val="24"/>
                <w:highlight w:val="none"/>
                <w:lang w:val="en-US" w:eastAsia="zh-CN"/>
              </w:rPr>
              <w:t xml:space="preserve"> 持有人应当对其上市的医疗器械进行持续研究，评估风险情况，承担医疗器械不良事件监测的责任，根据分析评价结果采取有效控制措施，并履行下列主要义务：（二）配备与其产品相适应的机构和人员从事医疗器械不良事件监测相关工作；</w:t>
            </w:r>
          </w:p>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第七十三条</w:t>
            </w:r>
            <w:r>
              <w:rPr>
                <w:rFonts w:hint="eastAsia" w:ascii="仿宋_GB2312" w:hAnsi="仿宋_GB2312" w:eastAsia="仿宋_GB2312" w:cs="仿宋_GB2312"/>
                <w:color w:val="auto"/>
                <w:sz w:val="24"/>
                <w:szCs w:val="24"/>
                <w:highlight w:val="none"/>
              </w:rPr>
              <w:t>第二项</w:t>
            </w:r>
            <w:r>
              <w:rPr>
                <w:rFonts w:hint="eastAsia" w:ascii="仿宋_GB2312" w:hAnsi="仿宋_GB2312" w:eastAsia="仿宋_GB2312" w:cs="仿宋_GB2312"/>
                <w:color w:val="auto"/>
                <w:sz w:val="24"/>
                <w:szCs w:val="24"/>
                <w:highlight w:val="none"/>
                <w:lang w:val="en-US" w:eastAsia="zh-CN"/>
              </w:rPr>
              <w:t xml:space="preserve">  持有人有下列情形之一的，由县级以上药品监督管理部门责令改正，给予警告；拒不改正的，处5000元以上2万元以下罚款：（二）未按照要求配备与其产品相适应的机构和人员从事医疗器械不良事件监测相关工作的；</w:t>
            </w:r>
          </w:p>
        </w:tc>
        <w:tc>
          <w:tcPr>
            <w:tcW w:w="3151" w:type="dxa"/>
            <w:vAlign w:val="center"/>
          </w:tcPr>
          <w:p>
            <w:pPr>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20</w:t>
            </w:r>
          </w:p>
        </w:tc>
        <w:tc>
          <w:tcPr>
            <w:tcW w:w="2378" w:type="dxa"/>
            <w:vAlign w:val="center"/>
          </w:tcPr>
          <w:p>
            <w:pPr>
              <w:pStyle w:val="2"/>
              <w:ind w:left="0" w:leftChars="0" w:firstLine="0" w:firstLineChars="0"/>
              <w:rPr>
                <w:rFonts w:hint="eastAsia"/>
                <w:lang w:eastAsia="zh-CN"/>
              </w:rPr>
            </w:pPr>
            <w:r>
              <w:rPr>
                <w:rFonts w:hint="eastAsia"/>
                <w:lang w:eastAsia="zh-CN"/>
              </w:rPr>
              <w:t>医疗器械经营企业、使用单位未按照要求配备与其经营或者使用规模相适应的机构或者人员从事医疗器械不良事件监测相关工作</w:t>
            </w:r>
          </w:p>
          <w:p>
            <w:pPr>
              <w:rPr>
                <w:rFonts w:hint="eastAsia"/>
                <w:lang w:eastAsia="zh-CN"/>
              </w:rPr>
            </w:pPr>
          </w:p>
        </w:tc>
        <w:tc>
          <w:tcPr>
            <w:tcW w:w="7938" w:type="dxa"/>
            <w:vAlign w:val="center"/>
          </w:tcPr>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《医疗器械不良事件监测和再评价管理办法》第十六条第二项</w:t>
            </w:r>
            <w:r>
              <w:rPr>
                <w:rFonts w:hint="eastAsia" w:ascii="仿宋_GB2312" w:hAnsi="仿宋_GB2312" w:eastAsia="仿宋_GB2312" w:cs="仿宋_GB2312"/>
                <w:color w:val="auto"/>
                <w:sz w:val="24"/>
                <w:szCs w:val="24"/>
                <w:highlight w:val="none"/>
                <w:lang w:val="en-US" w:eastAsia="zh-CN"/>
              </w:rPr>
              <w:t xml:space="preserve"> 医疗器械经营企业、使用单位应当履行下列主要义务：（二）配备与其经营或者使用规模相适应的机构或者人员从事医疗器械不良事件监测相关工作；</w:t>
            </w:r>
          </w:p>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第七十四条</w:t>
            </w:r>
            <w:r>
              <w:rPr>
                <w:rFonts w:hint="eastAsia" w:ascii="仿宋_GB2312" w:hAnsi="仿宋_GB2312" w:eastAsia="仿宋_GB2312" w:cs="仿宋_GB2312"/>
                <w:color w:val="auto"/>
                <w:sz w:val="24"/>
                <w:szCs w:val="24"/>
                <w:highlight w:val="none"/>
              </w:rPr>
              <w:t>第二项</w:t>
            </w:r>
            <w:r>
              <w:rPr>
                <w:rFonts w:hint="eastAsia" w:ascii="仿宋_GB2312" w:hAnsi="仿宋_GB2312" w:eastAsia="仿宋_GB2312" w:cs="仿宋_GB2312"/>
                <w:color w:val="auto"/>
                <w:sz w:val="24"/>
                <w:szCs w:val="24"/>
                <w:highlight w:val="none"/>
                <w:lang w:val="en-US" w:eastAsia="zh-CN"/>
              </w:rPr>
              <w:t xml:space="preserve"> 医疗器械经营企业、使用单位有下列情形之一的，由县级以上药品监督管理部门和卫生行政部门依据各自职责责令改正，给予警告；拒不改正的，处5000元以上2万元以下罚款：（二）未按照要求配备与其经营或者使用规模相适应的机构或者人员从事医疗器械不良事件监测相关工作的；</w:t>
            </w:r>
          </w:p>
        </w:tc>
        <w:tc>
          <w:tcPr>
            <w:tcW w:w="3151" w:type="dxa"/>
            <w:vAlign w:val="center"/>
          </w:tcPr>
          <w:p>
            <w:pPr>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21</w:t>
            </w:r>
          </w:p>
        </w:tc>
        <w:tc>
          <w:tcPr>
            <w:tcW w:w="2378" w:type="dxa"/>
            <w:vAlign w:val="center"/>
          </w:tcPr>
          <w:p>
            <w:pPr>
              <w:pStyle w:val="2"/>
              <w:ind w:left="0" w:leftChars="0" w:firstLine="0" w:firstLineChars="0"/>
              <w:rPr>
                <w:rFonts w:hint="eastAsia"/>
                <w:lang w:val="en-US" w:eastAsia="zh-CN"/>
              </w:rPr>
            </w:pPr>
            <w:r>
              <w:rPr>
                <w:rFonts w:hint="eastAsia"/>
                <w:lang w:eastAsia="zh-CN"/>
              </w:rPr>
              <w:t>医疗器械持有人、</w:t>
            </w:r>
            <w:r>
              <w:rPr>
                <w:rFonts w:hint="eastAsia"/>
                <w:lang w:val="en-US" w:eastAsia="zh-CN"/>
              </w:rPr>
              <w:t>经营企业和二级以上医疗机构</w:t>
            </w:r>
            <w:r>
              <w:rPr>
                <w:rFonts w:hint="eastAsia"/>
                <w:lang w:eastAsia="zh-CN"/>
              </w:rPr>
              <w:t>应当注册而未注册为医疗器械不良事件监测信息系统用户；医疗器械持有人</w:t>
            </w:r>
            <w:r>
              <w:rPr>
                <w:rFonts w:hint="eastAsia"/>
                <w:lang w:val="en-US" w:eastAsia="zh-CN"/>
              </w:rPr>
              <w:t>未主动维护用户信息，或者未持续跟踪和处理监测信息</w:t>
            </w:r>
          </w:p>
          <w:p>
            <w:pPr>
              <w:rPr>
                <w:rFonts w:hint="eastAsia"/>
                <w:lang w:eastAsia="zh-CN"/>
              </w:rPr>
            </w:pPr>
            <w:bookmarkStart w:id="0" w:name="_GoBack"/>
            <w:bookmarkEnd w:id="0"/>
          </w:p>
        </w:tc>
        <w:tc>
          <w:tcPr>
            <w:tcW w:w="7938" w:type="dxa"/>
            <w:vAlign w:val="center"/>
          </w:tcPr>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《医疗器械不良事件监测和再评价管理办法》第十九条第一款</w:t>
            </w:r>
            <w:r>
              <w:rPr>
                <w:rFonts w:hint="eastAsia" w:ascii="仿宋_GB2312" w:hAnsi="仿宋_GB2312" w:eastAsia="仿宋_GB2312" w:cs="仿宋_GB2312"/>
                <w:color w:val="auto"/>
                <w:sz w:val="24"/>
                <w:szCs w:val="24"/>
                <w:highlight w:val="none"/>
                <w:lang w:val="en-US" w:eastAsia="zh-CN"/>
              </w:rPr>
              <w:t xml:space="preserve"> 持有人、经营企业和二级以上医疗机构应当注册为国家医疗器械不良事件监测信息系统用户，主动维护其用户信息，报告医疗器械不良事件。持有人应当持续跟踪和处理监测信息；产品注册信息发生变化的，应当在系统中立即更新。</w:t>
            </w:r>
          </w:p>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第七十三条第四项、第五项 持有人有下列情形之一的，由县级以上药品监督管理部门责令改正，给予警告；拒不改正的，处5000元以上2万元以下罚款：（四）应当注册而未注册为医疗器械不良事件监测信息系统用户的；（五）未主动维护用户信息，或者未持续跟踪和处理监测信息的；</w:t>
            </w:r>
          </w:p>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第七十四条第四项 医疗器械经营企业、使用单位有下列情形之一的，由县级以上药品监督管理部门和卫生行政部门依据各自职责责令改正，给予警告；拒不改正的，处5000元以上2万元以下罚款：（四）应当注册而未注册为国家医疗器械不良事件监测信息系统用户的；</w:t>
            </w:r>
          </w:p>
        </w:tc>
        <w:tc>
          <w:tcPr>
            <w:tcW w:w="3151" w:type="dxa"/>
            <w:vAlign w:val="center"/>
          </w:tcPr>
          <w:p>
            <w:pPr>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22</w:t>
            </w:r>
          </w:p>
        </w:tc>
        <w:tc>
          <w:tcPr>
            <w:tcW w:w="2378" w:type="dxa"/>
            <w:vAlign w:val="center"/>
          </w:tcPr>
          <w:p>
            <w:pPr>
              <w:rPr>
                <w:rFonts w:hint="eastAsia"/>
                <w:lang w:eastAsia="zh-CN"/>
              </w:rPr>
            </w:pPr>
            <w:r>
              <w:rPr>
                <w:rFonts w:hint="eastAsia"/>
                <w:lang w:eastAsia="zh-CN"/>
              </w:rPr>
              <w:t>医疗器械零售企业将非消费者自行使用的医疗器械销售给消费者个人</w:t>
            </w:r>
          </w:p>
          <w:p>
            <w:pPr>
              <w:pStyle w:val="2"/>
              <w:ind w:left="0" w:leftChars="0" w:firstLine="0" w:firstLineChars="0"/>
              <w:rPr>
                <w:rFonts w:hint="eastAsia"/>
                <w:lang w:eastAsia="zh-CN"/>
              </w:rPr>
            </w:pPr>
          </w:p>
        </w:tc>
        <w:tc>
          <w:tcPr>
            <w:tcW w:w="7938" w:type="dxa"/>
            <w:vAlign w:val="center"/>
          </w:tcPr>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《医疗器械网络销售监督管理办法》第十三条第三款 医疗器械零售企业从事医疗器械网络销售，应当销售给消费者。销售给消费者个人的医疗器械，应当是可以由消费者个人自行使用的，其说明书应当符合医疗器械说明书和标签管理相关规定，标注安全使用的特别说明。</w:t>
            </w:r>
          </w:p>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第四十四条第一款第一项、第二款 有下列情形之一的，由县级以上地方食品药品监督管理部门责令改正，处1万元以上3万元以下罚款：（一）从事医疗器械网络销售的企业超出经营范围销售的；</w:t>
            </w:r>
          </w:p>
          <w:p>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医疗器械零售企业将非消费者自行使用的医疗器械销售给消费者个人的，依照前款第一项规定予以处罚。</w:t>
            </w:r>
          </w:p>
        </w:tc>
        <w:tc>
          <w:tcPr>
            <w:tcW w:w="3151" w:type="dxa"/>
            <w:vAlign w:val="center"/>
          </w:tcPr>
          <w:p>
            <w:pPr>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kern w:val="2"/>
                <w:sz w:val="24"/>
                <w:szCs w:val="24"/>
              </w:rPr>
              <w:t>及时改正，且没有造成危害后果。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085" w:type="dxa"/>
            <w:gridSpan w:val="2"/>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说明</w:t>
            </w:r>
          </w:p>
        </w:tc>
        <w:tc>
          <w:tcPr>
            <w:tcW w:w="11089"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1.本清单列明的免罚条件，应当同时具备。</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2.存在情节严重情形的，不适用本清单。</w:t>
            </w:r>
          </w:p>
          <w:p>
            <w:pP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有</w:t>
            </w:r>
            <w:r>
              <w:rPr>
                <w:rFonts w:hint="eastAsia" w:ascii="仿宋_GB2312" w:hAnsi="仿宋_GB2312" w:eastAsia="仿宋_GB2312" w:cs="仿宋_GB2312"/>
                <w:sz w:val="24"/>
                <w:szCs w:val="24"/>
              </w:rPr>
              <w:t>从重处罚情节的，不适用本清单。</w:t>
            </w:r>
          </w:p>
        </w:tc>
      </w:tr>
    </w:tbl>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8C4"/>
    <w:rsid w:val="00032F62"/>
    <w:rsid w:val="00057F2E"/>
    <w:rsid w:val="000D4B5A"/>
    <w:rsid w:val="000E70B8"/>
    <w:rsid w:val="00112D6F"/>
    <w:rsid w:val="00125988"/>
    <w:rsid w:val="0013245C"/>
    <w:rsid w:val="0013265A"/>
    <w:rsid w:val="0016775D"/>
    <w:rsid w:val="00171448"/>
    <w:rsid w:val="001B3749"/>
    <w:rsid w:val="001F05BB"/>
    <w:rsid w:val="00213B67"/>
    <w:rsid w:val="00221130"/>
    <w:rsid w:val="002A17D7"/>
    <w:rsid w:val="002A4FA1"/>
    <w:rsid w:val="002B16DB"/>
    <w:rsid w:val="002F4E09"/>
    <w:rsid w:val="00334285"/>
    <w:rsid w:val="00337402"/>
    <w:rsid w:val="0036333A"/>
    <w:rsid w:val="003845C6"/>
    <w:rsid w:val="003C1BC9"/>
    <w:rsid w:val="003D7C9A"/>
    <w:rsid w:val="003F5004"/>
    <w:rsid w:val="00434313"/>
    <w:rsid w:val="0043729E"/>
    <w:rsid w:val="00483837"/>
    <w:rsid w:val="00483B17"/>
    <w:rsid w:val="0051458D"/>
    <w:rsid w:val="00531E6A"/>
    <w:rsid w:val="00546A60"/>
    <w:rsid w:val="00593A14"/>
    <w:rsid w:val="00597EF1"/>
    <w:rsid w:val="0060271A"/>
    <w:rsid w:val="006316A3"/>
    <w:rsid w:val="006803F7"/>
    <w:rsid w:val="006958C4"/>
    <w:rsid w:val="006A3468"/>
    <w:rsid w:val="006B7256"/>
    <w:rsid w:val="006F3034"/>
    <w:rsid w:val="0071488B"/>
    <w:rsid w:val="00764A42"/>
    <w:rsid w:val="007731A1"/>
    <w:rsid w:val="007B7EF8"/>
    <w:rsid w:val="007D686E"/>
    <w:rsid w:val="008F7DD3"/>
    <w:rsid w:val="00970511"/>
    <w:rsid w:val="00974674"/>
    <w:rsid w:val="009F080B"/>
    <w:rsid w:val="00A81F96"/>
    <w:rsid w:val="00AC6937"/>
    <w:rsid w:val="00AD5C7D"/>
    <w:rsid w:val="00AF0FF2"/>
    <w:rsid w:val="00B474BC"/>
    <w:rsid w:val="00B479E0"/>
    <w:rsid w:val="00B70B82"/>
    <w:rsid w:val="00B72242"/>
    <w:rsid w:val="00B95C59"/>
    <w:rsid w:val="00C25173"/>
    <w:rsid w:val="00C50301"/>
    <w:rsid w:val="00C9212C"/>
    <w:rsid w:val="00CA2AE9"/>
    <w:rsid w:val="00CC6276"/>
    <w:rsid w:val="00CD0F55"/>
    <w:rsid w:val="00DA1B9D"/>
    <w:rsid w:val="00E040D8"/>
    <w:rsid w:val="00E07FB9"/>
    <w:rsid w:val="00E37FFD"/>
    <w:rsid w:val="00E40F82"/>
    <w:rsid w:val="00E56E5D"/>
    <w:rsid w:val="00EA5D6D"/>
    <w:rsid w:val="00EB4BA4"/>
    <w:rsid w:val="00F2750A"/>
    <w:rsid w:val="00F739A1"/>
    <w:rsid w:val="00F94627"/>
    <w:rsid w:val="1BEFE44B"/>
    <w:rsid w:val="1F3F1300"/>
    <w:rsid w:val="1FFF13D3"/>
    <w:rsid w:val="32E159D6"/>
    <w:rsid w:val="3B877CA3"/>
    <w:rsid w:val="3D163594"/>
    <w:rsid w:val="462E7BA0"/>
    <w:rsid w:val="53BEAC6D"/>
    <w:rsid w:val="543EA62A"/>
    <w:rsid w:val="57BF61E8"/>
    <w:rsid w:val="58F92716"/>
    <w:rsid w:val="61A51BC0"/>
    <w:rsid w:val="6ABB2C4E"/>
    <w:rsid w:val="6BFF971F"/>
    <w:rsid w:val="77DD5553"/>
    <w:rsid w:val="77DE273E"/>
    <w:rsid w:val="7C3EA08D"/>
    <w:rsid w:val="7F7F7586"/>
    <w:rsid w:val="7F96344A"/>
    <w:rsid w:val="7FDA1159"/>
    <w:rsid w:val="7FED03B0"/>
    <w:rsid w:val="8F794FC2"/>
    <w:rsid w:val="B6DF4520"/>
    <w:rsid w:val="B97E68DC"/>
    <w:rsid w:val="BEFA00EA"/>
    <w:rsid w:val="BF7F550B"/>
    <w:rsid w:val="C7D6C790"/>
    <w:rsid w:val="DE9D4F12"/>
    <w:rsid w:val="F3975D3E"/>
    <w:rsid w:val="F57D01D6"/>
    <w:rsid w:val="F5AFAF23"/>
    <w:rsid w:val="F7F74F06"/>
    <w:rsid w:val="F9EBF328"/>
    <w:rsid w:val="FC77339B"/>
    <w:rsid w:val="FCEE20D9"/>
    <w:rsid w:val="FEF634B3"/>
    <w:rsid w:val="FFEBE3D6"/>
    <w:rsid w:val="FFFC52E1"/>
    <w:rsid w:val="FFFE8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Calibri" w:hAnsi="Calibri" w:eastAsia="宋体" w:cs="宋体"/>
      <w:sz w:val="21"/>
      <w:szCs w:val="22"/>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8601</Words>
  <Characters>8682</Characters>
  <Lines>24</Lines>
  <Paragraphs>6</Paragraphs>
  <TotalTime>10</TotalTime>
  <ScaleCrop>false</ScaleCrop>
  <LinksUpToDate>false</LinksUpToDate>
  <CharactersWithSpaces>8841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2025-04-05T07:48:00Z</dcterms:created>
  <dc:creator>OA运维23345600</dc:creator>
  <cp:lastModifiedBy>scw</cp:lastModifiedBy>
  <dcterms:modified xsi:type="dcterms:W3CDTF">2025-12-26T14:02:37Z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eyJoZGlkIjoiMzRjZTU4ZDdjZjdmNWE2N2Q4MjlhNDUxYmNiYTdkMDUiLCJ1c2VySWQiOiI0NTI5OTQ1NDkifQ==</vt:lpwstr>
  </property>
  <property fmtid="{D5CDD505-2E9C-101B-9397-08002B2CF9AE}" pid="3" name="KSOProductBuildVer">
    <vt:lpwstr>2052-11.8.2.9831</vt:lpwstr>
  </property>
  <property fmtid="{D5CDD505-2E9C-101B-9397-08002B2CF9AE}" pid="4" name="ICV">
    <vt:lpwstr>5BF7ED49D3104205AD1E00825BA5ED28_12</vt:lpwstr>
  </property>
</Properties>
</file>