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90" w:lineRule="atLeast"/>
        <w:jc w:val="center"/>
        <w:rPr>
          <w:rFonts w:hint="eastAsia" w:ascii="方正小标宋_GBK" w:hAnsi="华文中宋" w:eastAsia="方正小标宋_GBK"/>
          <w:color w:val="FF0000"/>
          <w:spacing w:val="10"/>
          <w:w w:val="65"/>
          <w:sz w:val="88"/>
          <w:szCs w:val="88"/>
        </w:rPr>
      </w:pPr>
    </w:p>
    <w:tbl>
      <w:tblPr>
        <w:tblStyle w:val="10"/>
        <w:tblpPr w:leftFromText="180" w:rightFromText="180" w:vertAnchor="page" w:horzAnchor="page" w:tblpX="1721" w:tblpY="3818"/>
        <w:tblW w:w="0" w:type="auto"/>
        <w:jc w:val="center"/>
        <w:tblLayout w:type="fixed"/>
        <w:tblCellMar>
          <w:top w:w="0" w:type="dxa"/>
          <w:left w:w="108" w:type="dxa"/>
          <w:bottom w:w="0" w:type="dxa"/>
          <w:right w:w="108" w:type="dxa"/>
        </w:tblCellMar>
      </w:tblPr>
      <w:tblGrid>
        <w:gridCol w:w="7338"/>
        <w:gridCol w:w="1429"/>
      </w:tblGrid>
      <w:tr>
        <w:tblPrEx>
          <w:tblCellMar>
            <w:top w:w="0" w:type="dxa"/>
            <w:left w:w="108" w:type="dxa"/>
            <w:bottom w:w="0" w:type="dxa"/>
            <w:right w:w="108" w:type="dxa"/>
          </w:tblCellMar>
        </w:tblPrEx>
        <w:trPr>
          <w:trHeight w:val="860" w:hRule="atLeast"/>
          <w:jc w:val="center"/>
        </w:trPr>
        <w:tc>
          <w:tcPr>
            <w:tcW w:w="7338" w:type="dxa"/>
            <w:noWrap w:val="0"/>
            <w:vAlign w:val="top"/>
          </w:tcPr>
          <w:p>
            <w:pPr>
              <w:keepNext w:val="0"/>
              <w:keepLines w:val="0"/>
              <w:pageBreakBefore w:val="0"/>
              <w:widowControl w:val="0"/>
              <w:kinsoku/>
              <w:wordWrap/>
              <w:overflowPunct/>
              <w:topLinePunct w:val="0"/>
              <w:autoSpaceDE/>
              <w:autoSpaceDN/>
              <w:bidi w:val="0"/>
              <w:adjustRightInd/>
              <w:snapToGrid/>
              <w:spacing w:line="840" w:lineRule="exact"/>
              <w:jc w:val="distribute"/>
              <w:textAlignment w:val="auto"/>
              <w:rPr>
                <w:rFonts w:ascii="方正小标宋_GBK" w:hAnsi="方正小标宋_GBK" w:eastAsia="方正小标宋_GBK"/>
                <w:color w:val="FF0000"/>
                <w:w w:val="80"/>
                <w:sz w:val="76"/>
                <w:szCs w:val="76"/>
              </w:rPr>
            </w:pPr>
            <w:r>
              <w:rPr>
                <w:rFonts w:hint="eastAsia" w:ascii="方正小标宋_GBK" w:hAnsi="方正小标宋_GBK" w:eastAsia="方正小标宋_GBK" w:cs="方正小标宋_GBK"/>
                <w:color w:val="FF0000"/>
                <w:w w:val="80"/>
                <w:sz w:val="76"/>
                <w:szCs w:val="76"/>
              </w:rPr>
              <w:t>青岛市市场监督管理局</w:t>
            </w:r>
          </w:p>
        </w:tc>
        <w:tc>
          <w:tcPr>
            <w:tcW w:w="142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840" w:lineRule="exact"/>
              <w:jc w:val="both"/>
              <w:textAlignment w:val="auto"/>
              <w:rPr>
                <w:rFonts w:ascii="方正小标宋_GBK" w:hAnsi="方正小标宋_GBK" w:eastAsia="方正小标宋_GBK"/>
                <w:color w:val="FF0000"/>
                <w:w w:val="80"/>
                <w:sz w:val="88"/>
                <w:szCs w:val="88"/>
              </w:rPr>
            </w:pPr>
            <w:r>
              <w:rPr>
                <w:rFonts w:hint="eastAsia" w:ascii="方正小标宋_GBK" w:hAnsi="方正小标宋_GBK" w:eastAsia="方正小标宋_GBK" w:cs="方正小标宋_GBK"/>
                <w:color w:val="FF0000"/>
                <w:w w:val="80"/>
                <w:sz w:val="76"/>
                <w:szCs w:val="76"/>
              </w:rPr>
              <w:t>文件</w:t>
            </w:r>
          </w:p>
        </w:tc>
      </w:tr>
      <w:tr>
        <w:tblPrEx>
          <w:tblCellMar>
            <w:top w:w="0" w:type="dxa"/>
            <w:left w:w="108" w:type="dxa"/>
            <w:bottom w:w="0" w:type="dxa"/>
            <w:right w:w="108" w:type="dxa"/>
          </w:tblCellMar>
        </w:tblPrEx>
        <w:trPr>
          <w:trHeight w:val="860" w:hRule="atLeast"/>
          <w:jc w:val="center"/>
        </w:trPr>
        <w:tc>
          <w:tcPr>
            <w:tcW w:w="7338" w:type="dxa"/>
            <w:noWrap w:val="0"/>
            <w:vAlign w:val="top"/>
          </w:tcPr>
          <w:p>
            <w:pPr>
              <w:keepNext w:val="0"/>
              <w:keepLines w:val="0"/>
              <w:pageBreakBefore w:val="0"/>
              <w:widowControl w:val="0"/>
              <w:kinsoku/>
              <w:wordWrap/>
              <w:overflowPunct/>
              <w:topLinePunct w:val="0"/>
              <w:autoSpaceDE/>
              <w:autoSpaceDN/>
              <w:bidi w:val="0"/>
              <w:adjustRightInd/>
              <w:snapToGrid/>
              <w:spacing w:line="840" w:lineRule="exact"/>
              <w:jc w:val="distribute"/>
              <w:textAlignment w:val="auto"/>
              <w:rPr>
                <w:rFonts w:hint="eastAsia" w:ascii="方正小标宋_GBK" w:hAnsi="方正小标宋_GBK" w:eastAsia="方正小标宋_GBK" w:cs="方正小标宋_GBK"/>
                <w:color w:val="FF0000"/>
                <w:w w:val="80"/>
                <w:sz w:val="76"/>
                <w:szCs w:val="76"/>
              </w:rPr>
            </w:pPr>
            <w:r>
              <w:rPr>
                <w:rFonts w:hint="eastAsia" w:ascii="方正小标宋_GBK" w:hAnsi="方正小标宋_GBK" w:eastAsia="方正小标宋_GBK" w:cs="方正小标宋_GBK"/>
                <w:color w:val="FF0000"/>
                <w:w w:val="80"/>
                <w:sz w:val="76"/>
                <w:szCs w:val="76"/>
              </w:rPr>
              <w:t>青岛市</w:t>
            </w:r>
            <w:r>
              <w:rPr>
                <w:rFonts w:hint="eastAsia" w:ascii="方正小标宋_GBK" w:hAnsi="方正小标宋_GBK" w:eastAsia="方正小标宋_GBK" w:cs="方正小标宋_GBK"/>
                <w:color w:val="FF0000"/>
                <w:w w:val="80"/>
                <w:sz w:val="76"/>
                <w:szCs w:val="76"/>
                <w:highlight w:val="none"/>
                <w:lang w:val="en-US" w:eastAsia="zh-CN"/>
              </w:rPr>
              <w:t>财政</w:t>
            </w:r>
            <w:r>
              <w:rPr>
                <w:rFonts w:hint="eastAsia" w:ascii="方正小标宋_GBK" w:hAnsi="方正小标宋_GBK" w:eastAsia="方正小标宋_GBK" w:cs="方正小标宋_GBK"/>
                <w:color w:val="FF0000"/>
                <w:w w:val="80"/>
                <w:sz w:val="76"/>
                <w:szCs w:val="76"/>
              </w:rPr>
              <w:t>局</w:t>
            </w:r>
          </w:p>
        </w:tc>
        <w:tc>
          <w:tcPr>
            <w:tcW w:w="142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840" w:lineRule="exact"/>
              <w:jc w:val="both"/>
              <w:textAlignment w:val="auto"/>
              <w:rPr>
                <w:rFonts w:hint="eastAsia" w:ascii="方正小标宋_GBK" w:hAnsi="方正小标宋_GBK" w:eastAsia="方正小标宋_GBK" w:cs="方正小标宋_GBK"/>
                <w:color w:val="FF0000"/>
                <w:w w:val="80"/>
                <w:sz w:val="76"/>
                <w:szCs w:val="76"/>
              </w:rPr>
            </w:pPr>
          </w:p>
        </w:tc>
      </w:tr>
    </w:tbl>
    <w:p>
      <w:pPr>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_GB2312" w:hAnsi="宋体"/>
          <w:color w:val="000000"/>
          <w:sz w:val="32"/>
          <w:szCs w:val="32"/>
        </w:rPr>
      </w:pPr>
    </w:p>
    <w:p>
      <w:pPr>
        <w:snapToGrid w:val="0"/>
        <w:spacing w:line="590" w:lineRule="atLeast"/>
        <w:ind w:firstLine="320" w:firstLineChars="100"/>
        <w:jc w:val="center"/>
        <w:rPr>
          <w:rFonts w:hint="eastAsia" w:ascii="楷体_GB2312" w:hAnsi="宋体" w:eastAsia="楷体_GB2312"/>
          <w:color w:val="000000"/>
          <w:szCs w:val="32"/>
        </w:rPr>
      </w:pPr>
      <w:r>
        <w:rPr>
          <w:rFonts w:hint="default" w:ascii="Times New Roman" w:hAnsi="Times New Roman" w:cs="Times New Roman"/>
          <w:snapToGrid w:val="0"/>
          <w:kern w:val="0"/>
          <w:szCs w:val="32"/>
        </w:rPr>
        <w:t>青市监字〔</w:t>
      </w:r>
      <w:r>
        <w:rPr>
          <w:rFonts w:hint="eastAsia" w:ascii="仿宋" w:hAnsi="仿宋" w:eastAsia="仿宋" w:cs="仿宋"/>
          <w:snapToGrid w:val="0"/>
          <w:kern w:val="0"/>
          <w:szCs w:val="32"/>
        </w:rPr>
        <w:t>20</w:t>
      </w:r>
      <w:r>
        <w:rPr>
          <w:rFonts w:hint="eastAsia" w:ascii="仿宋" w:hAnsi="仿宋" w:eastAsia="仿宋" w:cs="仿宋"/>
          <w:szCs w:val="32"/>
          <w:lang w:val="en-US" w:eastAsia="zh-CN"/>
        </w:rPr>
        <w:t>26</w:t>
      </w:r>
      <w:r>
        <w:rPr>
          <w:rFonts w:hint="default" w:ascii="Times New Roman" w:hAnsi="Times New Roman" w:cs="Times New Roman"/>
          <w:snapToGrid w:val="0"/>
          <w:kern w:val="0"/>
          <w:szCs w:val="32"/>
        </w:rPr>
        <w:t>〕</w:t>
      </w:r>
      <w:r>
        <w:rPr>
          <w:rFonts w:hint="eastAsia" w:ascii="仿宋" w:hAnsi="仿宋" w:eastAsia="仿宋" w:cs="仿宋"/>
          <w:snapToGrid w:val="0"/>
          <w:kern w:val="0"/>
          <w:szCs w:val="32"/>
          <w:lang w:val="en-US" w:eastAsia="zh-CN"/>
        </w:rPr>
        <w:t>65</w:t>
      </w:r>
      <w:r>
        <w:rPr>
          <w:rFonts w:hint="default" w:ascii="Times New Roman" w:hAnsi="Times New Roman" w:cs="Times New Roman"/>
          <w:snapToGrid w:val="0"/>
          <w:kern w:val="0"/>
          <w:szCs w:val="32"/>
        </w:rPr>
        <w:t>号</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_GBK" w:eastAsia="方正小标宋_GBK"/>
          <w:sz w:val="30"/>
          <w:szCs w:val="30"/>
        </w:rPr>
      </w:pPr>
      <w:r>
        <w:rPr>
          <w:rFonts w:hint="eastAsia"/>
          <w:sz w:val="30"/>
          <w:szCs w:val="30"/>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46990</wp:posOffset>
                </wp:positionV>
                <wp:extent cx="5600700" cy="0"/>
                <wp:effectExtent l="0" t="9525" r="0" b="9525"/>
                <wp:wrapNone/>
                <wp:docPr id="1" name="直线 8"/>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直线 8" o:spid="_x0000_s1026" o:spt="20" style="position:absolute;left:0pt;margin-left:0pt;margin-top:3.7pt;height:0pt;width:441pt;z-index:251661312;mso-width-relative:page;mso-height-relative:page;" filled="f" stroked="t" coordsize="21600,21600" o:gfxdata="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VhEp90wAAAAQBAAAPAAAAAAAAAAEAIAAAACIAAABkcnMv&#10;ZG93bnJldi54bWxQSwECFAAUAAAACACHTuJAiCJ0es8BAACOAwAADgAAAAAAAAABACAAAAAiAQAA&#10;ZHJzL2Uyb0RvYy54bWxQSwUGAAAAAAYABgBZAQAAYwU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0" w:lineRule="atLeast"/>
        <w:ind w:right="0"/>
        <w:jc w:val="center"/>
        <w:textAlignment w:val="auto"/>
        <w:outlineLvl w:val="9"/>
        <w:rPr>
          <w:rFonts w:hint="eastAsia" w:eastAsia="方正小标宋_GBK" w:cs="方正小标宋_GBK"/>
          <w:color w:val="000000"/>
          <w:sz w:val="30"/>
          <w:szCs w:val="30"/>
        </w:rPr>
      </w:pPr>
    </w:p>
    <w:p>
      <w:pPr>
        <w:keepNext w:val="0"/>
        <w:keepLines w:val="0"/>
        <w:pageBreakBefore w:val="0"/>
        <w:widowControl w:val="0"/>
        <w:tabs>
          <w:tab w:val="left" w:pos="8640"/>
        </w:tabs>
        <w:kinsoku/>
        <w:wordWrap/>
        <w:overflowPunct/>
        <w:topLinePunct w:val="0"/>
        <w:autoSpaceDE/>
        <w:autoSpaceDN/>
        <w:bidi w:val="0"/>
        <w:adjustRightInd/>
        <w:snapToGrid/>
        <w:spacing w:line="560" w:lineRule="exact"/>
        <w:ind w:right="205" w:rightChars="64"/>
        <w:jc w:val="center"/>
        <w:textAlignment w:val="auto"/>
        <w:outlineLvl w:val="9"/>
        <w:rPr>
          <w:rFonts w:hint="eastAsia" w:eastAsia="方正小标宋_GBK" w:cs="方正小标宋_GBK"/>
          <w:color w:val="000000"/>
          <w:sz w:val="44"/>
          <w:szCs w:val="44"/>
        </w:rPr>
      </w:pPr>
      <w:r>
        <w:rPr>
          <w:rFonts w:hint="eastAsia" w:eastAsia="方正小标宋_GBK" w:cs="方正小标宋_GBK"/>
          <w:color w:val="000000"/>
          <w:sz w:val="44"/>
          <w:szCs w:val="44"/>
        </w:rPr>
        <w:t>青岛市市场监督管理局</w:t>
      </w:r>
    </w:p>
    <w:p>
      <w:pPr>
        <w:keepNext w:val="0"/>
        <w:keepLines w:val="0"/>
        <w:pageBreakBefore w:val="0"/>
        <w:widowControl w:val="0"/>
        <w:tabs>
          <w:tab w:val="left" w:pos="8640"/>
        </w:tabs>
        <w:kinsoku/>
        <w:wordWrap/>
        <w:overflowPunct/>
        <w:topLinePunct w:val="0"/>
        <w:autoSpaceDE/>
        <w:autoSpaceDN/>
        <w:bidi w:val="0"/>
        <w:adjustRightInd/>
        <w:snapToGrid/>
        <w:spacing w:line="560" w:lineRule="exact"/>
        <w:ind w:right="205" w:rightChars="64"/>
        <w:jc w:val="center"/>
        <w:textAlignment w:val="auto"/>
        <w:outlineLvl w:val="9"/>
        <w:rPr>
          <w:rFonts w:hint="eastAsia" w:ascii="Times New Roman" w:hAnsi="Times New Roman" w:eastAsia="方正小标宋_GBK" w:cs="方正小标宋_GBK"/>
          <w:color w:val="000000"/>
          <w:sz w:val="44"/>
          <w:szCs w:val="44"/>
          <w:lang w:val="en-US" w:eastAsia="zh-CN"/>
        </w:rPr>
      </w:pPr>
      <w:r>
        <w:rPr>
          <w:rFonts w:hint="eastAsia" w:ascii="Times New Roman" w:hAnsi="Times New Roman" w:eastAsia="方正小标宋_GBK" w:cs="方正小标宋_GBK"/>
          <w:color w:val="000000"/>
          <w:spacing w:val="176"/>
          <w:sz w:val="44"/>
          <w:szCs w:val="44"/>
          <w:lang w:val="en-US" w:eastAsia="zh-CN"/>
        </w:rPr>
        <w:t>青岛市财政</w:t>
      </w:r>
      <w:r>
        <w:rPr>
          <w:rFonts w:hint="eastAsia" w:ascii="Times New Roman" w:hAnsi="Times New Roman" w:eastAsia="方正小标宋_GBK" w:cs="方正小标宋_GBK"/>
          <w:color w:val="000000"/>
          <w:sz w:val="44"/>
          <w:szCs w:val="44"/>
          <w:lang w:val="en-US" w:eastAsia="zh-CN"/>
        </w:rPr>
        <w:t>局</w:t>
      </w:r>
    </w:p>
    <w:p>
      <w:pPr>
        <w:pStyle w:val="3"/>
        <w:keepNext w:val="0"/>
        <w:keepLines w:val="0"/>
        <w:pageBreakBefore w:val="0"/>
        <w:widowControl w:val="0"/>
        <w:tabs>
          <w:tab w:val="left" w:pos="8640"/>
        </w:tabs>
        <w:kinsoku/>
        <w:wordWrap/>
        <w:overflowPunct/>
        <w:topLinePunct w:val="0"/>
        <w:autoSpaceDE/>
        <w:autoSpaceDN/>
        <w:bidi w:val="0"/>
        <w:adjustRightInd/>
        <w:snapToGrid/>
        <w:spacing w:line="560" w:lineRule="exact"/>
        <w:ind w:right="205" w:rightChars="64"/>
        <w:jc w:val="center"/>
        <w:textAlignment w:val="auto"/>
        <w:rPr>
          <w:rFonts w:hint="eastAsia" w:ascii="方正小标宋_GBK" w:hAnsi="方正小标宋_GBK" w:eastAsia="方正小标宋_GBK" w:cs="方正小标宋_GBK"/>
          <w:snapToGrid w:val="0"/>
          <w:kern w:val="0"/>
          <w:sz w:val="44"/>
          <w:szCs w:val="44"/>
          <w:lang w:val="en-US" w:eastAsia="zh-CN"/>
        </w:rPr>
      </w:pPr>
      <w:r>
        <w:rPr>
          <w:rFonts w:hint="eastAsia" w:ascii="方正小标宋_GBK" w:hAnsi="方正小标宋_GBK" w:eastAsia="方正小标宋_GBK" w:cs="方正小标宋_GBK"/>
          <w:sz w:val="44"/>
          <w:szCs w:val="44"/>
          <w:lang w:eastAsia="zh-CN"/>
        </w:rPr>
        <w:t>关于</w:t>
      </w:r>
      <w:r>
        <w:rPr>
          <w:rFonts w:hint="eastAsia" w:ascii="方正小标宋_GBK" w:hAnsi="方正小标宋_GBK" w:eastAsia="方正小标宋_GBK" w:cs="方正小标宋_GBK"/>
          <w:snapToGrid w:val="0"/>
          <w:kern w:val="0"/>
          <w:sz w:val="44"/>
          <w:szCs w:val="44"/>
          <w:lang w:val="en-US" w:eastAsia="zh-CN"/>
        </w:rPr>
        <w:t>印发《青岛市“食安哨兵”举报</w:t>
      </w:r>
    </w:p>
    <w:p>
      <w:pPr>
        <w:pStyle w:val="3"/>
        <w:keepNext w:val="0"/>
        <w:keepLines w:val="0"/>
        <w:pageBreakBefore w:val="0"/>
        <w:widowControl w:val="0"/>
        <w:tabs>
          <w:tab w:val="left" w:pos="8640"/>
        </w:tabs>
        <w:kinsoku/>
        <w:wordWrap/>
        <w:overflowPunct/>
        <w:topLinePunct w:val="0"/>
        <w:autoSpaceDE/>
        <w:autoSpaceDN/>
        <w:bidi w:val="0"/>
        <w:adjustRightInd/>
        <w:snapToGrid/>
        <w:spacing w:line="560" w:lineRule="exact"/>
        <w:ind w:right="205" w:rightChars="64"/>
        <w:jc w:val="center"/>
        <w:textAlignment w:val="auto"/>
        <w:rPr>
          <w:rFonts w:hint="eastAsia" w:eastAsia="方正小标宋_GBK"/>
          <w:sz w:val="44"/>
          <w:szCs w:val="44"/>
          <w:lang w:eastAsia="zh-CN"/>
        </w:rPr>
      </w:pPr>
      <w:r>
        <w:rPr>
          <w:rFonts w:hint="eastAsia" w:ascii="方正小标宋_GBK" w:hAnsi="方正小标宋_GBK" w:eastAsia="方正小标宋_GBK" w:cs="方正小标宋_GBK"/>
          <w:snapToGrid w:val="0"/>
          <w:kern w:val="0"/>
          <w:sz w:val="44"/>
          <w:szCs w:val="44"/>
          <w:lang w:val="en-US" w:eastAsia="zh-CN"/>
        </w:rPr>
        <w:t>违法线索奖励试行办法》</w:t>
      </w:r>
      <w:r>
        <w:rPr>
          <w:rFonts w:hint="eastAsia" w:eastAsia="方正小标宋_GBK" w:cs="方正小标宋_GBK"/>
          <w:sz w:val="44"/>
          <w:szCs w:val="44"/>
          <w:lang w:eastAsia="zh-CN"/>
        </w:rPr>
        <w:t>的</w:t>
      </w:r>
      <w:r>
        <w:rPr>
          <w:rFonts w:hint="eastAsia" w:eastAsia="方正小标宋_GBK" w:cs="方正小标宋_GBK"/>
          <w:sz w:val="44"/>
          <w:szCs w:val="44"/>
          <w:lang w:val="en-US" w:eastAsia="zh-CN"/>
        </w:rPr>
        <w:t>通知</w:t>
      </w:r>
    </w:p>
    <w:p>
      <w:pPr>
        <w:keepNext w:val="0"/>
        <w:keepLines w:val="0"/>
        <w:pageBreakBefore w:val="0"/>
        <w:widowControl w:val="0"/>
        <w:kinsoku/>
        <w:wordWrap/>
        <w:overflowPunct/>
        <w:topLinePunct w:val="0"/>
        <w:autoSpaceDE/>
        <w:bidi w:val="0"/>
        <w:adjustRightInd/>
        <w:spacing w:line="560" w:lineRule="exact"/>
        <w:ind w:right="0"/>
        <w:textAlignment w:val="auto"/>
        <w:outlineLvl w:val="9"/>
        <w:rPr>
          <w:rFonts w:hint="eastAsia" w:eastAsia="仿宋_GB2312" w:cs="仿宋_GB2312"/>
          <w:sz w:val="32"/>
          <w:szCs w:val="32"/>
          <w:lang w:eastAsia="zh-CN"/>
        </w:rPr>
      </w:pPr>
    </w:p>
    <w:p>
      <w:pPr>
        <w:keepNext w:val="0"/>
        <w:keepLines w:val="0"/>
        <w:pageBreakBefore w:val="0"/>
        <w:widowControl w:val="0"/>
        <w:kinsoku/>
        <w:wordWrap/>
        <w:overflowPunct/>
        <w:topLinePunct w:val="0"/>
        <w:autoSpaceDE/>
        <w:bidi w:val="0"/>
        <w:adjustRightInd/>
        <w:spacing w:line="560" w:lineRule="exact"/>
        <w:ind w:right="0"/>
        <w:textAlignment w:val="auto"/>
        <w:outlineLvl w:val="9"/>
        <w:rPr>
          <w:rFonts w:eastAsia="仿宋_GB2312"/>
          <w:sz w:val="32"/>
          <w:szCs w:val="32"/>
        </w:rPr>
      </w:pPr>
      <w:r>
        <w:rPr>
          <w:rFonts w:hint="eastAsia" w:ascii="仿宋_GB2312" w:hAnsi="仿宋_GB2312" w:cs="仿宋_GB2312"/>
          <w:snapToGrid w:val="0"/>
          <w:kern w:val="0"/>
          <w:sz w:val="32"/>
          <w:szCs w:val="32"/>
          <w:lang w:val="en-US" w:eastAsia="zh-CN"/>
        </w:rPr>
        <w:t>各区市市场监管局、财政局，各有关单位</w:t>
      </w:r>
      <w:r>
        <w:rPr>
          <w:rFonts w:hint="eastAsia" w:eastAsia="仿宋_GB2312" w:cs="仿宋_GB2312"/>
          <w:sz w:val="32"/>
          <w:szCs w:val="32"/>
        </w:rPr>
        <w:t>：</w:t>
      </w:r>
      <w:r>
        <w:rPr>
          <w:rFonts w:hint="eastAsia"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bidi w:val="0"/>
        <w:adjustRightInd/>
        <w:spacing w:beforeAutospacing="0" w:afterAutospacing="0" w:line="560" w:lineRule="exact"/>
        <w:ind w:left="0" w:leftChars="0" w:righ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napToGrid w:val="0"/>
          <w:kern w:val="0"/>
          <w:sz w:val="32"/>
          <w:szCs w:val="32"/>
          <w:lang w:val="en-US" w:eastAsia="zh-CN"/>
        </w:rPr>
        <w:t>现将《青岛市“食安哨兵”举报违法线索奖励试行办法》印发给你们，请认真贯彻执行</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bidi w:val="0"/>
        <w:adjustRightInd/>
        <w:spacing w:beforeAutospacing="0" w:afterAutospacing="0"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bidi w:val="0"/>
        <w:adjustRightInd/>
        <w:spacing w:beforeAutospacing="0" w:afterAutospacing="0" w:line="560" w:lineRule="exact"/>
        <w:ind w:left="0" w:leftChars="0" w:right="0" w:firstLine="640" w:firstLineChars="200"/>
        <w:jc w:val="lef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960" w:firstLineChars="300"/>
        <w:jc w:val="left"/>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青岛市市场监督管理局     青岛市财政局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firstLineChars="200"/>
        <w:jc w:val="left"/>
        <w:textAlignment w:val="auto"/>
        <w:rPr>
          <w:rFonts w:hint="eastAsia" w:ascii="仿宋_GB2312" w:hAnsi="仿宋_GB2312" w:eastAsia="仿宋_GB2312" w:cs="仿宋_GB2312"/>
          <w:snapToGrid w:val="0"/>
          <w:kern w:val="0"/>
          <w:sz w:val="32"/>
          <w:szCs w:val="32"/>
          <w:lang w:val="en-US" w:eastAsia="zh-CN"/>
        </w:rPr>
      </w:pPr>
      <w:r>
        <w:rPr>
          <w:rFonts w:hint="eastAsia" w:ascii="仿宋_GB2312" w:hAnsi="仿宋_GB2312" w:eastAsia="仿宋_GB2312" w:cs="仿宋_GB2312"/>
          <w:snapToGrid w:val="0"/>
          <w:kern w:val="0"/>
          <w:sz w:val="32"/>
          <w:szCs w:val="32"/>
          <w:lang w:val="en-US" w:eastAsia="zh-CN"/>
        </w:rPr>
        <w:t xml:space="preserve">                          </w:t>
      </w:r>
      <w:r>
        <w:rPr>
          <w:rFonts w:hint="eastAsia" w:ascii="仿宋" w:hAnsi="仿宋" w:eastAsia="仿宋" w:cs="仿宋"/>
          <w:snapToGrid w:val="0"/>
          <w:kern w:val="0"/>
          <w:sz w:val="32"/>
          <w:szCs w:val="32"/>
          <w:lang w:val="en-US" w:eastAsia="zh-CN"/>
        </w:rPr>
        <w:t>2026</w:t>
      </w:r>
      <w:r>
        <w:rPr>
          <w:rFonts w:hint="eastAsia" w:ascii="仿宋_GB2312" w:hAnsi="仿宋_GB2312" w:eastAsia="仿宋_GB2312" w:cs="仿宋_GB2312"/>
          <w:snapToGrid w:val="0"/>
          <w:kern w:val="0"/>
          <w:sz w:val="32"/>
          <w:szCs w:val="32"/>
          <w:lang w:val="en-US" w:eastAsia="zh-CN"/>
        </w:rPr>
        <w:t>年</w:t>
      </w:r>
      <w:r>
        <w:rPr>
          <w:rFonts w:hint="eastAsia" w:ascii="仿宋" w:hAnsi="仿宋" w:eastAsia="仿宋" w:cs="仿宋"/>
          <w:snapToGrid w:val="0"/>
          <w:kern w:val="0"/>
          <w:sz w:val="32"/>
          <w:szCs w:val="32"/>
          <w:lang w:val="en-US" w:eastAsia="zh-CN"/>
        </w:rPr>
        <w:t>6</w:t>
      </w:r>
      <w:r>
        <w:rPr>
          <w:rFonts w:hint="eastAsia" w:ascii="仿宋_GB2312" w:hAnsi="仿宋_GB2312" w:eastAsia="仿宋_GB2312" w:cs="仿宋_GB2312"/>
          <w:snapToGrid w:val="0"/>
          <w:kern w:val="0"/>
          <w:sz w:val="32"/>
          <w:szCs w:val="32"/>
          <w:lang w:val="en-US" w:eastAsia="zh-CN"/>
        </w:rPr>
        <w:t>月</w:t>
      </w:r>
      <w:r>
        <w:rPr>
          <w:rFonts w:hint="eastAsia" w:ascii="仿宋" w:hAnsi="仿宋" w:eastAsia="仿宋" w:cs="仿宋"/>
          <w:snapToGrid w:val="0"/>
          <w:kern w:val="0"/>
          <w:sz w:val="32"/>
          <w:szCs w:val="32"/>
          <w:lang w:val="en-US" w:eastAsia="zh-CN"/>
        </w:rPr>
        <w:t>25</w:t>
      </w:r>
      <w:r>
        <w:rPr>
          <w:rFonts w:hint="eastAsia" w:ascii="仿宋_GB2312" w:hAnsi="仿宋_GB2312" w:eastAsia="仿宋_GB2312" w:cs="仿宋_GB2312"/>
          <w:snapToGrid w:val="0"/>
          <w:kern w:val="0"/>
          <w:sz w:val="32"/>
          <w:szCs w:val="32"/>
          <w:lang w:val="en-US" w:eastAsia="zh-CN"/>
        </w:rPr>
        <w:t>日</w:t>
      </w:r>
    </w:p>
    <w:p>
      <w:pPr>
        <w:keepNext w:val="0"/>
        <w:keepLines w:val="0"/>
        <w:pageBreakBefore w:val="0"/>
        <w:widowControl w:val="0"/>
        <w:numPr>
          <w:ilvl w:val="0"/>
          <w:numId w:val="0"/>
        </w:numPr>
        <w:pBdr>
          <w:top w:val="none" w:color="000000" w:sz="0" w:space="0"/>
          <w:left w:val="none" w:color="000000" w:sz="0" w:space="0"/>
          <w:bottom w:val="none" w:color="000000" w:sz="0" w:space="20"/>
          <w:right w:val="none" w:color="000000" w:sz="0" w:space="2"/>
        </w:pBdr>
        <w:kinsoku/>
        <w:wordWrap/>
        <w:overflowPunct/>
        <w:topLinePunct w:val="0"/>
        <w:autoSpaceDE/>
        <w:autoSpaceDN w:val="0"/>
        <w:bidi w:val="0"/>
        <w:adjustRightInd/>
        <w:snapToGrid w:val="0"/>
        <w:spacing w:beforeAutospacing="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z w:val="44"/>
          <w:szCs w:val="44"/>
          <w:highlight w:val="none"/>
          <w:lang w:val="en-US" w:eastAsia="zh-CN"/>
        </w:rPr>
        <w:t>青岛市“食安哨兵”举报违法线索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z w:val="44"/>
          <w:szCs w:val="44"/>
          <w:highlight w:val="none"/>
          <w:lang w:val="en-US" w:eastAsia="zh-CN"/>
        </w:rPr>
        <w:t>奖励试行办法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textAlignment w:val="auto"/>
        <w:rPr>
          <w:rFonts w:hint="eastAsia" w:ascii="仿宋_GB2312" w:hAnsi="仿宋_GB2312" w:cs="仿宋_GB231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default" w:ascii="仿宋_GB2312" w:hAnsi="仿宋_GB2312" w:cs="仿宋_GB2312"/>
          <w:b/>
          <w:bCs/>
          <w:highlight w:val="none"/>
          <w:lang w:val="en-US" w:eastAsia="zh-CN"/>
        </w:rPr>
      </w:pPr>
      <w:r>
        <w:rPr>
          <w:rFonts w:hint="eastAsia" w:ascii="方正小标宋_GBK" w:hAnsi="方正小标宋_GBK" w:eastAsia="方正小标宋_GBK" w:cs="方正小标宋_GBK"/>
          <w:b w:val="0"/>
          <w:bCs w:val="0"/>
          <w:highlight w:val="none"/>
          <w:lang w:val="en-US" w:eastAsia="zh-CN"/>
        </w:rPr>
        <w:t>第一章 总则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cs="仿宋_GB2312"/>
          <w:b/>
          <w:bCs/>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highlight w:val="none"/>
          <w:lang w:val="en-US" w:eastAsia="zh-CN"/>
        </w:rPr>
      </w:pPr>
      <w:r>
        <w:rPr>
          <w:rFonts w:hint="eastAsia" w:ascii="黑体" w:hAnsi="黑体" w:eastAsia="黑体" w:cs="黑体"/>
          <w:b w:val="0"/>
          <w:bCs w:val="0"/>
          <w:highlight w:val="none"/>
          <w:lang w:val="en-US" w:eastAsia="zh-CN"/>
        </w:rPr>
        <w:t>第一条</w:t>
      </w:r>
      <w:r>
        <w:rPr>
          <w:rFonts w:hint="eastAsia" w:ascii="仿宋_GB2312" w:hAnsi="仿宋_GB2312" w:cs="仿宋_GB2312"/>
          <w:highlight w:val="none"/>
          <w:lang w:val="en-US" w:eastAsia="zh-CN"/>
        </w:rPr>
        <w:t xml:space="preserve"> </w:t>
      </w:r>
      <w:r>
        <w:rPr>
          <w:rFonts w:hint="eastAsia" w:ascii="仿宋_GB2312" w:hAnsi="仿宋_GB2312" w:eastAsia="仿宋_GB2312" w:cs="仿宋_GB2312"/>
          <w:highlight w:val="none"/>
          <w:lang w:val="en-US" w:eastAsia="zh-CN"/>
        </w:rPr>
        <w:t>为</w:t>
      </w:r>
      <w:r>
        <w:rPr>
          <w:rFonts w:hint="eastAsia" w:ascii="仿宋_GB2312" w:hAnsi="仿宋_GB2312" w:cs="仿宋_GB2312"/>
          <w:highlight w:val="none"/>
          <w:lang w:val="en-US" w:eastAsia="zh-CN"/>
        </w:rPr>
        <w:t>鼓励网络外卖骑手加强食品安全监督，强化全市网络餐饮单位食品安全监督管理，依照《中华人民共和国食品安全法》《中华人民共和国食品安全法实施条例》，参照《市场监管总局 财政部关于印发&lt;市场监管领域重大违法行为举报奖励暂行办法&gt;的通知》(国市监稽规〔</w:t>
      </w:r>
      <w:r>
        <w:rPr>
          <w:rFonts w:hint="eastAsia" w:ascii="仿宋" w:hAnsi="仿宋" w:eastAsia="仿宋" w:cs="仿宋"/>
          <w:highlight w:val="none"/>
          <w:lang w:val="en-US" w:eastAsia="zh-CN"/>
        </w:rPr>
        <w:t>2021</w:t>
      </w:r>
      <w:r>
        <w:rPr>
          <w:rFonts w:hint="eastAsia" w:ascii="仿宋_GB2312" w:hAnsi="仿宋_GB2312" w:cs="仿宋_GB2312"/>
          <w:highlight w:val="none"/>
          <w:lang w:val="en-US" w:eastAsia="zh-CN"/>
        </w:rPr>
        <w:t>〕</w:t>
      </w:r>
      <w:r>
        <w:rPr>
          <w:rFonts w:hint="eastAsia" w:ascii="仿宋" w:hAnsi="仿宋" w:eastAsia="仿宋" w:cs="仿宋"/>
          <w:highlight w:val="none"/>
          <w:lang w:val="en-US" w:eastAsia="zh-CN"/>
        </w:rPr>
        <w:t>4</w:t>
      </w:r>
      <w:r>
        <w:rPr>
          <w:rFonts w:hint="eastAsia" w:ascii="仿宋_GB2312" w:hAnsi="仿宋_GB2312" w:cs="仿宋_GB2312"/>
          <w:highlight w:val="none"/>
          <w:lang w:val="en-US" w:eastAsia="zh-CN"/>
        </w:rPr>
        <w:t>号）、《山东省市场监督管理局 山东省财政厅关于印发&lt;市场监管领域重大违法行为举报奖励暂行办法&gt;补充规定的通知》(鲁市监稽规字〔</w:t>
      </w:r>
      <w:r>
        <w:rPr>
          <w:rFonts w:hint="eastAsia" w:ascii="仿宋" w:hAnsi="仿宋" w:eastAsia="仿宋" w:cs="仿宋"/>
          <w:highlight w:val="none"/>
          <w:lang w:val="en-US" w:eastAsia="zh-CN"/>
        </w:rPr>
        <w:t>2022</w:t>
      </w:r>
      <w:r>
        <w:rPr>
          <w:rFonts w:hint="eastAsia" w:ascii="仿宋_GB2312" w:hAnsi="仿宋_GB2312" w:cs="仿宋_GB2312"/>
          <w:highlight w:val="none"/>
          <w:lang w:val="en-US" w:eastAsia="zh-CN"/>
        </w:rPr>
        <w:t>〕</w:t>
      </w:r>
      <w:r>
        <w:rPr>
          <w:rFonts w:hint="eastAsia" w:ascii="仿宋" w:hAnsi="仿宋" w:eastAsia="仿宋" w:cs="仿宋"/>
          <w:highlight w:val="none"/>
          <w:lang w:val="en-US" w:eastAsia="zh-CN"/>
        </w:rPr>
        <w:t>9</w:t>
      </w:r>
      <w:r>
        <w:rPr>
          <w:rFonts w:hint="eastAsia" w:ascii="仿宋_GB2312" w:hAnsi="仿宋_GB2312" w:cs="仿宋_GB2312"/>
          <w:highlight w:val="none"/>
          <w:lang w:val="en-US" w:eastAsia="zh-CN"/>
        </w:rPr>
        <w:t>号）</w:t>
      </w:r>
      <w:r>
        <w:rPr>
          <w:rFonts w:hint="eastAsia" w:ascii="仿宋_GB2312" w:hAnsi="仿宋_GB2312" w:eastAsia="仿宋_GB2312" w:cs="仿宋_GB2312"/>
          <w:highlight w:val="none"/>
          <w:lang w:val="en-US" w:eastAsia="zh-CN"/>
        </w:rPr>
        <w:t>等有关规定，结合本市实际，制定本办法。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仿宋_GB2312"/>
          <w:highlight w:val="yellow"/>
          <w:lang w:val="en-US" w:eastAsia="zh-CN"/>
        </w:rPr>
      </w:pPr>
      <w:r>
        <w:rPr>
          <w:rFonts w:hint="eastAsia" w:ascii="黑体" w:hAnsi="黑体" w:eastAsia="黑体" w:cs="黑体"/>
          <w:b w:val="0"/>
          <w:bCs w:val="0"/>
          <w:highlight w:val="none"/>
          <w:lang w:val="en-US" w:eastAsia="zh-CN"/>
        </w:rPr>
        <w:t>第二条</w:t>
      </w:r>
      <w:r>
        <w:rPr>
          <w:rFonts w:hint="eastAsia" w:ascii="仿宋_GB2312" w:hAnsi="仿宋_GB2312" w:cs="仿宋_GB2312"/>
          <w:highlight w:val="none"/>
          <w:lang w:val="en-US" w:eastAsia="zh-CN"/>
        </w:rPr>
        <w:t xml:space="preserve"> 本办法所称“食安哨兵”，是指由青岛市市场监督管理局统一予以聘任并颁发“食安哨兵”证书的网络外卖骑手。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第三条</w:t>
      </w:r>
      <w:r>
        <w:rPr>
          <w:rFonts w:hint="eastAsia" w:ascii="仿宋_GB2312" w:hAnsi="仿宋_GB2312" w:cs="仿宋_GB2312"/>
          <w:highlight w:val="none"/>
          <w:lang w:val="en-US" w:eastAsia="zh-CN"/>
        </w:rPr>
        <w:t xml:space="preserve"> “食安哨兵”举报青岛市辖区范围内的网络订餐单位存在食品安全违法行为，经查证属实结案后，确定属于本办法规定的奖励情形的，适用本办法进行奖励。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重大违法行为按照国家市场监管总局和财政部《市场监管领域重大违法行为举报奖励暂行办法》的有关规定及省市场监管局、省财政厅有关补充规定执行。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highlight w:val="none"/>
          <w:lang w:val="en-US" w:eastAsia="zh-CN"/>
        </w:rPr>
      </w:pPr>
      <w:r>
        <w:rPr>
          <w:rFonts w:hint="eastAsia" w:ascii="黑体" w:hAnsi="黑体" w:eastAsia="黑体" w:cs="黑体"/>
          <w:b w:val="0"/>
          <w:bCs w:val="0"/>
          <w:color w:val="auto"/>
          <w:highlight w:val="none"/>
          <w:lang w:val="en-US" w:eastAsia="zh-CN"/>
        </w:rPr>
        <w:t>第四条</w:t>
      </w:r>
      <w:r>
        <w:rPr>
          <w:rFonts w:hint="eastAsia" w:ascii="仿宋_GB2312" w:hAnsi="仿宋_GB2312" w:cs="仿宋_GB2312"/>
          <w:color w:val="auto"/>
          <w:highlight w:val="none"/>
          <w:lang w:val="en-US" w:eastAsia="zh-CN"/>
        </w:rPr>
        <w:t xml:space="preserve"> 本办法所规定的举报奖励事项按照属地负责原则，由案件承办单位按照本办法的规定进行奖励。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各级市场监管部门应当建立健全举报奖励管理制度。做好举报奖励资金的计算、核审、发放工作。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仿宋_GB2312"/>
          <w:highlight w:val="none"/>
          <w:lang w:val="en-US" w:eastAsia="zh-CN"/>
        </w:rPr>
      </w:pPr>
      <w:r>
        <w:rPr>
          <w:rFonts w:hint="eastAsia" w:ascii="仿宋_GB2312" w:hAnsi="仿宋_GB2312" w:cs="仿宋_GB2312"/>
          <w:highlight w:val="none"/>
          <w:lang w:val="en-US" w:eastAsia="zh-CN"/>
        </w:rPr>
        <w:t>举报奖励资金纳入本级预算管理，并接受财政、审计部门的监督。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cs="仿宋_GB2312"/>
          <w:b/>
          <w:bCs/>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default" w:ascii="黑体" w:hAnsi="黑体" w:eastAsia="黑体" w:cs="黑体"/>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第二章 “食安哨兵”的选聘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s="黑体"/>
          <w:b w:val="0"/>
          <w:bCs w:val="0"/>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第五条</w:t>
      </w:r>
      <w:r>
        <w:rPr>
          <w:rFonts w:hint="eastAsia" w:ascii="仿宋_GB2312" w:hAnsi="仿宋_GB2312" w:cs="仿宋_GB2312"/>
          <w:highlight w:val="none"/>
          <w:lang w:val="en-US" w:eastAsia="zh-CN"/>
        </w:rPr>
        <w:t xml:space="preserve"> “食安哨兵”聘任应符合以下条件：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（一）从事外卖配送的骑手；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（二）拥护党的路线方针政策，公道正直、品德与职业道德良好，中共党员优先；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（三）关心食品安全，热心社会监督，能主动参与相关活动；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（四）具备一定食品安全知识，经培训可掌握基本监督能力。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第六条</w:t>
      </w:r>
      <w:r>
        <w:rPr>
          <w:rFonts w:hint="eastAsia" w:ascii="仿宋_GB2312" w:hAnsi="仿宋_GB2312" w:cs="仿宋_GB2312"/>
          <w:highlight w:val="none"/>
          <w:lang w:val="en-US" w:eastAsia="zh-CN"/>
        </w:rPr>
        <w:t xml:space="preserve"> “食安哨兵”聘任可以按照以下两种程序：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仿宋_GB2312"/>
          <w:highlight w:val="none"/>
          <w:lang w:val="en-US" w:eastAsia="zh-CN"/>
        </w:rPr>
      </w:pPr>
      <w:r>
        <w:rPr>
          <w:rFonts w:hint="eastAsia" w:ascii="仿宋_GB2312" w:hAnsi="仿宋_GB2312" w:cs="仿宋_GB2312"/>
          <w:highlight w:val="none"/>
          <w:lang w:val="en-US" w:eastAsia="zh-CN"/>
        </w:rPr>
        <w:t>（一）平台推荐。由外卖平台推荐骑手，符合要求的由市局给予聘任并备案；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（二）个人申请。由外卖骑手本人提出申请，经区（市）市场监督管理部门审核，符合要求的由市局给予聘任并备案。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“食安哨兵”聘期为</w:t>
      </w:r>
      <w:r>
        <w:rPr>
          <w:rFonts w:hint="eastAsia" w:ascii="仿宋" w:hAnsi="仿宋" w:eastAsia="仿宋" w:cs="仿宋"/>
          <w:highlight w:val="none"/>
          <w:lang w:val="en-US" w:eastAsia="zh-CN"/>
        </w:rPr>
        <w:t>1</w:t>
      </w:r>
      <w:r>
        <w:rPr>
          <w:rFonts w:hint="eastAsia" w:ascii="仿宋_GB2312" w:hAnsi="仿宋_GB2312" w:cs="仿宋_GB2312"/>
          <w:highlight w:val="none"/>
          <w:lang w:val="en-US" w:eastAsia="zh-CN"/>
        </w:rPr>
        <w:t>年，期满可以续聘。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第七条</w:t>
      </w:r>
      <w:r>
        <w:rPr>
          <w:rFonts w:hint="eastAsia" w:ascii="仿宋_GB2312" w:hAnsi="仿宋_GB2312" w:cs="仿宋_GB2312"/>
          <w:highlight w:val="none"/>
          <w:lang w:val="en-US" w:eastAsia="zh-CN"/>
        </w:rPr>
        <w:t xml:space="preserve"> “食安哨兵”应当遵守以下行为规范：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（一）不得利用受聘身份从事与职责无关活动；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（二）不得接受或索取被举报方财物，不得存在不当利益关联；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（三）严守执法涉密信息、商业秘密，不得干扰执法工作。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cs="仿宋_GB2312"/>
          <w:b/>
          <w:bCs/>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default"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第三章 奖励条件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cs="仿宋_GB2312"/>
          <w:b/>
          <w:bCs/>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b w:val="0"/>
          <w:bCs w:val="0"/>
          <w:highlight w:val="none"/>
          <w:lang w:val="en-US" w:eastAsia="zh-CN"/>
        </w:rPr>
      </w:pPr>
      <w:r>
        <w:rPr>
          <w:rFonts w:hint="eastAsia" w:ascii="黑体" w:hAnsi="黑体" w:eastAsia="黑体" w:cs="黑体"/>
          <w:b w:val="0"/>
          <w:bCs w:val="0"/>
          <w:highlight w:val="none"/>
          <w:lang w:val="en-US" w:eastAsia="zh-CN"/>
        </w:rPr>
        <w:t>第八条</w:t>
      </w:r>
      <w:r>
        <w:rPr>
          <w:rFonts w:hint="eastAsia" w:ascii="仿宋_GB2312" w:hAnsi="仿宋_GB2312" w:cs="仿宋_GB2312"/>
          <w:b/>
          <w:bCs/>
          <w:highlight w:val="none"/>
          <w:lang w:val="en-US" w:eastAsia="zh-CN"/>
        </w:rPr>
        <w:t xml:space="preserve"> </w:t>
      </w:r>
      <w:r>
        <w:rPr>
          <w:rFonts w:hint="eastAsia" w:ascii="仿宋_GB2312" w:hAnsi="仿宋_GB2312" w:cs="仿宋_GB2312"/>
          <w:b w:val="0"/>
          <w:bCs w:val="0"/>
          <w:highlight w:val="none"/>
          <w:lang w:val="en-US" w:eastAsia="zh-CN"/>
        </w:rPr>
        <w:t>举报下列违法行为，经查证属实结案后，给予相应奖励：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b w:val="0"/>
          <w:bCs w:val="0"/>
          <w:highlight w:val="none"/>
          <w:lang w:val="en-US" w:eastAsia="zh-CN"/>
        </w:rPr>
      </w:pPr>
      <w:r>
        <w:rPr>
          <w:rFonts w:hint="eastAsia" w:ascii="仿宋_GB2312" w:hAnsi="仿宋_GB2312" w:cs="仿宋_GB2312"/>
          <w:b w:val="0"/>
          <w:bCs w:val="0"/>
          <w:highlight w:val="none"/>
          <w:lang w:val="en-US" w:eastAsia="zh-CN"/>
        </w:rPr>
        <w:t>（一）使用假证套证、证照地址与实际地址不符，或证照地址与取餐地址不符的；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b w:val="0"/>
          <w:bCs w:val="0"/>
          <w:highlight w:val="none"/>
          <w:lang w:val="en-US" w:eastAsia="zh-CN"/>
        </w:rPr>
      </w:pPr>
      <w:r>
        <w:rPr>
          <w:rFonts w:hint="eastAsia" w:ascii="仿宋_GB2312" w:hAnsi="仿宋_GB2312" w:cs="仿宋_GB2312"/>
          <w:b w:val="0"/>
          <w:bCs w:val="0"/>
          <w:highlight w:val="none"/>
          <w:lang w:val="en-US" w:eastAsia="zh-CN"/>
        </w:rPr>
        <w:t>（二）经营场所环境卫生脏乱差，存在污染源（如厕所）、蟑螂鼠害，或食品加工操作严重不规范；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b w:val="0"/>
          <w:bCs w:val="0"/>
          <w:highlight w:val="none"/>
          <w:lang w:val="en-US" w:eastAsia="zh-CN"/>
        </w:rPr>
      </w:pPr>
      <w:r>
        <w:rPr>
          <w:rFonts w:hint="eastAsia" w:ascii="仿宋_GB2312" w:hAnsi="仿宋_GB2312" w:cs="仿宋_GB2312"/>
          <w:b w:val="0"/>
          <w:bCs w:val="0"/>
          <w:highlight w:val="none"/>
          <w:lang w:val="en-US" w:eastAsia="zh-CN"/>
        </w:rPr>
        <w:t>（三）使用超过保质期的食品及食品相关产品或腐败变质、油脂酸败、霉变生虫、污秽不洁、混有异物、掺假掺杂或者感官性状异常的食品及食品相关产品的；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b w:val="0"/>
          <w:bCs w:val="0"/>
          <w:highlight w:val="none"/>
          <w:lang w:val="en-US" w:eastAsia="zh-CN"/>
        </w:rPr>
      </w:pPr>
      <w:r>
        <w:rPr>
          <w:rFonts w:hint="eastAsia" w:ascii="仿宋_GB2312" w:hAnsi="仿宋_GB2312" w:cs="仿宋_GB2312"/>
          <w:b w:val="0"/>
          <w:bCs w:val="0"/>
          <w:highlight w:val="none"/>
          <w:lang w:val="en-US" w:eastAsia="zh-CN"/>
        </w:rPr>
        <w:t>（四）使用禁止使用的食品、食品相关产品或其他可能危害人体健康的物质的；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仿宋_GB2312"/>
          <w:b/>
          <w:bCs/>
          <w:highlight w:val="none"/>
          <w:lang w:val="en-US" w:eastAsia="zh-CN"/>
        </w:rPr>
      </w:pPr>
      <w:r>
        <w:rPr>
          <w:rFonts w:hint="eastAsia" w:ascii="仿宋_GB2312" w:hAnsi="仿宋_GB2312" w:cs="仿宋_GB2312"/>
          <w:b w:val="0"/>
          <w:bCs w:val="0"/>
          <w:highlight w:val="none"/>
          <w:lang w:val="en-US" w:eastAsia="zh-CN"/>
        </w:rPr>
        <w:t>（五）违反法律法规规定的其他食品安全问题。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第九条</w:t>
      </w:r>
      <w:r>
        <w:rPr>
          <w:rFonts w:hint="eastAsia" w:ascii="仿宋_GB2312" w:hAnsi="仿宋_GB2312" w:cs="仿宋_GB2312"/>
          <w:b/>
          <w:bCs/>
          <w:highlight w:val="none"/>
          <w:lang w:val="en-US" w:eastAsia="zh-CN"/>
        </w:rPr>
        <w:t xml:space="preserve"> </w:t>
      </w:r>
      <w:r>
        <w:rPr>
          <w:rFonts w:hint="eastAsia" w:ascii="仿宋_GB2312" w:hAnsi="仿宋_GB2312" w:cs="仿宋_GB2312"/>
          <w:highlight w:val="none"/>
          <w:lang w:val="en-US" w:eastAsia="zh-CN"/>
        </w:rPr>
        <w:t>获得举报奖励应当同时符合下列条件：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（一）有明确的被举报对象和具体违法事实或者违法犯罪线索，并提供了关键证据；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（二）举报内容未被市场监管部门事先掌握；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仿宋_GB2312"/>
          <w:highlight w:val="none"/>
          <w:lang w:val="en-US" w:eastAsia="zh-CN"/>
        </w:rPr>
      </w:pPr>
      <w:r>
        <w:rPr>
          <w:rFonts w:hint="eastAsia" w:ascii="仿宋_GB2312" w:hAnsi="仿宋_GB2312" w:cs="仿宋_GB2312"/>
          <w:highlight w:val="none"/>
          <w:lang w:val="en-US" w:eastAsia="zh-CN"/>
        </w:rPr>
        <w:t>（三）举报内容经市场监管部门查处结案并被行政处罚，并对当事人处以罚款、没收违法所得等行政处罚，且所涉罚没款项已实际执行到位的。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结案是指行政处罚决定已执行完毕并办理结案手续。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第十条</w:t>
      </w:r>
      <w:r>
        <w:rPr>
          <w:rFonts w:hint="eastAsia" w:ascii="仿宋_GB2312" w:hAnsi="仿宋_GB2312" w:cs="仿宋_GB2312"/>
          <w:highlight w:val="none"/>
          <w:lang w:val="en-US" w:eastAsia="zh-CN"/>
        </w:rPr>
        <w:t xml:space="preserve"> 举报奖励的实施应遵循以下原则：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（一）同一案件由两个及以上举报人分别以同一线索举报的，奖励第一时间举报人；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（二）两个及以上举报人联名举报同一案件的，按同一案件进行举报奖励分配；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yellow"/>
          <w:lang w:val="en-US" w:eastAsia="zh-CN"/>
        </w:rPr>
      </w:pPr>
      <w:r>
        <w:rPr>
          <w:rFonts w:hint="eastAsia" w:ascii="仿宋_GB2312" w:hAnsi="仿宋_GB2312" w:cs="仿宋_GB2312"/>
          <w:highlight w:val="none"/>
          <w:lang w:val="en-US" w:eastAsia="zh-CN"/>
        </w:rPr>
        <w:t>（三）举报人举报同一事项，不重复奖励；同一案件由两个及以上举报人分别举报的，奖励总金额不超过第十二条规定的对应奖励等级中的标准；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四）最终认定的违法事实与举报事项完全不一致的不予以奖励；最终认定的违法事实与举报事项部分一致的只计算相一致部分的奖励金额；除举报事项外，还认定其他违法事实的，其他违法事实部分不计算奖励金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第十一条</w:t>
      </w:r>
      <w:r>
        <w:rPr>
          <w:rFonts w:hint="eastAsia" w:ascii="仿宋_GB2312" w:hAnsi="仿宋_GB2312" w:cs="仿宋_GB2312"/>
          <w:highlight w:val="none"/>
          <w:lang w:val="en-US" w:eastAsia="zh-CN"/>
        </w:rPr>
        <w:t xml:space="preserve"> 有下列情形之一的，不予奖励：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（一）举报人采用欺骗、利诱、胁迫、暴力等违法手段取得相关证据并进行举报的；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（二）因不可抗力、意外事件等因素造成的等待处理中的食品安全问题;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（三）有证据证明举报人因举报行为已获得其他市场主体给予的任何形式的报酬、奖励的；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（四）反映的问题依法不予立案或者不予行政处罚的;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（五）其他不符合法律、法规、规章规定的奖励情形。</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cs="仿宋_GB2312"/>
          <w:b/>
          <w:bCs/>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default"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第四章 奖励标准和程序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cs="仿宋_GB2312"/>
          <w:b/>
          <w:bCs/>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第十二条</w:t>
      </w:r>
      <w:r>
        <w:rPr>
          <w:rFonts w:hint="eastAsia" w:ascii="仿宋_GB2312" w:hAnsi="仿宋_GB2312" w:cs="仿宋_GB2312"/>
          <w:highlight w:val="none"/>
          <w:lang w:val="en-US" w:eastAsia="zh-CN"/>
        </w:rPr>
        <w:t xml:space="preserve"> 对于有罚没款的案件，按照下列标准确定奖励金额：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（一）对</w:t>
      </w:r>
      <w:r>
        <w:rPr>
          <w:rFonts w:hint="eastAsia" w:ascii="仿宋_GB2312" w:hAnsi="仿宋_GB2312" w:cs="仿宋_GB2312"/>
          <w:sz w:val="32"/>
          <w:szCs w:val="32"/>
          <w:highlight w:val="none"/>
          <w:lang w:val="en-US" w:eastAsia="zh-CN"/>
        </w:rPr>
        <w:t>自然人（含</w:t>
      </w:r>
      <w:r>
        <w:rPr>
          <w:rFonts w:hint="eastAsia" w:ascii="仿宋_GB2312" w:hAnsi="仿宋_GB2312" w:eastAsia="仿宋_GB2312" w:cs="仿宋_GB2312"/>
          <w:sz w:val="32"/>
          <w:szCs w:val="32"/>
          <w:highlight w:val="none"/>
          <w:lang w:val="en-US" w:eastAsia="zh-CN"/>
        </w:rPr>
        <w:t>个体工商户</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处</w:t>
      </w:r>
      <w:r>
        <w:rPr>
          <w:rFonts w:hint="eastAsia" w:ascii="仿宋" w:hAnsi="仿宋" w:eastAsia="仿宋" w:cs="仿宋"/>
          <w:highlight w:val="none"/>
          <w:lang w:val="en-US" w:eastAsia="zh-CN"/>
        </w:rPr>
        <w:t>5000</w:t>
      </w:r>
      <w:r>
        <w:rPr>
          <w:rFonts w:hint="eastAsia" w:ascii="仿宋_GB2312" w:hAnsi="仿宋_GB2312" w:eastAsia="仿宋_GB2312" w:cs="仿宋_GB2312"/>
          <w:sz w:val="32"/>
          <w:szCs w:val="32"/>
          <w:highlight w:val="none"/>
          <w:lang w:val="en-US" w:eastAsia="zh-CN"/>
        </w:rPr>
        <w:t>元以下，法人或者其他组织处</w:t>
      </w:r>
      <w:r>
        <w:rPr>
          <w:rFonts w:hint="eastAsia" w:ascii="仿宋" w:hAnsi="仿宋" w:eastAsia="仿宋" w:cs="仿宋"/>
          <w:highlight w:val="none"/>
          <w:lang w:val="en-US" w:eastAsia="zh-CN"/>
        </w:rPr>
        <w:t>5</w:t>
      </w:r>
      <w:r>
        <w:rPr>
          <w:rFonts w:hint="eastAsia" w:ascii="仿宋_GB2312" w:hAnsi="仿宋_GB2312" w:eastAsia="仿宋_GB2312" w:cs="仿宋_GB2312"/>
          <w:sz w:val="32"/>
          <w:szCs w:val="32"/>
          <w:highlight w:val="none"/>
          <w:lang w:val="en-US" w:eastAsia="zh-CN"/>
        </w:rPr>
        <w:t>万元以下罚没款的，给予骑手</w:t>
      </w:r>
      <w:r>
        <w:rPr>
          <w:rFonts w:hint="eastAsia" w:ascii="仿宋" w:hAnsi="仿宋" w:eastAsia="仿宋" w:cs="仿宋"/>
          <w:highlight w:val="none"/>
          <w:lang w:val="en-US" w:eastAsia="zh-CN"/>
        </w:rPr>
        <w:t>50</w:t>
      </w:r>
      <w:r>
        <w:rPr>
          <w:rFonts w:hint="eastAsia" w:ascii="仿宋_GB2312" w:hAnsi="仿宋_GB2312" w:eastAsia="仿宋_GB2312" w:cs="仿宋_GB2312"/>
          <w:sz w:val="32"/>
          <w:szCs w:val="32"/>
          <w:highlight w:val="none"/>
          <w:lang w:val="en-US" w:eastAsia="zh-CN"/>
        </w:rPr>
        <w:t>元奖励</w:t>
      </w:r>
      <w:r>
        <w:rPr>
          <w:rFonts w:hint="eastAsia" w:ascii="仿宋_GB2312" w:hAnsi="仿宋_GB2312" w:cs="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eastAsia="仿宋_GB2312" w:cs="仿宋_GB2312"/>
          <w:sz w:val="32"/>
          <w:szCs w:val="32"/>
          <w:highlight w:val="none"/>
          <w:lang w:val="en-US" w:eastAsia="zh-CN"/>
        </w:rPr>
        <w:t>（二）对自然人（含个体工商户）处</w:t>
      </w:r>
      <w:r>
        <w:rPr>
          <w:rFonts w:hint="eastAsia" w:ascii="仿宋" w:hAnsi="仿宋" w:eastAsia="仿宋" w:cs="仿宋"/>
          <w:highlight w:val="none"/>
          <w:lang w:val="en-US" w:eastAsia="zh-CN"/>
        </w:rPr>
        <w:t>5000</w:t>
      </w:r>
      <w:r>
        <w:rPr>
          <w:rFonts w:hint="eastAsia" w:ascii="仿宋_GB2312" w:hAnsi="仿宋_GB2312" w:eastAsia="仿宋_GB2312" w:cs="仿宋_GB2312"/>
          <w:sz w:val="32"/>
          <w:szCs w:val="32"/>
          <w:highlight w:val="none"/>
          <w:lang w:val="en-US" w:eastAsia="zh-CN"/>
        </w:rPr>
        <w:t>元及以上、</w:t>
      </w:r>
      <w:r>
        <w:rPr>
          <w:rFonts w:hint="eastAsia" w:ascii="仿宋" w:hAnsi="仿宋" w:eastAsia="仿宋" w:cs="仿宋"/>
          <w:sz w:val="32"/>
          <w:szCs w:val="32"/>
          <w:highlight w:val="none"/>
          <w:lang w:val="en-US" w:eastAsia="zh-CN"/>
        </w:rPr>
        <w:t>1</w:t>
      </w:r>
      <w:r>
        <w:rPr>
          <w:rFonts w:hint="eastAsia" w:ascii="仿宋_GB2312" w:hAnsi="仿宋_GB2312" w:eastAsia="仿宋_GB2312" w:cs="仿宋_GB2312"/>
          <w:sz w:val="32"/>
          <w:szCs w:val="32"/>
          <w:highlight w:val="none"/>
          <w:lang w:val="en-US" w:eastAsia="zh-CN"/>
        </w:rPr>
        <w:t>万元以下，法人或者其他组织</w:t>
      </w:r>
      <w:r>
        <w:rPr>
          <w:rFonts w:hint="eastAsia" w:ascii="仿宋" w:hAnsi="仿宋" w:eastAsia="仿宋" w:cs="仿宋"/>
          <w:highlight w:val="none"/>
          <w:lang w:val="en-US" w:eastAsia="zh-CN"/>
        </w:rPr>
        <w:t>5</w:t>
      </w:r>
      <w:r>
        <w:rPr>
          <w:rFonts w:hint="eastAsia" w:ascii="仿宋_GB2312" w:hAnsi="仿宋_GB2312" w:eastAsia="仿宋_GB2312" w:cs="仿宋_GB2312"/>
          <w:sz w:val="32"/>
          <w:szCs w:val="32"/>
          <w:highlight w:val="none"/>
          <w:lang w:val="en-US" w:eastAsia="zh-CN"/>
        </w:rPr>
        <w:t>万元及以上、</w:t>
      </w:r>
      <w:r>
        <w:rPr>
          <w:rFonts w:hint="eastAsia" w:ascii="仿宋" w:hAnsi="仿宋" w:eastAsia="仿宋" w:cs="仿宋"/>
          <w:highlight w:val="none"/>
          <w:lang w:val="en-US" w:eastAsia="zh-CN"/>
        </w:rPr>
        <w:t>10</w:t>
      </w:r>
      <w:r>
        <w:rPr>
          <w:rFonts w:hint="eastAsia" w:ascii="仿宋_GB2312" w:hAnsi="仿宋_GB2312" w:eastAsia="仿宋_GB2312" w:cs="仿宋_GB2312"/>
          <w:sz w:val="32"/>
          <w:szCs w:val="32"/>
          <w:highlight w:val="none"/>
          <w:lang w:val="en-US" w:eastAsia="zh-CN"/>
        </w:rPr>
        <w:t>万元以下罚没款的，给予骑手</w:t>
      </w:r>
      <w:r>
        <w:rPr>
          <w:rFonts w:hint="eastAsia" w:ascii="仿宋" w:hAnsi="仿宋" w:eastAsia="仿宋" w:cs="仿宋"/>
          <w:highlight w:val="none"/>
          <w:lang w:val="en-US" w:eastAsia="zh-CN"/>
        </w:rPr>
        <w:t>100</w:t>
      </w:r>
      <w:r>
        <w:rPr>
          <w:rFonts w:hint="eastAsia" w:ascii="仿宋_GB2312" w:hAnsi="仿宋_GB2312" w:eastAsia="仿宋_GB2312" w:cs="仿宋_GB2312"/>
          <w:sz w:val="32"/>
          <w:szCs w:val="32"/>
          <w:highlight w:val="none"/>
          <w:lang w:val="en-US" w:eastAsia="zh-CN"/>
        </w:rPr>
        <w:t>元奖励。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同一身份证号每日累计奖励不超过</w:t>
      </w:r>
      <w:r>
        <w:rPr>
          <w:rFonts w:hint="eastAsia" w:ascii="仿宋" w:hAnsi="仿宋" w:eastAsia="仿宋" w:cs="仿宋"/>
          <w:highlight w:val="none"/>
          <w:lang w:val="en-US" w:eastAsia="zh-CN"/>
        </w:rPr>
        <w:t>200</w:t>
      </w:r>
      <w:r>
        <w:rPr>
          <w:rFonts w:hint="eastAsia" w:ascii="仿宋_GB2312" w:hAnsi="仿宋_GB2312" w:cs="仿宋_GB2312"/>
          <w:highlight w:val="none"/>
          <w:lang w:val="en-US" w:eastAsia="zh-CN"/>
        </w:rPr>
        <w:t>元,每月累计奖励不超过</w:t>
      </w:r>
      <w:r>
        <w:rPr>
          <w:rFonts w:hint="eastAsia" w:ascii="仿宋" w:hAnsi="仿宋" w:eastAsia="仿宋" w:cs="仿宋"/>
          <w:highlight w:val="none"/>
          <w:lang w:val="en-US" w:eastAsia="zh-CN"/>
        </w:rPr>
        <w:t>1000</w:t>
      </w:r>
      <w:r>
        <w:rPr>
          <w:rFonts w:hint="eastAsia" w:ascii="仿宋_GB2312" w:hAnsi="仿宋_GB2312" w:cs="仿宋_GB2312"/>
          <w:highlight w:val="none"/>
          <w:lang w:val="en-US" w:eastAsia="zh-CN"/>
        </w:rPr>
        <w:t>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第十三条</w:t>
      </w:r>
      <w:r>
        <w:rPr>
          <w:rFonts w:hint="eastAsia" w:ascii="仿宋_GB2312" w:hAnsi="仿宋_GB2312" w:cs="仿宋_GB2312"/>
          <w:highlight w:val="none"/>
          <w:lang w:val="en-US" w:eastAsia="zh-CN"/>
        </w:rPr>
        <w:t xml:space="preserve"> 举报奖励程序：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cs="仿宋_GB2312"/>
          <w:highlight w:val="yellow"/>
          <w:lang w:val="en-US" w:eastAsia="zh-CN"/>
        </w:rPr>
      </w:pPr>
      <w:r>
        <w:rPr>
          <w:rFonts w:hint="eastAsia" w:ascii="仿宋_GB2312" w:hAnsi="仿宋_GB2312" w:cs="仿宋_GB2312"/>
          <w:b/>
          <w:bCs/>
          <w:highlight w:val="none"/>
          <w:lang w:val="en-US" w:eastAsia="zh-CN"/>
        </w:rPr>
        <w:t>（一）举报线索提交。</w:t>
      </w:r>
      <w:r>
        <w:rPr>
          <w:rFonts w:hint="eastAsia" w:ascii="仿宋_GB2312" w:hAnsi="仿宋_GB2312" w:cs="仿宋_GB2312"/>
          <w:highlight w:val="none"/>
          <w:lang w:val="en-US" w:eastAsia="zh-CN"/>
        </w:rPr>
        <w:t>“食安哨兵”通过市场监管部门指定的小程序举报网络订餐单位的违法违规线索，应当按照相关格式和时限要求上传信息，包括时间、店名、地点、问题描述，以及远近景照片各一张，近景准确反映问题，远景拍摄门店门头，两者应相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cs="仿宋_GB2312"/>
          <w:highlight w:val="none"/>
          <w:lang w:val="en-US" w:eastAsia="zh-CN"/>
        </w:rPr>
      </w:pPr>
      <w:r>
        <w:rPr>
          <w:rFonts w:hint="eastAsia" w:ascii="仿宋_GB2312" w:hAnsi="仿宋_GB2312" w:cs="仿宋_GB2312"/>
          <w:b/>
          <w:bCs/>
          <w:highlight w:val="none"/>
          <w:lang w:val="en-US" w:eastAsia="zh-CN"/>
        </w:rPr>
        <w:t>（二）奖励申请。</w:t>
      </w:r>
      <w:r>
        <w:rPr>
          <w:rFonts w:hint="eastAsia" w:ascii="仿宋_GB2312" w:hAnsi="仿宋_GB2312" w:cs="仿宋_GB2312"/>
          <w:highlight w:val="none"/>
          <w:lang w:val="en-US" w:eastAsia="zh-CN"/>
        </w:rPr>
        <w:t>“食安哨兵”通过小程序上传举报线索后，如确定申领举报奖励，应同步勾选“申请举报奖励”选项，在线签署举报奖励申请承诺，并预留本人接受举报奖励的银行卡号相关信息；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cs="仿宋_GB2312"/>
          <w:highlight w:val="none"/>
          <w:lang w:val="en-US" w:eastAsia="zh-CN"/>
        </w:rPr>
      </w:pPr>
      <w:r>
        <w:rPr>
          <w:rFonts w:hint="eastAsia" w:ascii="仿宋_GB2312" w:hAnsi="仿宋_GB2312" w:cs="仿宋_GB2312"/>
          <w:b/>
          <w:bCs/>
          <w:highlight w:val="none"/>
          <w:lang w:val="en-US" w:eastAsia="zh-CN"/>
        </w:rPr>
        <w:t>（三）奖励审批。</w:t>
      </w:r>
      <w:r>
        <w:rPr>
          <w:rFonts w:hint="eastAsia" w:ascii="仿宋_GB2312" w:hAnsi="仿宋_GB2312" w:cs="仿宋_GB2312"/>
          <w:highlight w:val="none"/>
          <w:lang w:val="en-US" w:eastAsia="zh-CN"/>
        </w:rPr>
        <w:t>案件承办单位收到举报线索后，依法开展核查处理。对符合本办法奖励条件的，应当自举报查处结案且所涉罚没款实际执行到位后</w:t>
      </w:r>
      <w:r>
        <w:rPr>
          <w:rFonts w:hint="eastAsia" w:ascii="仿宋" w:hAnsi="仿宋" w:eastAsia="仿宋" w:cs="仿宋"/>
          <w:highlight w:val="none"/>
          <w:lang w:val="en-US" w:eastAsia="zh-CN"/>
        </w:rPr>
        <w:t>20</w:t>
      </w:r>
      <w:r>
        <w:rPr>
          <w:rFonts w:hint="eastAsia" w:ascii="仿宋_GB2312" w:hAnsi="仿宋_GB2312" w:cs="仿宋_GB2312"/>
          <w:highlight w:val="none"/>
          <w:lang w:val="en-US" w:eastAsia="zh-CN"/>
        </w:rPr>
        <w:t>个工作日内，作出举报奖励决定，认定举报奖励标准，填写《举报奖励审批表》（参考样式见附件</w:t>
      </w:r>
      <w:r>
        <w:rPr>
          <w:rFonts w:hint="eastAsia" w:ascii="仿宋" w:hAnsi="仿宋" w:eastAsia="仿宋" w:cs="仿宋"/>
          <w:highlight w:val="none"/>
          <w:lang w:val="en-US" w:eastAsia="zh-CN"/>
        </w:rPr>
        <w:t>1</w:t>
      </w:r>
      <w:r>
        <w:rPr>
          <w:rFonts w:hint="eastAsia" w:ascii="仿宋_GB2312" w:hAnsi="仿宋_GB2312" w:cs="仿宋_GB2312"/>
          <w:highlight w:val="none"/>
          <w:lang w:val="en-US" w:eastAsia="zh-CN"/>
        </w:rPr>
        <w:t>），并通过小程序向举报人送达《举报奖励决定通知书》（参考样式见附件</w:t>
      </w:r>
      <w:r>
        <w:rPr>
          <w:rFonts w:hint="eastAsia" w:ascii="仿宋" w:hAnsi="仿宋" w:eastAsia="仿宋" w:cs="仿宋"/>
          <w:highlight w:val="none"/>
          <w:lang w:val="en-US" w:eastAsia="zh-CN"/>
        </w:rPr>
        <w:t>2</w:t>
      </w:r>
      <w:r>
        <w:rPr>
          <w:rFonts w:hint="eastAsia" w:ascii="仿宋_GB2312" w:hAnsi="仿宋_GB2312" w:cs="仿宋_GB231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cs="仿宋_GB2312"/>
          <w:highlight w:val="none"/>
          <w:lang w:val="en-US" w:eastAsia="zh-CN"/>
        </w:rPr>
      </w:pPr>
      <w:r>
        <w:rPr>
          <w:rFonts w:hint="eastAsia" w:ascii="仿宋_GB2312" w:hAnsi="仿宋_GB2312" w:cs="仿宋_GB2312"/>
          <w:b/>
          <w:bCs/>
          <w:highlight w:val="none"/>
          <w:lang w:val="en-US" w:eastAsia="zh-CN"/>
        </w:rPr>
        <w:t>（四）奖励发放。</w:t>
      </w:r>
      <w:r>
        <w:rPr>
          <w:rFonts w:hint="eastAsia" w:ascii="仿宋_GB2312" w:hAnsi="仿宋_GB2312" w:cs="仿宋_GB2312"/>
          <w:highlight w:val="none"/>
          <w:lang w:val="en-US" w:eastAsia="zh-CN"/>
        </w:rPr>
        <w:t>奖励资金按月汇总，由承办单位于次月根据举报人预留的银行卡号，通过银行转账方式一次性发放。举报人预留银行卡号如有变更，应当及时通过小程序更新，因未及时更新导致发放延迟或失败的，后果由举报人自行承担；</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cs="仿宋_GB2312"/>
          <w:highlight w:val="none"/>
          <w:lang w:val="en-US" w:eastAsia="zh-CN"/>
        </w:rPr>
      </w:pPr>
      <w:r>
        <w:rPr>
          <w:rFonts w:hint="eastAsia" w:ascii="仿宋_GB2312" w:hAnsi="仿宋_GB2312" w:cs="仿宋_GB2312"/>
          <w:b/>
          <w:bCs/>
          <w:highlight w:val="none"/>
          <w:lang w:val="en-US" w:eastAsia="zh-CN"/>
        </w:rPr>
        <w:t>（五）奖励异议处理。</w:t>
      </w:r>
      <w:r>
        <w:rPr>
          <w:rFonts w:hint="eastAsia" w:ascii="仿宋_GB2312" w:hAnsi="仿宋_GB2312" w:cs="仿宋_GB2312"/>
          <w:highlight w:val="none"/>
          <w:lang w:val="en-US" w:eastAsia="zh-CN"/>
        </w:rPr>
        <w:t>举报人对奖励金额有异议的，可在收到奖励决定通知之日起</w:t>
      </w:r>
      <w:r>
        <w:rPr>
          <w:rFonts w:hint="eastAsia" w:ascii="仿宋" w:hAnsi="仿宋" w:eastAsia="仿宋" w:cs="仿宋"/>
          <w:highlight w:val="none"/>
          <w:lang w:val="en-US" w:eastAsia="zh-CN"/>
        </w:rPr>
        <w:t>10</w:t>
      </w:r>
      <w:r>
        <w:rPr>
          <w:rFonts w:hint="eastAsia" w:ascii="仿宋_GB2312" w:hAnsi="仿宋_GB2312" w:cs="仿宋_GB2312"/>
          <w:highlight w:val="none"/>
          <w:lang w:val="en-US" w:eastAsia="zh-CN"/>
        </w:rPr>
        <w:t>个工作日内，向实施举报奖励的市场监管部门提出复核申请，并提供相关佐证材料。市场监管部门应当在收到复核申请之日起</w:t>
      </w:r>
      <w:r>
        <w:rPr>
          <w:rFonts w:hint="eastAsia" w:ascii="仿宋" w:hAnsi="仿宋" w:eastAsia="仿宋" w:cs="仿宋"/>
          <w:highlight w:val="none"/>
          <w:lang w:val="en-US" w:eastAsia="zh-CN"/>
        </w:rPr>
        <w:t>15</w:t>
      </w:r>
      <w:r>
        <w:rPr>
          <w:rFonts w:hint="eastAsia" w:ascii="仿宋_GB2312" w:hAnsi="仿宋_GB2312" w:cs="仿宋_GB2312"/>
          <w:highlight w:val="none"/>
          <w:lang w:val="en-US" w:eastAsia="zh-CN"/>
        </w:rPr>
        <w:t>个工作日内作出复核意见，并告知举报人。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yellow"/>
          <w:lang w:val="en-US" w:eastAsia="zh-CN"/>
        </w:rPr>
      </w:pPr>
      <w:r>
        <w:rPr>
          <w:rFonts w:hint="eastAsia" w:ascii="黑体" w:hAnsi="黑体" w:eastAsia="黑体" w:cs="黑体"/>
          <w:b w:val="0"/>
          <w:bCs w:val="0"/>
          <w:highlight w:val="none"/>
          <w:lang w:val="en-US" w:eastAsia="zh-CN"/>
        </w:rPr>
        <w:t>第十四条</w:t>
      </w:r>
      <w:r>
        <w:rPr>
          <w:rFonts w:hint="eastAsia" w:ascii="仿宋_GB2312" w:hAnsi="仿宋_GB2312" w:cs="仿宋_GB2312"/>
          <w:highlight w:val="none"/>
          <w:lang w:val="en-US" w:eastAsia="zh-CN"/>
        </w:rPr>
        <w:t xml:space="preserve"> 对在本办法实施期间举报次数较多、贡献突出的“食安哨兵”，市场监管部门建立多方多措联动的激励机制：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（一）择优推荐参评省级食品安全社会共治相关荣誉称号；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（二）评选结果推送给相关平台，作为平台对骑手激励、表彰、考核、续聘的重要参考依据；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（三）相关评选结果作为“食安哨兵”年度考核、续聘及表彰的重要参考依据。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第十五条</w:t>
      </w:r>
      <w:r>
        <w:rPr>
          <w:rFonts w:hint="eastAsia" w:ascii="仿宋_GB2312" w:hAnsi="仿宋_GB2312" w:cs="仿宋_GB2312"/>
          <w:highlight w:val="none"/>
          <w:lang w:val="en-US" w:eastAsia="zh-CN"/>
        </w:rPr>
        <w:t xml:space="preserve"> “食安哨兵”一年内未提供举报线索的，经市场监管部门审核后予以解聘。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yellow"/>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第五章 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第十六条</w:t>
      </w:r>
      <w:r>
        <w:rPr>
          <w:rFonts w:hint="eastAsia" w:ascii="仿宋_GB2312" w:hAnsi="仿宋_GB2312" w:cs="仿宋_GB2312"/>
          <w:highlight w:val="none"/>
          <w:lang w:val="en-US" w:eastAsia="zh-CN"/>
        </w:rPr>
        <w:t xml:space="preserve"> 举报人伪造材料、隐瞒事实，取得举报奖励，或者经市场监督管理部门查实不符合奖励条件的，市场监督管理部门有权收回奖励资金。收回奖金的程序参照决定奖励的程序进行。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举报人故意捏造事实诬告他人，或者弄虚作假骗取奖励资金，依法承担相应责任；涉嫌犯罪的，依法追究刑事责任。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第十七条</w:t>
      </w:r>
      <w:r>
        <w:rPr>
          <w:rFonts w:hint="eastAsia" w:ascii="仿宋_GB2312" w:hAnsi="仿宋_GB2312" w:cs="仿宋_GB2312"/>
          <w:highlight w:val="none"/>
          <w:lang w:val="en-US" w:eastAsia="zh-CN"/>
        </w:rPr>
        <w:t xml:space="preserve"> 市场监督管理部门应当依法保护举报人的合法权益，建立举报奖励档案，不得泄露举报人的相关信息。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第十八条</w:t>
      </w:r>
      <w:r>
        <w:rPr>
          <w:rFonts w:hint="eastAsia" w:ascii="仿宋_GB2312" w:hAnsi="仿宋_GB2312" w:cs="仿宋_GB2312"/>
          <w:highlight w:val="none"/>
          <w:lang w:val="en-US" w:eastAsia="zh-CN"/>
        </w:rPr>
        <w:t xml:space="preserve"> 市场监管部门工作人员在实施举报奖励过程中，有下列情形的，视情节轻重给予党纪政纪处分；涉嫌犯罪的，依法追究刑事责任：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（一）伪造或者教唆、伙同他人伪造举报材料，冒领举报奖励资金的；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（二）未经举报人同意，泄露举报人相关信息的；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（三）向被举报人通风报信，帮助其逃避查处的;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（四）贪污、挪用、私分、截留奖励资金的；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仿宋_GB2312" w:hAnsi="仿宋_GB2312" w:cs="仿宋_GB2312"/>
          <w:highlight w:val="none"/>
          <w:lang w:val="en-US" w:eastAsia="zh-CN"/>
        </w:rPr>
        <w:t>（五）其他应当依法承担纪律法律责任的行为。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第十九条</w:t>
      </w:r>
      <w:r>
        <w:rPr>
          <w:rFonts w:hint="eastAsia" w:ascii="仿宋_GB2312" w:hAnsi="仿宋_GB2312" w:cs="仿宋_GB2312"/>
          <w:highlight w:val="none"/>
          <w:lang w:val="en-US" w:eastAsia="zh-CN"/>
        </w:rPr>
        <w:t xml:space="preserve"> 本办法由青岛市市场监督管理局、青岛市财政局负责解释。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r>
        <w:rPr>
          <w:rFonts w:hint="eastAsia" w:ascii="黑体" w:hAnsi="黑体" w:eastAsia="黑体" w:cs="黑体"/>
          <w:b w:val="0"/>
          <w:bCs w:val="0"/>
          <w:highlight w:val="none"/>
          <w:lang w:val="en-US" w:eastAsia="zh-CN"/>
        </w:rPr>
        <w:t>第二十条</w:t>
      </w:r>
      <w:r>
        <w:rPr>
          <w:rFonts w:hint="eastAsia" w:ascii="仿宋_GB2312" w:hAnsi="仿宋_GB2312" w:cs="仿宋_GB2312"/>
          <w:highlight w:val="none"/>
          <w:lang w:val="en-US" w:eastAsia="zh-CN"/>
        </w:rPr>
        <w:t xml:space="preserve"> 本办法自</w:t>
      </w:r>
      <w:r>
        <w:rPr>
          <w:rFonts w:hint="eastAsia" w:ascii="仿宋" w:hAnsi="仿宋" w:eastAsia="仿宋" w:cs="仿宋"/>
          <w:highlight w:val="none"/>
          <w:lang w:val="en-US" w:eastAsia="zh-CN"/>
        </w:rPr>
        <w:t>2026</w:t>
      </w:r>
      <w:r>
        <w:rPr>
          <w:rFonts w:hint="eastAsia" w:ascii="仿宋_GB2312" w:hAnsi="仿宋_GB2312" w:cs="仿宋_GB2312"/>
          <w:highlight w:val="none"/>
          <w:lang w:val="en-US" w:eastAsia="zh-CN"/>
        </w:rPr>
        <w:t>年</w:t>
      </w:r>
      <w:r>
        <w:rPr>
          <w:rFonts w:hint="eastAsia" w:ascii="仿宋" w:hAnsi="仿宋" w:eastAsia="仿宋" w:cs="仿宋"/>
          <w:highlight w:val="none"/>
          <w:lang w:val="en-US" w:eastAsia="zh-CN"/>
        </w:rPr>
        <w:t>7</w:t>
      </w:r>
      <w:r>
        <w:rPr>
          <w:rFonts w:hint="eastAsia" w:ascii="仿宋_GB2312" w:hAnsi="仿宋_GB2312" w:cs="仿宋_GB2312"/>
          <w:highlight w:val="none"/>
          <w:lang w:val="en-US" w:eastAsia="zh-CN"/>
        </w:rPr>
        <w:t>月</w:t>
      </w:r>
      <w:r>
        <w:rPr>
          <w:rFonts w:hint="eastAsia" w:ascii="仿宋" w:hAnsi="仿宋" w:eastAsia="仿宋" w:cs="仿宋"/>
          <w:highlight w:val="none"/>
          <w:lang w:val="en-US" w:eastAsia="zh-CN"/>
        </w:rPr>
        <w:t>15</w:t>
      </w:r>
      <w:r>
        <w:rPr>
          <w:rFonts w:hint="eastAsia" w:ascii="仿宋_GB2312" w:hAnsi="仿宋_GB2312" w:cs="仿宋_GB2312"/>
          <w:highlight w:val="none"/>
          <w:lang w:val="en-US" w:eastAsia="zh-CN"/>
        </w:rPr>
        <w:t>日起施行，试行期一年。施行中如遇国家、省有关法规政策调整的，依国家、省有关规定执行。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highlight w:val="none"/>
        </w:rPr>
      </w:pPr>
      <w:r>
        <w:rPr>
          <w:rFonts w:hint="default" w:ascii="Times New Roman" w:hAnsi="Times New Roman" w:cs="Times New Roman"/>
          <w:highlight w:val="none"/>
        </w:rPr>
        <w:t>附件：</w:t>
      </w:r>
      <w:r>
        <w:rPr>
          <w:rFonts w:hint="eastAsia" w:ascii="仿宋" w:hAnsi="仿宋" w:eastAsia="仿宋" w:cs="仿宋"/>
          <w:highlight w:val="none"/>
        </w:rPr>
        <w:t>1.</w:t>
      </w:r>
      <w:r>
        <w:rPr>
          <w:rFonts w:hint="eastAsia" w:ascii="仿宋_GB2312" w:hAnsi="仿宋_GB2312" w:eastAsia="仿宋_GB2312" w:cs="仿宋_GB2312"/>
          <w:highlight w:val="none"/>
        </w:rPr>
        <w:t>举报奖励审批表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cs="Times New Roman"/>
          <w:highlight w:val="none"/>
        </w:rPr>
      </w:pPr>
      <w:r>
        <w:rPr>
          <w:rFonts w:hint="eastAsia" w:ascii="仿宋_GB2312" w:hAnsi="仿宋_GB2312" w:eastAsia="仿宋_GB2312" w:cs="仿宋_GB2312"/>
          <w:highlight w:val="none"/>
        </w:rPr>
        <w:t xml:space="preserve">      </w:t>
      </w:r>
      <w:r>
        <w:rPr>
          <w:rFonts w:hint="eastAsia" w:ascii="仿宋" w:hAnsi="仿宋" w:eastAsia="仿宋" w:cs="仿宋"/>
          <w:highlight w:val="none"/>
          <w:lang w:val="en-US" w:eastAsia="zh-CN"/>
        </w:rPr>
        <w:t>2</w:t>
      </w:r>
      <w:r>
        <w:rPr>
          <w:rFonts w:hint="eastAsia" w:ascii="仿宋" w:hAnsi="仿宋" w:eastAsia="仿宋" w:cs="仿宋"/>
          <w:highlight w:val="none"/>
        </w:rPr>
        <w:t>.</w:t>
      </w:r>
      <w:r>
        <w:rPr>
          <w:rFonts w:hint="eastAsia" w:ascii="仿宋_GB2312" w:hAnsi="仿宋_GB2312" w:eastAsia="仿宋_GB2312" w:cs="仿宋_GB2312"/>
          <w:highlight w:val="none"/>
        </w:rPr>
        <w:t>举</w:t>
      </w:r>
      <w:r>
        <w:rPr>
          <w:rFonts w:hint="default" w:ascii="Times New Roman" w:hAnsi="Times New Roman" w:cs="Times New Roman"/>
          <w:highlight w:val="none"/>
        </w:rPr>
        <w:t>报奖励决定通知书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highlight w:val="none"/>
        </w:rPr>
      </w:pPr>
      <w:r>
        <w:rPr>
          <w:rFonts w:hint="default" w:ascii="Times New Roman" w:hAnsi="Times New Roman" w:eastAsia="黑体" w:cs="Times New Roman"/>
          <w:highlight w:val="none"/>
        </w:rPr>
        <w:br w:type="page"/>
      </w:r>
      <w:r>
        <w:rPr>
          <w:rFonts w:hint="eastAsia" w:ascii="黑体" w:hAnsi="黑体" w:eastAsia="黑体" w:cs="黑体"/>
          <w:highlight w:val="none"/>
        </w:rPr>
        <w:t>附件1</w:t>
      </w:r>
    </w:p>
    <w:p>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eastAsia" w:ascii="方正小标宋_GBK" w:hAnsi="方正小标宋_GBK" w:eastAsia="方正小标宋_GBK" w:cs="方正小标宋_GBK"/>
          <w:sz w:val="44"/>
          <w:szCs w:val="44"/>
          <w:highlight w:val="none"/>
        </w:rPr>
      </w:pPr>
      <w:r>
        <w:rPr>
          <w:rFonts w:hint="default" w:ascii="Times New Roman" w:hAnsi="Times New Roman" w:eastAsia="方正小标宋简体" w:cs="Times New Roman"/>
          <w:sz w:val="44"/>
          <w:szCs w:val="44"/>
          <w:highlight w:val="none"/>
          <w:u w:val="single"/>
          <w:lang w:val="en-US" w:eastAsia="zh-CN"/>
        </w:rPr>
        <w:t xml:space="preserve">        </w:t>
      </w:r>
      <w:r>
        <w:rPr>
          <w:rFonts w:hint="eastAsia" w:ascii="方正小标宋_GBK" w:hAnsi="方正小标宋_GBK" w:eastAsia="方正小标宋_GBK" w:cs="方正小标宋_GBK"/>
          <w:sz w:val="44"/>
          <w:szCs w:val="44"/>
          <w:highlight w:val="none"/>
        </w:rPr>
        <w:t>市场监督管理局</w:t>
      </w:r>
    </w:p>
    <w:p>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举报奖励审批表</w:t>
      </w:r>
    </w:p>
    <w:p>
      <w:pPr>
        <w:keepNext w:val="0"/>
        <w:keepLines w:val="0"/>
        <w:pageBreakBefore w:val="0"/>
        <w:kinsoku/>
        <w:wordWrap/>
        <w:overflowPunct/>
        <w:topLinePunct w:val="0"/>
        <w:autoSpaceDE/>
        <w:autoSpaceDN/>
        <w:bidi w:val="0"/>
        <w:spacing w:line="560" w:lineRule="exact"/>
        <w:ind w:left="0" w:leftChars="0" w:firstLine="0" w:firstLineChars="0"/>
        <w:jc w:val="center"/>
        <w:textAlignment w:val="auto"/>
        <w:rPr>
          <w:rFonts w:hint="default" w:ascii="Times New Roman" w:hAnsi="Times New Roman" w:eastAsia="仿宋_GB2312" w:cs="Times New Roman"/>
          <w:color w:val="000000"/>
          <w:highlight w:val="none"/>
        </w:rPr>
      </w:pPr>
      <w:r>
        <w:rPr>
          <w:rFonts w:hint="default" w:ascii="Times New Roman" w:hAnsi="Times New Roman" w:eastAsia="仿宋_GB2312" w:cs="Times New Roman"/>
          <w:color w:val="000000"/>
          <w:sz w:val="32"/>
          <w:szCs w:val="32"/>
          <w:highlight w:val="none"/>
          <w:u w:val="single"/>
        </w:rPr>
        <w:t xml:space="preserve">     </w:t>
      </w:r>
      <w:r>
        <w:rPr>
          <w:rFonts w:hint="default" w:ascii="Times New Roman" w:hAnsi="Times New Roman" w:eastAsia="仿宋_GB2312" w:cs="Times New Roman"/>
          <w:color w:val="000000"/>
          <w:sz w:val="32"/>
          <w:szCs w:val="32"/>
          <w:highlight w:val="none"/>
        </w:rPr>
        <w:t>市监奖审〔</w:t>
      </w:r>
      <w:r>
        <w:rPr>
          <w:rFonts w:hint="default" w:ascii="Times New Roman" w:hAnsi="Times New Roman" w:eastAsia="仿宋_GB2312" w:cs="Times New Roman"/>
          <w:color w:val="000000"/>
          <w:sz w:val="32"/>
          <w:szCs w:val="32"/>
          <w:highlight w:val="none"/>
          <w:u w:val="single"/>
        </w:rPr>
        <w:t xml:space="preserve">    </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u w:val="single"/>
        </w:rPr>
        <w:t xml:space="preserve">   </w:t>
      </w:r>
      <w:r>
        <w:rPr>
          <w:rFonts w:hint="default" w:ascii="Times New Roman" w:hAnsi="Times New Roman" w:eastAsia="仿宋_GB2312" w:cs="Times New Roman"/>
          <w:color w:val="000000"/>
          <w:sz w:val="32"/>
          <w:szCs w:val="32"/>
          <w:highlight w:val="none"/>
        </w:rPr>
        <w:t>号</w:t>
      </w:r>
    </w:p>
    <w:tbl>
      <w:tblPr>
        <w:tblStyle w:val="10"/>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7"/>
        <w:gridCol w:w="1680"/>
        <w:gridCol w:w="1410"/>
        <w:gridCol w:w="1440"/>
        <w:gridCol w:w="1457"/>
        <w:gridCol w:w="1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08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受奖人姓名</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p>
        </w:tc>
        <w:tc>
          <w:tcPr>
            <w:tcW w:w="141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性别</w:t>
            </w:r>
          </w:p>
        </w:tc>
        <w:tc>
          <w:tcPr>
            <w:tcW w:w="144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p>
        </w:tc>
        <w:tc>
          <w:tcPr>
            <w:tcW w:w="145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联系电话</w:t>
            </w:r>
          </w:p>
        </w:tc>
        <w:tc>
          <w:tcPr>
            <w:tcW w:w="174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208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身份证件</w:t>
            </w:r>
          </w:p>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名称、号码</w:t>
            </w:r>
          </w:p>
        </w:tc>
        <w:tc>
          <w:tcPr>
            <w:tcW w:w="309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p>
        </w:tc>
        <w:tc>
          <w:tcPr>
            <w:tcW w:w="144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联系地址</w:t>
            </w:r>
          </w:p>
        </w:tc>
        <w:tc>
          <w:tcPr>
            <w:tcW w:w="320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08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立案</w:t>
            </w:r>
          </w:p>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时间</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right"/>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年 月 日</w:t>
            </w:r>
          </w:p>
        </w:tc>
        <w:tc>
          <w:tcPr>
            <w:tcW w:w="141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结案</w:t>
            </w:r>
          </w:p>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时间</w:t>
            </w:r>
          </w:p>
        </w:tc>
        <w:tc>
          <w:tcPr>
            <w:tcW w:w="144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right"/>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年 月 日</w:t>
            </w:r>
          </w:p>
        </w:tc>
        <w:tc>
          <w:tcPr>
            <w:tcW w:w="145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案件来源登记表登记号</w:t>
            </w:r>
          </w:p>
        </w:tc>
        <w:tc>
          <w:tcPr>
            <w:tcW w:w="1745"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08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案由</w:t>
            </w:r>
          </w:p>
        </w:tc>
        <w:tc>
          <w:tcPr>
            <w:tcW w:w="7732"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208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发放奖励的理由、依据及意见</w:t>
            </w:r>
          </w:p>
        </w:tc>
        <w:tc>
          <w:tcPr>
            <w:tcW w:w="7732"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仿宋" w:cs="Times New Roman"/>
                <w:color w:val="000000"/>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仿宋" w:cs="Times New Roman"/>
                <w:color w:val="000000"/>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right"/>
              <w:textAlignment w:val="auto"/>
              <w:rPr>
                <w:rFonts w:hint="default" w:ascii="Times New Roman" w:hAnsi="Times New Roman" w:eastAsia="仿宋" w:cs="Times New Roman"/>
                <w:color w:val="000000"/>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仿宋" w:cs="Times New Roman"/>
                <w:color w:val="000000"/>
                <w:sz w:val="24"/>
                <w:szCs w:val="24"/>
                <w:highlight w:val="none"/>
                <w:u w:val="single"/>
              </w:rPr>
            </w:pPr>
            <w:r>
              <w:rPr>
                <w:rFonts w:hint="default" w:ascii="Times New Roman" w:hAnsi="Times New Roman" w:eastAsia="仿宋" w:cs="Times New Roman"/>
                <w:color w:val="000000"/>
                <w:sz w:val="24"/>
                <w:szCs w:val="24"/>
                <w:highlight w:val="none"/>
              </w:rPr>
              <w:t xml:space="preserve">                经办人：</w:t>
            </w:r>
            <w:r>
              <w:rPr>
                <w:rFonts w:hint="default" w:ascii="Times New Roman" w:hAnsi="Times New Roman" w:eastAsia="仿宋" w:cs="Times New Roman"/>
                <w:color w:val="000000"/>
                <w:sz w:val="24"/>
                <w:szCs w:val="24"/>
                <w:highlight w:val="none"/>
                <w:u w:val="single"/>
              </w:rPr>
              <w:t xml:space="preserve">       </w:t>
            </w:r>
            <w:r>
              <w:rPr>
                <w:rFonts w:hint="default" w:ascii="Times New Roman" w:hAnsi="Times New Roman" w:eastAsia="仿宋" w:cs="Times New Roman"/>
                <w:color w:val="000000"/>
                <w:sz w:val="24"/>
                <w:szCs w:val="24"/>
                <w:highlight w:val="none"/>
              </w:rPr>
              <w:t>、</w:t>
            </w:r>
            <w:r>
              <w:rPr>
                <w:rFonts w:hint="default" w:ascii="Times New Roman" w:hAnsi="Times New Roman" w:eastAsia="仿宋" w:cs="Times New Roman"/>
                <w:color w:val="000000"/>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right"/>
              <w:textAlignment w:val="auto"/>
              <w:rPr>
                <w:rFonts w:hint="default" w:ascii="Times New Roman" w:hAnsi="Times New Roman" w:cs="Times New Roman"/>
                <w:color w:val="000000"/>
                <w:sz w:val="24"/>
                <w:szCs w:val="24"/>
                <w:highlight w:val="none"/>
              </w:rPr>
            </w:pPr>
            <w:r>
              <w:rPr>
                <w:rFonts w:hint="default" w:ascii="Times New Roman" w:hAnsi="Times New Roman" w:eastAsia="仿宋" w:cs="Times New Roman"/>
                <w:color w:val="000000"/>
                <w:sz w:val="24"/>
                <w:szCs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208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罚没款金额</w:t>
            </w:r>
          </w:p>
        </w:tc>
        <w:tc>
          <w:tcPr>
            <w:tcW w:w="309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both"/>
              <w:textAlignment w:val="auto"/>
              <w:rPr>
                <w:rFonts w:hint="default" w:ascii="Times New Roman" w:hAnsi="Times New Roman" w:eastAsia="仿宋_GB2312" w:cs="Times New Roman"/>
                <w:color w:val="000000"/>
                <w:sz w:val="24"/>
                <w:szCs w:val="24"/>
                <w:highlight w:val="none"/>
                <w:lang w:val="en-US" w:eastAsia="zh-CN"/>
              </w:rPr>
            </w:pPr>
          </w:p>
        </w:tc>
        <w:tc>
          <w:tcPr>
            <w:tcW w:w="1440"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firstLine="0" w:firstLineChars="0"/>
              <w:jc w:val="center"/>
              <w:textAlignment w:val="auto"/>
              <w:rPr>
                <w:rFonts w:hint="default" w:ascii="Times New Roman" w:hAnsi="Times New Roman" w:eastAsia="仿宋_GB2312" w:cs="Times New Roman"/>
                <w:color w:val="000000"/>
                <w:sz w:val="24"/>
                <w:szCs w:val="24"/>
                <w:highlight w:val="none"/>
                <w:lang w:val="en-US" w:eastAsia="zh-CN"/>
              </w:rPr>
            </w:pPr>
            <w:r>
              <w:rPr>
                <w:rFonts w:hint="default" w:ascii="Times New Roman" w:hAnsi="Times New Roman" w:eastAsia="仿宋_GB2312" w:cs="Times New Roman"/>
                <w:color w:val="000000"/>
                <w:sz w:val="24"/>
                <w:szCs w:val="24"/>
                <w:highlight w:val="none"/>
                <w:lang w:val="en-US" w:eastAsia="zh-CN"/>
              </w:rPr>
              <w:t>奖励金额</w:t>
            </w:r>
          </w:p>
        </w:tc>
        <w:tc>
          <w:tcPr>
            <w:tcW w:w="3202"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both"/>
              <w:textAlignment w:val="auto"/>
              <w:rPr>
                <w:rFonts w:hint="default" w:ascii="Times New Roman" w:hAnsi="Times New Roman" w:eastAsia="仿宋_GB2312" w:cs="Times New Roman"/>
                <w:color w:val="00000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208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办案机构</w:t>
            </w:r>
          </w:p>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负责人意见</w:t>
            </w:r>
          </w:p>
        </w:tc>
        <w:tc>
          <w:tcPr>
            <w:tcW w:w="7732"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xml:space="preserve">               </w:t>
            </w:r>
            <w:r>
              <w:rPr>
                <w:rFonts w:hint="default" w:ascii="Times New Roman" w:hAnsi="Times New Roman" w:eastAsia="仿宋" w:cs="Times New Roman"/>
                <w:color w:val="000000"/>
                <w:sz w:val="24"/>
                <w:szCs w:val="24"/>
                <w:highlight w:val="none"/>
                <w:lang w:eastAsia="zh-CN"/>
              </w:rPr>
              <w:t>办案</w:t>
            </w:r>
            <w:r>
              <w:rPr>
                <w:rFonts w:hint="default" w:ascii="Times New Roman" w:hAnsi="Times New Roman" w:eastAsia="仿宋" w:cs="Times New Roman"/>
                <w:color w:val="000000"/>
                <w:sz w:val="24"/>
                <w:szCs w:val="24"/>
                <w:highlight w:val="none"/>
              </w:rPr>
              <w:t xml:space="preserve">机构负责人： </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right"/>
              <w:textAlignment w:val="auto"/>
              <w:rPr>
                <w:rFonts w:hint="default" w:ascii="Times New Roman" w:hAnsi="Times New Roman" w:cs="Times New Roman"/>
                <w:color w:val="000000"/>
                <w:sz w:val="24"/>
                <w:szCs w:val="24"/>
                <w:highlight w:val="none"/>
              </w:rPr>
            </w:pPr>
            <w:r>
              <w:rPr>
                <w:rFonts w:hint="default" w:ascii="Times New Roman" w:hAnsi="Times New Roman" w:eastAsia="仿宋" w:cs="Times New Roman"/>
                <w:color w:val="000000"/>
                <w:sz w:val="24"/>
                <w:szCs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208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市场监管</w:t>
            </w:r>
          </w:p>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部门负责人</w:t>
            </w:r>
          </w:p>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意见</w:t>
            </w:r>
          </w:p>
        </w:tc>
        <w:tc>
          <w:tcPr>
            <w:tcW w:w="7732"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仿宋" w:cs="Times New Roman"/>
                <w:color w:val="000000"/>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仿宋" w:cs="Times New Roman"/>
                <w:color w:val="000000"/>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xml:space="preserve">            市场监管部门负责人：</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xml:space="preserve">                                       （印章）</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right"/>
              <w:textAlignment w:val="auto"/>
              <w:rPr>
                <w:rFonts w:hint="default" w:ascii="Times New Roman" w:hAnsi="Times New Roman" w:cs="Times New Roman"/>
                <w:color w:val="000000"/>
                <w:sz w:val="24"/>
                <w:szCs w:val="24"/>
                <w:highlight w:val="none"/>
              </w:rPr>
            </w:pPr>
            <w:r>
              <w:rPr>
                <w:rFonts w:hint="default" w:ascii="Times New Roman" w:hAnsi="Times New Roman" w:eastAsia="仿宋" w:cs="Times New Roman"/>
                <w:color w:val="000000"/>
                <w:sz w:val="24"/>
                <w:szCs w:val="24"/>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2087"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r>
              <w:rPr>
                <w:rFonts w:hint="default" w:ascii="Times New Roman" w:hAnsi="Times New Roman" w:cs="Times New Roman"/>
                <w:color w:val="000000"/>
                <w:sz w:val="24"/>
                <w:szCs w:val="24"/>
                <w:highlight w:val="none"/>
              </w:rPr>
              <w:t>备注</w:t>
            </w:r>
          </w:p>
        </w:tc>
        <w:tc>
          <w:tcPr>
            <w:tcW w:w="7732"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color w:val="000000"/>
                <w:sz w:val="24"/>
                <w:szCs w:val="24"/>
                <w:highlight w:val="none"/>
              </w:rPr>
            </w:pPr>
          </w:p>
        </w:tc>
      </w:tr>
    </w:tbl>
    <w:p>
      <w:pPr>
        <w:keepNext w:val="0"/>
        <w:keepLines w:val="0"/>
        <w:pageBreakBefore w:val="0"/>
        <w:kinsoku/>
        <w:wordWrap/>
        <w:overflowPunct/>
        <w:topLinePunct w:val="0"/>
        <w:autoSpaceDE/>
        <w:autoSpaceDN/>
        <w:bidi w:val="0"/>
        <w:spacing w:line="440" w:lineRule="exact"/>
        <w:ind w:left="0" w:leftChars="0" w:firstLine="0" w:firstLineChars="0"/>
        <w:textAlignment w:val="auto"/>
        <w:rPr>
          <w:rFonts w:hint="eastAsia" w:ascii="Times New Roman" w:hAnsi="Times New Roman" w:eastAsia="黑体" w:cs="Times New Roman"/>
          <w:highlight w:val="none"/>
          <w:lang w:eastAsia="zh-CN"/>
        </w:rPr>
      </w:pPr>
      <w:r>
        <w:rPr>
          <w:rFonts w:hint="default" w:ascii="Times New Roman" w:hAnsi="Times New Roman" w:eastAsia="黑体" w:cs="Times New Roman"/>
          <w:highlight w:val="none"/>
        </w:rPr>
        <w:br w:type="page"/>
      </w:r>
      <w:r>
        <w:rPr>
          <w:rFonts w:hint="eastAsia" w:ascii="黑体" w:hAnsi="黑体" w:eastAsia="黑体" w:cs="黑体"/>
          <w:highlight w:val="none"/>
        </w:rPr>
        <w:t>附件</w:t>
      </w:r>
      <w:r>
        <w:rPr>
          <w:rFonts w:hint="eastAsia" w:ascii="黑体" w:hAnsi="黑体" w:eastAsia="黑体" w:cs="黑体"/>
          <w:highlight w:val="none"/>
          <w:lang w:val="en-US" w:eastAsia="zh-CN"/>
        </w:rPr>
        <w:t>2</w:t>
      </w:r>
    </w:p>
    <w:p>
      <w:pPr>
        <w:keepNext/>
        <w:keepLines/>
        <w:pageBreakBefore w:val="0"/>
        <w:widowControl w:val="0"/>
        <w:kinsoku/>
        <w:wordWrap/>
        <w:overflowPunct/>
        <w:topLinePunct w:val="0"/>
        <w:autoSpaceDE/>
        <w:autoSpaceDN/>
        <w:bidi w:val="0"/>
        <w:spacing w:before="0" w:beforeLines="0" w:beforeAutospacing="0" w:after="0" w:afterLines="0" w:afterAutospacing="0" w:line="440" w:lineRule="exact"/>
        <w:ind w:firstLine="643" w:firstLineChars="200"/>
        <w:jc w:val="both"/>
        <w:textAlignment w:val="auto"/>
        <w:outlineLvl w:val="1"/>
        <w:rPr>
          <w:rFonts w:hint="default" w:ascii="Times New Roman" w:hAnsi="Times New Roman" w:eastAsia="黑体" w:cs="Times New Roman"/>
          <w:b/>
          <w:kern w:val="2"/>
          <w:sz w:val="32"/>
          <w:szCs w:val="32"/>
          <w:highlight w:val="none"/>
          <w:lang w:val="en-US" w:eastAsia="zh-CN" w:bidi="ar-SA"/>
        </w:rPr>
      </w:pPr>
    </w:p>
    <w:p>
      <w:pPr>
        <w:pageBreakBefore w:val="0"/>
        <w:kinsoku/>
        <w:wordWrap/>
        <w:overflowPunct/>
        <w:topLinePunct w:val="0"/>
        <w:autoSpaceDE/>
        <w:autoSpaceDN/>
        <w:bidi w:val="0"/>
        <w:spacing w:line="560" w:lineRule="exact"/>
        <w:ind w:left="0" w:leftChars="0" w:firstLine="0" w:firstLineChars="0"/>
        <w:jc w:val="center"/>
        <w:textAlignment w:val="auto"/>
        <w:rPr>
          <w:rFonts w:hint="eastAsia" w:ascii="方正小标宋_GBK" w:hAnsi="方正小标宋_GBK" w:eastAsia="方正小标宋_GBK" w:cs="方正小标宋_GBK"/>
          <w:sz w:val="44"/>
          <w:szCs w:val="44"/>
          <w:highlight w:val="none"/>
        </w:rPr>
      </w:pPr>
      <w:r>
        <w:rPr>
          <w:rFonts w:hint="default" w:ascii="Times New Roman" w:hAnsi="Times New Roman" w:eastAsia="方正小标宋简体" w:cs="Times New Roman"/>
          <w:sz w:val="44"/>
          <w:szCs w:val="44"/>
          <w:highlight w:val="none"/>
          <w:u w:val="single"/>
        </w:rPr>
        <w:t xml:space="preserve">      </w:t>
      </w:r>
      <w:r>
        <w:rPr>
          <w:rFonts w:hint="eastAsia" w:ascii="方正小标宋_GBK" w:hAnsi="方正小标宋_GBK" w:eastAsia="方正小标宋_GBK" w:cs="方正小标宋_GBK"/>
          <w:sz w:val="44"/>
          <w:szCs w:val="44"/>
          <w:highlight w:val="none"/>
        </w:rPr>
        <w:t>市场监督管理局</w:t>
      </w:r>
    </w:p>
    <w:p>
      <w:pPr>
        <w:pageBreakBefore w:val="0"/>
        <w:kinsoku/>
        <w:wordWrap/>
        <w:overflowPunct/>
        <w:topLinePunct w:val="0"/>
        <w:autoSpaceDE/>
        <w:autoSpaceDN/>
        <w:bidi w:val="0"/>
        <w:spacing w:line="560" w:lineRule="exact"/>
        <w:ind w:left="0" w:leftChars="0" w:firstLine="0" w:firstLineChars="0"/>
        <w:jc w:val="center"/>
        <w:textAlignment w:val="auto"/>
        <w:rPr>
          <w:rFonts w:hint="default" w:ascii="Times New Roman" w:hAnsi="Times New Roman" w:eastAsia="方正小标宋简体" w:cs="Times New Roman"/>
          <w:sz w:val="44"/>
          <w:szCs w:val="44"/>
          <w:highlight w:val="none"/>
        </w:rPr>
      </w:pPr>
      <w:r>
        <w:rPr>
          <w:rFonts w:hint="eastAsia" w:ascii="方正小标宋_GBK" w:hAnsi="方正小标宋_GBK" w:eastAsia="方正小标宋_GBK" w:cs="方正小标宋_GBK"/>
          <w:sz w:val="44"/>
          <w:szCs w:val="44"/>
          <w:highlight w:val="none"/>
        </w:rPr>
        <w:t>举报奖励决定通知书</w:t>
      </w:r>
    </w:p>
    <w:p>
      <w:pPr>
        <w:keepNext w:val="0"/>
        <w:keepLines w:val="0"/>
        <w:pageBreakBefore w:val="0"/>
        <w:kinsoku/>
        <w:wordWrap/>
        <w:overflowPunct/>
        <w:topLinePunct w:val="0"/>
        <w:autoSpaceDE/>
        <w:autoSpaceDN/>
        <w:bidi w:val="0"/>
        <w:spacing w:line="440" w:lineRule="exact"/>
        <w:ind w:left="0" w:leftChars="0" w:firstLine="0" w:firstLineChars="0"/>
        <w:jc w:val="center"/>
        <w:textAlignment w:val="auto"/>
        <w:rPr>
          <w:rFonts w:hint="default" w:ascii="Times New Roman" w:hAnsi="Times New Roman" w:eastAsia="方正小标宋简体" w:cs="Times New Roman"/>
          <w:sz w:val="44"/>
          <w:szCs w:val="44"/>
          <w:highlight w:val="none"/>
        </w:rPr>
      </w:pPr>
    </w:p>
    <w:p>
      <w:pPr>
        <w:keepNext w:val="0"/>
        <w:keepLines w:val="0"/>
        <w:pageBreakBefore w:val="0"/>
        <w:kinsoku/>
        <w:wordWrap/>
        <w:overflowPunct/>
        <w:topLinePunct w:val="0"/>
        <w:autoSpaceDE/>
        <w:autoSpaceDN/>
        <w:bidi w:val="0"/>
        <w:spacing w:line="440" w:lineRule="exact"/>
        <w:ind w:firstLine="0" w:firstLineChars="0"/>
        <w:jc w:val="center"/>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highlight w:val="none"/>
          <w:u w:val="single"/>
        </w:rPr>
        <w:t xml:space="preserve">    </w:t>
      </w:r>
      <w:r>
        <w:rPr>
          <w:rFonts w:hint="default" w:ascii="Times New Roman" w:hAnsi="Times New Roman" w:eastAsia="仿宋_GB2312" w:cs="Times New Roman"/>
          <w:sz w:val="32"/>
          <w:szCs w:val="32"/>
          <w:highlight w:val="none"/>
        </w:rPr>
        <w:t>市监奖决</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u w:val="single"/>
        </w:rPr>
        <w:t xml:space="preserve">    </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u w:val="single"/>
        </w:rPr>
        <w:t xml:space="preserve">   </w:t>
      </w:r>
      <w:r>
        <w:rPr>
          <w:rFonts w:hint="default" w:ascii="Times New Roman" w:hAnsi="Times New Roman" w:eastAsia="仿宋_GB2312" w:cs="Times New Roman"/>
          <w:color w:val="000000"/>
          <w:sz w:val="32"/>
          <w:szCs w:val="32"/>
          <w:highlight w:val="none"/>
        </w:rPr>
        <w:t>号</w:t>
      </w:r>
    </w:p>
    <w:p>
      <w:pPr>
        <w:keepNext w:val="0"/>
        <w:keepLines w:val="0"/>
        <w:pageBreakBefore w:val="0"/>
        <w:kinsoku/>
        <w:wordWrap/>
        <w:overflowPunct/>
        <w:topLinePunct w:val="0"/>
        <w:autoSpaceDE/>
        <w:autoSpaceDN/>
        <w:bidi w:val="0"/>
        <w:spacing w:line="440" w:lineRule="exact"/>
        <w:ind w:firstLine="0" w:firstLineChars="0"/>
        <w:textAlignment w:val="auto"/>
        <w:rPr>
          <w:rFonts w:hint="default" w:ascii="Times New Roman" w:hAnsi="Times New Roman" w:eastAsia="仿宋_GB2312" w:cs="Times New Roman"/>
          <w:color w:val="000000"/>
          <w:sz w:val="32"/>
          <w:szCs w:val="32"/>
          <w:highlight w:val="none"/>
        </w:rPr>
      </w:pPr>
    </w:p>
    <w:p>
      <w:pPr>
        <w:keepNext w:val="0"/>
        <w:keepLines w:val="0"/>
        <w:pageBreakBefore w:val="0"/>
        <w:kinsoku/>
        <w:wordWrap/>
        <w:overflowPunct/>
        <w:topLinePunct w:val="0"/>
        <w:autoSpaceDE/>
        <w:autoSpaceDN/>
        <w:bidi w:val="0"/>
        <w:spacing w:line="440" w:lineRule="exact"/>
        <w:ind w:left="0" w:leftChars="0" w:firstLine="0" w:firstLineChars="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color w:val="000000"/>
          <w:sz w:val="32"/>
          <w:szCs w:val="32"/>
          <w:highlight w:val="none"/>
          <w:u w:val="single"/>
        </w:rPr>
        <w:t xml:space="preserve">                     </w:t>
      </w:r>
      <w:r>
        <w:rPr>
          <w:rFonts w:hint="default" w:ascii="Times New Roman" w:hAnsi="Times New Roman" w:eastAsia="仿宋_GB2312" w:cs="Times New Roman"/>
          <w:color w:val="000000"/>
          <w:sz w:val="32"/>
          <w:szCs w:val="32"/>
          <w:highlight w:val="none"/>
        </w:rPr>
        <w:t>：</w:t>
      </w:r>
    </w:p>
    <w:p>
      <w:pPr>
        <w:keepNext w:val="0"/>
        <w:keepLines w:val="0"/>
        <w:pageBreakBefore w:val="0"/>
        <w:kinsoku/>
        <w:wordWrap/>
        <w:overflowPunct/>
        <w:topLinePunct w:val="0"/>
        <w:autoSpaceDE/>
        <w:autoSpaceDN/>
        <w:bidi w:val="0"/>
        <w:spacing w:line="440" w:lineRule="exact"/>
        <w:ind w:left="0" w:leftChars="0" w:firstLine="640" w:firstLineChars="200"/>
        <w:textAlignment w:val="auto"/>
        <w:rPr>
          <w:rFonts w:hint="eastAsia" w:ascii="仿宋_GB2312" w:hAnsi="仿宋_GB2312" w:eastAsia="仿宋_GB2312" w:cs="仿宋_GB2312"/>
          <w:highlight w:val="none"/>
        </w:rPr>
      </w:pPr>
      <w:r>
        <w:rPr>
          <w:rFonts w:hint="default" w:ascii="Times New Roman" w:hAnsi="Times New Roman" w:eastAsia="仿宋_GB2312" w:cs="Times New Roman"/>
          <w:highlight w:val="none"/>
        </w:rPr>
        <w:t>根据你提出的举报奖励申请，依据《</w:t>
      </w:r>
      <w:r>
        <w:rPr>
          <w:rFonts w:hint="default" w:ascii="Times New Roman" w:hAnsi="Times New Roman" w:eastAsia="仿宋_GB2312" w:cs="Times New Roman"/>
          <w:highlight w:val="none"/>
          <w:lang w:val="en-US" w:eastAsia="zh-CN"/>
        </w:rPr>
        <w:t>青岛市“食安哨兵”举报违法线索奖励试行办法</w:t>
      </w:r>
      <w:r>
        <w:rPr>
          <w:rFonts w:hint="default" w:ascii="Times New Roman" w:hAnsi="Times New Roman" w:eastAsia="仿宋_GB2312" w:cs="Times New Roman"/>
          <w:highlight w:val="none"/>
        </w:rPr>
        <w:t>》及有关规定，经本局研究，决定给予你</w:t>
      </w:r>
      <w:r>
        <w:rPr>
          <w:rFonts w:hint="eastAsia" w:ascii="仿宋_GB2312" w:hAnsi="仿宋_GB2312" w:eastAsia="仿宋_GB2312" w:cs="仿宋_GB2312"/>
          <w:highlight w:val="none"/>
        </w:rPr>
        <w:t>举报奖励人民币</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u w:val="single"/>
          <w:lang w:val="en-US" w:eastAsia="zh-CN"/>
        </w:rPr>
        <w:t xml:space="preserve"> </w:t>
      </w:r>
      <w:r>
        <w:rPr>
          <w:rFonts w:hint="eastAsia" w:ascii="仿宋_GB2312" w:hAnsi="仿宋_GB2312" w:eastAsia="仿宋_GB2312" w:cs="仿宋_GB2312"/>
          <w:highlight w:val="none"/>
          <w:u w:val="single"/>
        </w:rPr>
        <w:t xml:space="preserve"> </w:t>
      </w:r>
      <w:r>
        <w:rPr>
          <w:rFonts w:hint="eastAsia" w:ascii="仿宋_GB2312" w:hAnsi="仿宋_GB2312" w:eastAsia="仿宋_GB2312" w:cs="仿宋_GB2312"/>
          <w:highlight w:val="none"/>
        </w:rPr>
        <w:t>元。</w:t>
      </w:r>
    </w:p>
    <w:p>
      <w:pPr>
        <w:keepNext w:val="0"/>
        <w:keepLines w:val="0"/>
        <w:pageBreakBefore w:val="0"/>
        <w:kinsoku/>
        <w:wordWrap/>
        <w:overflowPunct/>
        <w:topLinePunct w:val="0"/>
        <w:autoSpaceDE/>
        <w:autoSpaceDN/>
        <w:bidi w:val="0"/>
        <w:spacing w:line="440" w:lineRule="exact"/>
        <w:ind w:left="0" w:leftChars="0"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lang w:val="en-US" w:eastAsia="zh-CN"/>
        </w:rPr>
        <w:t>奖励资金将于次月，发放至你预留的银行卡账号中</w:t>
      </w:r>
      <w:r>
        <w:rPr>
          <w:rFonts w:hint="eastAsia" w:ascii="仿宋_GB2312" w:hAnsi="仿宋_GB2312" w:eastAsia="仿宋_GB2312" w:cs="仿宋_GB2312"/>
          <w:highlight w:val="none"/>
        </w:rPr>
        <w:t>。你的预留银行卡号信息如下：</w:t>
      </w:r>
    </w:p>
    <w:p>
      <w:pPr>
        <w:keepNext w:val="0"/>
        <w:keepLines w:val="0"/>
        <w:pageBreakBefore w:val="0"/>
        <w:kinsoku/>
        <w:wordWrap/>
        <w:overflowPunct/>
        <w:topLinePunct w:val="0"/>
        <w:autoSpaceDE/>
        <w:autoSpaceDN/>
        <w:bidi w:val="0"/>
        <w:spacing w:line="440" w:lineRule="exact"/>
        <w:ind w:left="0" w:leftChars="0"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开户银行：</w:t>
      </w:r>
    </w:p>
    <w:p>
      <w:pPr>
        <w:keepNext w:val="0"/>
        <w:keepLines w:val="0"/>
        <w:pageBreakBefore w:val="0"/>
        <w:kinsoku/>
        <w:wordWrap/>
        <w:overflowPunct/>
        <w:topLinePunct w:val="0"/>
        <w:autoSpaceDE/>
        <w:autoSpaceDN/>
        <w:bidi w:val="0"/>
        <w:spacing w:line="440" w:lineRule="exact"/>
        <w:ind w:left="0" w:leftChars="0"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账　　号：</w:t>
      </w:r>
    </w:p>
    <w:p>
      <w:pPr>
        <w:keepNext w:val="0"/>
        <w:keepLines w:val="0"/>
        <w:pageBreakBefore w:val="0"/>
        <w:kinsoku/>
        <w:wordWrap/>
        <w:overflowPunct/>
        <w:topLinePunct w:val="0"/>
        <w:autoSpaceDE/>
        <w:autoSpaceDN/>
        <w:bidi w:val="0"/>
        <w:spacing w:line="440" w:lineRule="exact"/>
        <w:ind w:left="0" w:leftChars="0"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户　　名：</w:t>
      </w:r>
    </w:p>
    <w:p>
      <w:pPr>
        <w:keepNext w:val="0"/>
        <w:keepLines w:val="0"/>
        <w:pageBreakBefore w:val="0"/>
        <w:kinsoku/>
        <w:wordWrap/>
        <w:overflowPunct/>
        <w:topLinePunct w:val="0"/>
        <w:autoSpaceDE/>
        <w:autoSpaceDN/>
        <w:bidi w:val="0"/>
        <w:spacing w:line="440" w:lineRule="exact"/>
        <w:ind w:left="0" w:leftChars="0" w:firstLine="640"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如对奖励金额有异议的，请在收到本告知书之日起10个工作日内，向实施举报奖励的市场监管部门提出复核申请，并提供相关佐证材料。</w:t>
      </w:r>
    </w:p>
    <w:p>
      <w:pPr>
        <w:keepNext w:val="0"/>
        <w:keepLines w:val="0"/>
        <w:pageBreakBefore w:val="0"/>
        <w:kinsoku/>
        <w:wordWrap/>
        <w:overflowPunct/>
        <w:topLinePunct w:val="0"/>
        <w:autoSpaceDE/>
        <w:autoSpaceDN/>
        <w:bidi w:val="0"/>
        <w:spacing w:line="440" w:lineRule="exact"/>
        <w:ind w:left="0" w:leftChars="0" w:firstLine="640" w:firstLineChars="200"/>
        <w:textAlignment w:val="auto"/>
        <w:rPr>
          <w:rFonts w:hint="eastAsia" w:ascii="仿宋_GB2312" w:hAnsi="仿宋_GB2312" w:eastAsia="仿宋_GB2312" w:cs="仿宋_GB2312"/>
          <w:highlight w:val="none"/>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640" w:firstLineChars="200"/>
        <w:jc w:val="left"/>
        <w:textAlignment w:val="auto"/>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联系人:                    联系电话:</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640" w:firstLineChars="200"/>
        <w:jc w:val="left"/>
        <w:textAlignment w:val="auto"/>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联系地址:</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4800" w:firstLineChars="1500"/>
        <w:jc w:val="left"/>
        <w:textAlignment w:val="auto"/>
        <w:rPr>
          <w:rFonts w:hint="default" w:ascii="Times New Roman" w:hAnsi="Times New Roman" w:eastAsia="仿宋_GB2312" w:cs="Times New Roman"/>
          <w:kern w:val="0"/>
          <w:sz w:val="32"/>
          <w:szCs w:val="32"/>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4800" w:firstLineChars="1500"/>
        <w:jc w:val="left"/>
        <w:textAlignment w:val="auto"/>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u w:val="single"/>
          <w:lang w:val="en-US" w:eastAsia="zh-CN" w:bidi="ar-SA"/>
        </w:rPr>
        <w:t xml:space="preserve">     </w:t>
      </w:r>
      <w:r>
        <w:rPr>
          <w:rFonts w:hint="default" w:ascii="Times New Roman" w:hAnsi="Times New Roman" w:eastAsia="仿宋_GB2312" w:cs="Times New Roman"/>
          <w:kern w:val="0"/>
          <w:sz w:val="32"/>
          <w:szCs w:val="32"/>
          <w:highlight w:val="none"/>
          <w:lang w:val="en-US" w:eastAsia="zh-CN" w:bidi="ar-SA"/>
        </w:rPr>
        <w:t>市场监督管理局</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440" w:lineRule="exact"/>
        <w:ind w:left="0" w:leftChars="0" w:firstLine="5760" w:firstLineChars="1800"/>
        <w:jc w:val="left"/>
        <w:textAlignment w:val="auto"/>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（印章）</w:t>
      </w:r>
    </w:p>
    <w:p>
      <w:pPr>
        <w:keepNext w:val="0"/>
        <w:keepLines w:val="0"/>
        <w:pageBreakBefore w:val="0"/>
        <w:kinsoku/>
        <w:wordWrap/>
        <w:overflowPunct/>
        <w:topLinePunct w:val="0"/>
        <w:autoSpaceDE/>
        <w:autoSpaceDN/>
        <w:bidi w:val="0"/>
        <w:adjustRightInd w:val="0"/>
        <w:snapToGrid w:val="0"/>
        <w:spacing w:line="440" w:lineRule="exact"/>
        <w:ind w:left="0" w:leftChars="0" w:firstLine="0" w:firstLineChars="0"/>
        <w:textAlignment w:val="auto"/>
        <w:rPr>
          <w:rFonts w:hint="default" w:ascii="Times New Roman" w:hAnsi="Times New Roman" w:eastAsia="仿宋_GB2312" w:cs="Times New Roman"/>
          <w:kern w:val="0"/>
          <w:highlight w:val="none"/>
        </w:rPr>
      </w:pPr>
      <w:r>
        <w:rPr>
          <w:rFonts w:hint="default" w:ascii="Times New Roman" w:hAnsi="Times New Roman" w:eastAsia="仿宋_GB2312" w:cs="Times New Roman"/>
          <w:kern w:val="0"/>
          <w:highlight w:val="none"/>
        </w:rPr>
        <w:t>                                       年  月  日</w:t>
      </w:r>
    </w:p>
    <w:p>
      <w:pPr>
        <w:keepNext w:val="0"/>
        <w:keepLines w:val="0"/>
        <w:pageBreakBefore w:val="0"/>
        <w:kinsoku/>
        <w:wordWrap/>
        <w:overflowPunct/>
        <w:topLinePunct w:val="0"/>
        <w:autoSpaceDE/>
        <w:autoSpaceDN/>
        <w:bidi w:val="0"/>
        <w:spacing w:line="440" w:lineRule="exact"/>
        <w:ind w:left="0" w:leftChars="0" w:firstLine="0" w:firstLineChars="0"/>
        <w:textAlignment w:val="auto"/>
        <w:rPr>
          <w:rFonts w:ascii="Calibri" w:hAnsi="Calibri" w:cs="Times New Roman"/>
        </w:rPr>
      </w:pPr>
      <w:r>
        <w:rPr>
          <w:rFonts w:hint="default" w:ascii="Times New Roman" w:hAnsi="Times New Roman" w:eastAsia="仿宋_GB2312" w:cs="Times New Roman"/>
          <w:highlight w:val="none"/>
        </w:rPr>
        <mc:AlternateContent>
          <mc:Choice Requires="wps">
            <w:drawing>
              <wp:anchor distT="0" distB="0" distL="114300" distR="114300" simplePos="0" relativeHeight="251662336" behindDoc="0" locked="0" layoutInCell="1" allowOverlap="1">
                <wp:simplePos x="0" y="0"/>
                <wp:positionH relativeFrom="column">
                  <wp:posOffset>2540</wp:posOffset>
                </wp:positionH>
                <wp:positionV relativeFrom="paragraph">
                  <wp:posOffset>10795</wp:posOffset>
                </wp:positionV>
                <wp:extent cx="5615940" cy="635"/>
                <wp:effectExtent l="0" t="0" r="0" b="0"/>
                <wp:wrapNone/>
                <wp:docPr id="5" name="直接箭头连接符 5"/>
                <wp:cNvGraphicFramePr/>
                <a:graphic xmlns:a="http://schemas.openxmlformats.org/drawingml/2006/main">
                  <a:graphicData uri="http://schemas.microsoft.com/office/word/2010/wordprocessingShape">
                    <wps:wsp>
                      <wps:cNvCnPr/>
                      <wps:spPr>
                        <a:xfrm>
                          <a:off x="0" y="0"/>
                          <a:ext cx="5615940" cy="635"/>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2pt;margin-top:0.85pt;height:0.05pt;width:442.2pt;z-index:251662336;mso-width-relative:page;mso-height-relative:page;" filled="f" stroked="t" coordsize="21600,21600" o:gfxdata="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4X1n9AAAAAEAQAADwAA&#10;AAAAAAABACAAAAAiAAAAZHJzL2Rvd25yZXYueG1sUEsBAhQAFAAAAAgAh07iQFjqhXTlAQAAoQMA&#10;AA4AAAAAAAAAAQAgAAAAHwEAAGRycy9lMm9Eb2MueG1sUEsFBgAAAAAGAAYAWQEAAHYFAAAAAA==&#10;">
                <v:fill on="f" focussize="0,0"/>
                <v:stroke weight="1pt" color="#000000" joinstyle="round"/>
                <v:imagedata o:title=""/>
                <o:lock v:ext="edit" aspectratio="f"/>
              </v:shape>
            </w:pict>
          </mc:Fallback>
        </mc:AlternateContent>
      </w:r>
      <w:r>
        <w:rPr>
          <w:rFonts w:hint="default" w:ascii="Times New Roman" w:hAnsi="Times New Roman" w:eastAsia="仿宋_GB2312" w:cs="Times New Roman"/>
          <w:color w:val="000000"/>
          <w:sz w:val="28"/>
          <w:szCs w:val="28"/>
          <w:highlight w:val="none"/>
        </w:rPr>
        <w:t>本文书一式两份，一份送达举报人、一份留存归档。</w:t>
      </w:r>
    </w:p>
    <w:p>
      <w:pPr>
        <w:pageBreakBefore w:val="0"/>
        <w:widowControl w:val="0"/>
        <w:kinsoku/>
        <w:wordWrap/>
        <w:overflowPunct/>
        <w:topLinePunct w:val="0"/>
        <w:autoSpaceDE/>
        <w:bidi w:val="0"/>
        <w:spacing w:line="560" w:lineRule="exact"/>
        <w:textAlignment w:val="auto"/>
        <w:rPr>
          <w:rFonts w:hint="eastAsia"/>
        </w:rPr>
      </w:pPr>
    </w:p>
    <w:p>
      <w:pPr>
        <w:pStyle w:val="2"/>
        <w:pageBreakBefore w:val="0"/>
        <w:widowControl w:val="0"/>
        <w:kinsoku/>
        <w:wordWrap/>
        <w:overflowPunct/>
        <w:topLinePunct w:val="0"/>
        <w:autoSpaceDE/>
        <w:bidi w:val="0"/>
        <w:spacing w:before="0" w:after="0" w:line="560" w:lineRule="exact"/>
        <w:textAlignment w:val="auto"/>
        <w:rPr>
          <w:rFonts w:hint="eastAsia"/>
        </w:rPr>
        <w:sectPr>
          <w:footerReference r:id="rId3" w:type="default"/>
          <w:pgSz w:w="11906" w:h="16838"/>
          <w:pgMar w:top="2098" w:right="1474" w:bottom="1984" w:left="1587" w:header="851" w:footer="992" w:gutter="0"/>
          <w:pgNumType w:fmt="numberInDash"/>
          <w:cols w:space="720" w:num="1"/>
          <w:rtlGutter w:val="0"/>
          <w:docGrid w:type="lines" w:linePitch="312" w:charSpace="0"/>
        </w:sectPr>
      </w:pPr>
    </w:p>
    <w:p>
      <w:pPr>
        <w:rPr>
          <w:rFonts w:hint="eastAsia"/>
        </w:rPr>
      </w:pPr>
    </w:p>
    <w:p>
      <w:pPr>
        <w:pageBreakBefore w:val="0"/>
        <w:widowControl w:val="0"/>
        <w:kinsoku/>
        <w:wordWrap/>
        <w:overflowPunct/>
        <w:topLinePunct w:val="0"/>
        <w:autoSpaceDE/>
        <w:bidi w:val="0"/>
        <w:spacing w:line="560" w:lineRule="exact"/>
        <w:textAlignment w:val="auto"/>
        <w:rPr>
          <w:rFonts w:hint="eastAsia"/>
        </w:rPr>
      </w:pPr>
    </w:p>
    <w:p>
      <w:pPr>
        <w:pStyle w:val="2"/>
        <w:pageBreakBefore w:val="0"/>
        <w:widowControl w:val="0"/>
        <w:kinsoku/>
        <w:wordWrap/>
        <w:overflowPunct/>
        <w:topLinePunct w:val="0"/>
        <w:autoSpaceDE/>
        <w:bidi w:val="0"/>
        <w:spacing w:before="0" w:after="0" w:line="560" w:lineRule="exact"/>
        <w:textAlignment w:val="auto"/>
        <w:rPr>
          <w:rFonts w:hint="eastAsia"/>
        </w:rPr>
      </w:pPr>
      <w:bookmarkStart w:id="0" w:name="_GoBack"/>
      <w:bookmarkEnd w:id="0"/>
    </w:p>
    <w:p>
      <w:pPr>
        <w:pageBreakBefore w:val="0"/>
        <w:widowControl w:val="0"/>
        <w:kinsoku/>
        <w:wordWrap/>
        <w:overflowPunct/>
        <w:topLinePunct w:val="0"/>
        <w:autoSpaceDE/>
        <w:bidi w:val="0"/>
        <w:spacing w:line="560" w:lineRule="exact"/>
        <w:textAlignment w:val="auto"/>
        <w:rPr>
          <w:rFonts w:hint="eastAsia"/>
        </w:rPr>
      </w:pPr>
    </w:p>
    <w:p>
      <w:pPr>
        <w:pStyle w:val="2"/>
        <w:pageBreakBefore w:val="0"/>
        <w:widowControl w:val="0"/>
        <w:kinsoku/>
        <w:wordWrap/>
        <w:overflowPunct/>
        <w:topLinePunct w:val="0"/>
        <w:autoSpaceDE/>
        <w:bidi w:val="0"/>
        <w:spacing w:before="0" w:after="0" w:line="560" w:lineRule="exact"/>
        <w:textAlignment w:val="auto"/>
        <w:rPr>
          <w:rFonts w:hint="eastAsia"/>
        </w:rPr>
      </w:pPr>
    </w:p>
    <w:p>
      <w:pPr>
        <w:pageBreakBefore w:val="0"/>
        <w:widowControl w:val="0"/>
        <w:kinsoku/>
        <w:wordWrap/>
        <w:overflowPunct/>
        <w:topLinePunct w:val="0"/>
        <w:autoSpaceDE/>
        <w:bidi w:val="0"/>
        <w:spacing w:line="560" w:lineRule="exact"/>
        <w:textAlignment w:val="auto"/>
        <w:rPr>
          <w:rFonts w:hint="eastAsia"/>
        </w:rPr>
      </w:pPr>
    </w:p>
    <w:p>
      <w:pPr>
        <w:pStyle w:val="2"/>
        <w:pageBreakBefore w:val="0"/>
        <w:widowControl w:val="0"/>
        <w:kinsoku/>
        <w:wordWrap/>
        <w:overflowPunct/>
        <w:topLinePunct w:val="0"/>
        <w:autoSpaceDE/>
        <w:bidi w:val="0"/>
        <w:spacing w:before="0" w:after="0" w:line="560" w:lineRule="exact"/>
        <w:textAlignment w:val="auto"/>
        <w:rPr>
          <w:rFonts w:hint="eastAsia"/>
        </w:rPr>
      </w:pPr>
    </w:p>
    <w:p>
      <w:pPr>
        <w:pageBreakBefore w:val="0"/>
        <w:widowControl w:val="0"/>
        <w:kinsoku/>
        <w:wordWrap/>
        <w:overflowPunct/>
        <w:topLinePunct w:val="0"/>
        <w:autoSpaceDE/>
        <w:bidi w:val="0"/>
        <w:spacing w:line="560" w:lineRule="exact"/>
        <w:textAlignment w:val="auto"/>
        <w:rPr>
          <w:rFonts w:hint="eastAsia"/>
        </w:rPr>
      </w:pPr>
    </w:p>
    <w:p>
      <w:pPr>
        <w:pStyle w:val="2"/>
        <w:pageBreakBefore w:val="0"/>
        <w:widowControl w:val="0"/>
        <w:kinsoku/>
        <w:wordWrap/>
        <w:overflowPunct/>
        <w:topLinePunct w:val="0"/>
        <w:autoSpaceDE/>
        <w:bidi w:val="0"/>
        <w:spacing w:before="0" w:after="0" w:line="560" w:lineRule="exact"/>
        <w:textAlignment w:val="auto"/>
        <w:rPr>
          <w:rFonts w:hint="eastAsia"/>
        </w:rPr>
      </w:pPr>
    </w:p>
    <w:p>
      <w:pPr>
        <w:pageBreakBefore w:val="0"/>
        <w:widowControl w:val="0"/>
        <w:kinsoku/>
        <w:wordWrap/>
        <w:overflowPunct/>
        <w:topLinePunct w:val="0"/>
        <w:autoSpaceDE/>
        <w:bidi w:val="0"/>
        <w:spacing w:line="560" w:lineRule="exact"/>
        <w:textAlignment w:val="auto"/>
        <w:rPr>
          <w:rFonts w:hint="eastAsia"/>
        </w:rPr>
      </w:pPr>
    </w:p>
    <w:p>
      <w:pPr>
        <w:pStyle w:val="2"/>
        <w:pageBreakBefore w:val="0"/>
        <w:widowControl w:val="0"/>
        <w:kinsoku/>
        <w:wordWrap/>
        <w:overflowPunct/>
        <w:topLinePunct w:val="0"/>
        <w:autoSpaceDE/>
        <w:bidi w:val="0"/>
        <w:spacing w:before="0" w:after="0" w:line="560" w:lineRule="exact"/>
        <w:textAlignment w:val="auto"/>
        <w:rPr>
          <w:rFonts w:hint="eastAsia"/>
        </w:rPr>
      </w:pPr>
    </w:p>
    <w:p>
      <w:pPr>
        <w:pageBreakBefore w:val="0"/>
        <w:widowControl w:val="0"/>
        <w:kinsoku/>
        <w:wordWrap/>
        <w:overflowPunct/>
        <w:topLinePunct w:val="0"/>
        <w:autoSpaceDE/>
        <w:bidi w:val="0"/>
        <w:spacing w:line="560" w:lineRule="exact"/>
        <w:textAlignment w:val="auto"/>
        <w:rPr>
          <w:rFonts w:hint="eastAsia"/>
        </w:rPr>
      </w:pPr>
    </w:p>
    <w:p>
      <w:pPr>
        <w:pStyle w:val="2"/>
        <w:pageBreakBefore w:val="0"/>
        <w:widowControl w:val="0"/>
        <w:kinsoku/>
        <w:wordWrap/>
        <w:overflowPunct/>
        <w:topLinePunct w:val="0"/>
        <w:autoSpaceDE/>
        <w:bidi w:val="0"/>
        <w:spacing w:before="0" w:after="0" w:line="560" w:lineRule="exact"/>
        <w:textAlignment w:val="auto"/>
        <w:rPr>
          <w:rFonts w:hint="eastAsia"/>
        </w:rPr>
      </w:pPr>
    </w:p>
    <w:p>
      <w:pPr>
        <w:pageBreakBefore w:val="0"/>
        <w:widowControl w:val="0"/>
        <w:kinsoku/>
        <w:wordWrap/>
        <w:overflowPunct/>
        <w:topLinePunct w:val="0"/>
        <w:autoSpaceDE/>
        <w:bidi w:val="0"/>
        <w:spacing w:line="560" w:lineRule="exact"/>
        <w:textAlignment w:val="auto"/>
        <w:rPr>
          <w:rFonts w:hint="eastAsia"/>
        </w:rPr>
      </w:pPr>
    </w:p>
    <w:p>
      <w:pPr>
        <w:pStyle w:val="2"/>
        <w:pageBreakBefore w:val="0"/>
        <w:widowControl w:val="0"/>
        <w:kinsoku/>
        <w:wordWrap/>
        <w:overflowPunct/>
        <w:topLinePunct w:val="0"/>
        <w:autoSpaceDE/>
        <w:bidi w:val="0"/>
        <w:spacing w:before="0" w:after="0" w:line="560" w:lineRule="exact"/>
        <w:textAlignment w:val="auto"/>
        <w:rPr>
          <w:rFonts w:hint="eastAsia"/>
        </w:rPr>
      </w:pPr>
    </w:p>
    <w:p>
      <w:pPr>
        <w:pageBreakBefore w:val="0"/>
        <w:widowControl w:val="0"/>
        <w:kinsoku/>
        <w:wordWrap/>
        <w:overflowPunct/>
        <w:topLinePunct w:val="0"/>
        <w:autoSpaceDE/>
        <w:bidi w:val="0"/>
        <w:spacing w:line="560" w:lineRule="exact"/>
        <w:textAlignment w:val="auto"/>
        <w:rPr>
          <w:rFonts w:hint="eastAsia"/>
        </w:rPr>
      </w:pPr>
    </w:p>
    <w:p>
      <w:pPr>
        <w:pStyle w:val="2"/>
        <w:rPr>
          <w:rFonts w:hint="eastAsia"/>
        </w:rPr>
      </w:pPr>
    </w:p>
    <w:p>
      <w:pPr>
        <w:pageBreakBefore w:val="0"/>
        <w:widowControl w:val="0"/>
        <w:kinsoku/>
        <w:wordWrap/>
        <w:overflowPunct/>
        <w:topLinePunct w:val="0"/>
        <w:autoSpaceDE/>
        <w:bidi w:val="0"/>
        <w:spacing w:line="560" w:lineRule="exact"/>
        <w:textAlignment w:val="auto"/>
        <w:rPr>
          <w:rFonts w:hint="eastAsia"/>
        </w:rPr>
      </w:pPr>
    </w:p>
    <w:p>
      <w:pPr>
        <w:pStyle w:val="2"/>
        <w:pageBreakBefore w:val="0"/>
        <w:widowControl w:val="0"/>
        <w:kinsoku/>
        <w:wordWrap/>
        <w:overflowPunct/>
        <w:topLinePunct w:val="0"/>
        <w:autoSpaceDE/>
        <w:bidi w:val="0"/>
        <w:spacing w:before="0" w:after="0" w:line="560" w:lineRule="exact"/>
        <w:textAlignment w:val="auto"/>
        <w:rPr>
          <w:rFonts w:hint="eastAsia"/>
        </w:rPr>
      </w:pPr>
    </w:p>
    <w:p>
      <w:pPr>
        <w:pStyle w:val="9"/>
        <w:pageBreakBefore w:val="0"/>
        <w:widowControl w:val="0"/>
        <w:kinsoku/>
        <w:wordWrap/>
        <w:overflowPunct/>
        <w:topLinePunct w:val="0"/>
        <w:autoSpaceDE/>
        <w:bidi w:val="0"/>
        <w:spacing w:after="0" w:line="560" w:lineRule="exact"/>
        <w:textAlignment w:val="auto"/>
        <w:rPr>
          <w:rFonts w:hint="eastAsia"/>
        </w:rPr>
      </w:pPr>
      <w:r>
        <w:rPr>
          <w:rFonts w:hint="eastAsia" w:ascii="仿宋_GB2312" w:hAnsi="Times New Roman" w:eastAsia="仿宋_GB2312" w:cs="Times New Roman"/>
          <w:kern w:val="2"/>
          <w:sz w:val="21"/>
          <w:szCs w:val="24"/>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355600</wp:posOffset>
                </wp:positionV>
                <wp:extent cx="5618480" cy="635"/>
                <wp:effectExtent l="0" t="0" r="0" b="0"/>
                <wp:wrapNone/>
                <wp:docPr id="2" name="直线 5"/>
                <wp:cNvGraphicFramePr/>
                <a:graphic xmlns:a="http://schemas.openxmlformats.org/drawingml/2006/main">
                  <a:graphicData uri="http://schemas.microsoft.com/office/word/2010/wordprocessingShape">
                    <wps:wsp>
                      <wps:cNvCnPr/>
                      <wps:spPr>
                        <a:xfrm>
                          <a:off x="0" y="0"/>
                          <a:ext cx="561848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5" o:spid="_x0000_s1026" o:spt="20" style="position:absolute;left:0pt;margin-left:0.85pt;margin-top:28pt;height:0.05pt;width:442.4pt;z-index:251659264;mso-width-relative:page;mso-height-relative:page;" filled="f" stroked="t" coordsize="21600,21600" o:gfxdata="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07EV+tUAAAAHAQAADwAAAAAAAAABACAAAAAi&#10;AAAAZHJzL2Rvd25yZXYueG1sUEsBAhQAFAAAAAgAh07iQAIM/vLUAQAAnQMAAA4AAAAAAAAAAQAg&#10;AAAAJAEAAGRycy9lMm9Eb2MueG1sUEsFBgAAAAAGAAYAWQEAAGoFAAAAAA==&#10;">
                <v:fill on="f" focussize="0,0"/>
                <v:stroke color="#000000" joinstyle="round"/>
                <v:imagedata o:title=""/>
                <o:lock v:ext="edit" aspectratio="f"/>
              </v:line>
            </w:pict>
          </mc:Fallback>
        </mc:AlternateContent>
      </w:r>
    </w:p>
    <w:p>
      <w:pPr>
        <w:pageBreakBefore w:val="0"/>
        <w:widowControl w:val="0"/>
        <w:tabs>
          <w:tab w:val="left" w:pos="8820"/>
        </w:tabs>
        <w:kinsoku/>
        <w:wordWrap/>
        <w:overflowPunct/>
        <w:topLinePunct w:val="0"/>
        <w:autoSpaceDE/>
        <w:bidi w:val="0"/>
        <w:spacing w:line="560" w:lineRule="exact"/>
        <w:ind w:right="22" w:rightChars="7" w:firstLine="210" w:firstLineChars="100"/>
        <w:jc w:val="left"/>
        <w:textAlignment w:val="auto"/>
      </w:pPr>
      <w:r>
        <w:rPr>
          <w:rFonts w:hint="eastAsia" w:ascii="仿宋_GB2312" w:hAnsi="Times New Roman" w:eastAsia="仿宋_GB2312" w:cs="Times New Roman"/>
          <w:kern w:val="2"/>
          <w:sz w:val="21"/>
          <w:szCs w:val="24"/>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431800</wp:posOffset>
                </wp:positionV>
                <wp:extent cx="5618480" cy="635"/>
                <wp:effectExtent l="0" t="0" r="0" b="0"/>
                <wp:wrapNone/>
                <wp:docPr id="3" name="直线 6"/>
                <wp:cNvGraphicFramePr/>
                <a:graphic xmlns:a="http://schemas.openxmlformats.org/drawingml/2006/main">
                  <a:graphicData uri="http://schemas.microsoft.com/office/word/2010/wordprocessingShape">
                    <wps:wsp>
                      <wps:cNvCnPr/>
                      <wps:spPr>
                        <a:xfrm>
                          <a:off x="0" y="0"/>
                          <a:ext cx="5618480" cy="63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直线 6" o:spid="_x0000_s1026" o:spt="20" style="position:absolute;left:0pt;margin-left:0pt;margin-top:34pt;height:0.05pt;width:442.4pt;z-index:251660288;mso-width-relative:page;mso-height-relative:page;" filled="f" stroked="t" coordsize="21600,21600" o:gfxdata="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4Y08U1QAAAAYBAAAPAAAAAAAAAAEAIAAAACIA&#10;AABkcnMvZG93bnJldi54bWxQSwECFAAUAAAACACHTuJAmbpG6tMBAACeAwAADgAAAAAAAAABACAA&#10;AAAkAQAAZHJzL2Uyb0RvYy54bWxQSwUGAAAAAAYABgBZAQAAaQUAAAAA&#10;">
                <v:fill on="f" focussize="0,0"/>
                <v:stroke weight="1pt" color="#000000" joinstyle="round"/>
                <v:imagedata o:title=""/>
                <o:lock v:ext="edit" aspectratio="f"/>
              </v:line>
            </w:pict>
          </mc:Fallback>
        </mc:AlternateContent>
      </w:r>
      <w:r>
        <w:rPr>
          <w:rFonts w:hint="eastAsia" w:ascii="仿宋_GB2312" w:eastAsia="仿宋_GB2312"/>
          <w:kern w:val="0"/>
          <w:sz w:val="28"/>
          <w:szCs w:val="28"/>
          <w:lang w:val="en-US" w:eastAsia="zh-CN"/>
        </w:rPr>
        <w:t>青岛市市场监督管理局</w:t>
      </w:r>
      <w:r>
        <w:rPr>
          <w:rFonts w:hint="eastAsia" w:ascii="仿宋_GB2312"/>
          <w:kern w:val="0"/>
          <w:sz w:val="28"/>
          <w:szCs w:val="28"/>
          <w:lang w:val="en-US" w:eastAsia="zh-CN"/>
        </w:rPr>
        <w:t xml:space="preserve">          </w:t>
      </w:r>
      <w:r>
        <w:rPr>
          <w:rFonts w:hint="eastAsia" w:ascii="仿宋_GB2312" w:eastAsia="仿宋_GB2312"/>
          <w:snapToGrid w:val="0"/>
          <w:kern w:val="0"/>
          <w:sz w:val="28"/>
          <w:szCs w:val="28"/>
        </w:rPr>
        <w:t xml:space="preserve">   </w:t>
      </w:r>
      <w:r>
        <w:rPr>
          <w:rFonts w:hint="eastAsia" w:ascii="仿宋_GB2312" w:eastAsia="仿宋_GB2312"/>
          <w:snapToGrid w:val="0"/>
          <w:kern w:val="0"/>
          <w:sz w:val="28"/>
          <w:szCs w:val="28"/>
          <w:lang w:val="en-US" w:eastAsia="zh-CN"/>
        </w:rPr>
        <w:t xml:space="preserve">   </w:t>
      </w:r>
      <w:r>
        <w:rPr>
          <w:rFonts w:hint="eastAsia" w:ascii="仿宋_GB2312"/>
          <w:snapToGrid w:val="0"/>
          <w:kern w:val="0"/>
          <w:sz w:val="28"/>
          <w:szCs w:val="28"/>
          <w:lang w:val="en-US" w:eastAsia="zh-CN"/>
        </w:rPr>
        <w:t xml:space="preserve"> </w:t>
      </w:r>
      <w:r>
        <w:rPr>
          <w:rFonts w:hint="eastAsia" w:ascii="仿宋_GB2312" w:eastAsia="仿宋_GB2312"/>
          <w:snapToGrid w:val="0"/>
          <w:kern w:val="0"/>
          <w:sz w:val="28"/>
          <w:szCs w:val="28"/>
          <w:lang w:val="en-US" w:eastAsia="zh-CN"/>
        </w:rPr>
        <w:t xml:space="preserve">  </w:t>
      </w:r>
      <w:r>
        <w:rPr>
          <w:rFonts w:hint="eastAsia" w:ascii="仿宋_GB2312" w:eastAsia="仿宋_GB2312"/>
          <w:snapToGrid w:val="0"/>
          <w:kern w:val="0"/>
          <w:sz w:val="28"/>
          <w:szCs w:val="28"/>
        </w:rPr>
        <w:t xml:space="preserve"> </w:t>
      </w:r>
      <w:r>
        <w:rPr>
          <w:rFonts w:hint="eastAsia" w:ascii="宋体" w:hAnsi="宋体" w:eastAsia="宋体" w:cs="宋体"/>
          <w:snapToGrid w:val="0"/>
          <w:kern w:val="0"/>
          <w:sz w:val="28"/>
          <w:szCs w:val="28"/>
        </w:rPr>
        <w:t xml:space="preserve"> </w:t>
      </w: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default" w:ascii="Times New Roman" w:hAnsi="Times New Roman" w:eastAsia="仿宋_GB2312" w:cs="Times New Roman"/>
          <w:sz w:val="28"/>
          <w:szCs w:val="28"/>
        </w:rPr>
        <w:t>年</w:t>
      </w:r>
      <w:r>
        <w:rPr>
          <w:rFonts w:hint="eastAsia" w:ascii="仿宋" w:hAnsi="仿宋" w:eastAsia="仿宋" w:cs="仿宋"/>
          <w:sz w:val="28"/>
          <w:szCs w:val="28"/>
          <w:lang w:val="en-US" w:eastAsia="zh-CN"/>
        </w:rPr>
        <w:t>6</w:t>
      </w:r>
      <w:r>
        <w:rPr>
          <w:rFonts w:hint="default" w:ascii="Times New Roman" w:hAnsi="Times New Roman" w:eastAsia="仿宋_GB2312" w:cs="Times New Roman"/>
          <w:sz w:val="28"/>
          <w:szCs w:val="28"/>
        </w:rPr>
        <w:t>月</w:t>
      </w:r>
      <w:r>
        <w:rPr>
          <w:rFonts w:hint="eastAsia" w:ascii="仿宋" w:hAnsi="仿宋" w:eastAsia="仿宋" w:cs="仿宋"/>
          <w:sz w:val="28"/>
          <w:szCs w:val="28"/>
          <w:lang w:val="en-US" w:eastAsia="zh-CN"/>
        </w:rPr>
        <w:t>25</w:t>
      </w:r>
      <w:r>
        <w:rPr>
          <w:rFonts w:hint="eastAsia" w:ascii="仿宋_GB2312" w:eastAsia="仿宋_GB2312"/>
          <w:sz w:val="28"/>
          <w:szCs w:val="28"/>
        </w:rPr>
        <w:t>日印发</w:t>
      </w:r>
    </w:p>
    <w:sectPr>
      <w:footerReference r:id="rId4" w:type="default"/>
      <w:pgSz w:w="11906" w:h="16838"/>
      <w:pgMar w:top="2098" w:right="1474"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hSjDDCAQAAcAMAAA4AAAAAAAAAAQAgAAAAHgEAAGRycy9lMm9Eb2MueG1sUEsF&#10;BgAAAAAGAAYAWQEAAFIFAAAAAA==&#10;">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- 12 -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i0l3TMICAADWBQAADgAAAAAA&#10;AAABACAAAAAfAQAAZHJzL2Uyb0RvYy54bWxQSwUGAAAAAAYABgBZAQAAUwY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- 12 -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doNotCompress"/>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C560D"/>
    <w:rsid w:val="08505262"/>
    <w:rsid w:val="090B72F2"/>
    <w:rsid w:val="0934265E"/>
    <w:rsid w:val="098C5348"/>
    <w:rsid w:val="0B6A0933"/>
    <w:rsid w:val="0C861C51"/>
    <w:rsid w:val="0CE8674F"/>
    <w:rsid w:val="0E80607F"/>
    <w:rsid w:val="0F9A12FD"/>
    <w:rsid w:val="101605A4"/>
    <w:rsid w:val="109B43A4"/>
    <w:rsid w:val="140B63F8"/>
    <w:rsid w:val="142B6C21"/>
    <w:rsid w:val="144A225A"/>
    <w:rsid w:val="154C5D00"/>
    <w:rsid w:val="16541F5B"/>
    <w:rsid w:val="1B156BCD"/>
    <w:rsid w:val="1B356DEA"/>
    <w:rsid w:val="1BC95EB9"/>
    <w:rsid w:val="1F604D5F"/>
    <w:rsid w:val="219051CD"/>
    <w:rsid w:val="229920C2"/>
    <w:rsid w:val="2673016F"/>
    <w:rsid w:val="27614A50"/>
    <w:rsid w:val="27AC3D93"/>
    <w:rsid w:val="287B0E2C"/>
    <w:rsid w:val="29697F3A"/>
    <w:rsid w:val="2A6C3C54"/>
    <w:rsid w:val="2BC26F54"/>
    <w:rsid w:val="30421837"/>
    <w:rsid w:val="304306B0"/>
    <w:rsid w:val="30666AE5"/>
    <w:rsid w:val="30F4240D"/>
    <w:rsid w:val="345E3EB9"/>
    <w:rsid w:val="34B42E81"/>
    <w:rsid w:val="34BF2186"/>
    <w:rsid w:val="34D62413"/>
    <w:rsid w:val="391B154A"/>
    <w:rsid w:val="3A562723"/>
    <w:rsid w:val="3DAA64C3"/>
    <w:rsid w:val="3E9C743B"/>
    <w:rsid w:val="3F4B6AEF"/>
    <w:rsid w:val="40C8717C"/>
    <w:rsid w:val="43693B84"/>
    <w:rsid w:val="443A4603"/>
    <w:rsid w:val="4469704D"/>
    <w:rsid w:val="44706195"/>
    <w:rsid w:val="465F64D2"/>
    <w:rsid w:val="47A44F19"/>
    <w:rsid w:val="48315FE9"/>
    <w:rsid w:val="4C6F380F"/>
    <w:rsid w:val="4C9E7A53"/>
    <w:rsid w:val="4F9D1E71"/>
    <w:rsid w:val="4FA77E45"/>
    <w:rsid w:val="500C50A5"/>
    <w:rsid w:val="51DE73F5"/>
    <w:rsid w:val="520D796E"/>
    <w:rsid w:val="52501E59"/>
    <w:rsid w:val="52977CCE"/>
    <w:rsid w:val="5663391F"/>
    <w:rsid w:val="5713002F"/>
    <w:rsid w:val="573B6663"/>
    <w:rsid w:val="5A0C06F4"/>
    <w:rsid w:val="5A1206D5"/>
    <w:rsid w:val="5A341187"/>
    <w:rsid w:val="5AD65C5C"/>
    <w:rsid w:val="5DA0550A"/>
    <w:rsid w:val="62755A16"/>
    <w:rsid w:val="69122B8F"/>
    <w:rsid w:val="6ACB21D2"/>
    <w:rsid w:val="6AE629D9"/>
    <w:rsid w:val="707D4D8A"/>
    <w:rsid w:val="72C26291"/>
    <w:rsid w:val="785B21C7"/>
    <w:rsid w:val="78D31BDF"/>
    <w:rsid w:val="7931373B"/>
    <w:rsid w:val="7A5B3000"/>
    <w:rsid w:val="7D984C3D"/>
    <w:rsid w:val="7DCE7C72"/>
    <w:rsid w:val="7F8C38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黑体"/>
      <w:kern w:val="2"/>
      <w:sz w:val="32"/>
      <w:szCs w:val="32"/>
      <w:lang w:val="en-US" w:eastAsia="zh-CN" w:bidi="ar-SA"/>
    </w:rPr>
  </w:style>
  <w:style w:type="paragraph" w:styleId="2">
    <w:name w:val="heading 9"/>
    <w:basedOn w:val="1"/>
    <w:next w:val="1"/>
    <w:unhideWhenUsed/>
    <w:qFormat/>
    <w:uiPriority w:val="9"/>
    <w:pPr>
      <w:keepNext/>
      <w:keepLines/>
      <w:spacing w:before="240" w:after="64" w:line="320" w:lineRule="auto"/>
      <w:outlineLvl w:val="8"/>
    </w:pPr>
    <w:rPr>
      <w:rFonts w:ascii="Cambria" w:hAnsi="Cambria" w:eastAsia="宋体" w:cs="Times New Roman"/>
      <w:szCs w:val="21"/>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仿宋" w:hAnsi="仿宋" w:eastAsia="仿宋" w:cs="仿宋"/>
      <w:sz w:val="32"/>
      <w:szCs w:val="32"/>
      <w:lang w:val="zh-CN" w:eastAsia="zh-CN" w:bidi="zh-CN"/>
    </w:rPr>
  </w:style>
  <w:style w:type="paragraph" w:styleId="4">
    <w:name w:val="Body Text Indent"/>
    <w:basedOn w:val="1"/>
    <w:qFormat/>
    <w:uiPriority w:val="0"/>
    <w:pPr>
      <w:suppressAutoHyphens/>
      <w:ind w:left="420" w:leftChars="200"/>
    </w:pPr>
    <w:rPr>
      <w:rFonts w:ascii="Calibri" w:hAnsi="Calibri" w:eastAsia="宋体" w:cs="Times New Roman"/>
      <w:kern w:val="32"/>
      <w:sz w:val="32"/>
      <w:szCs w:val="22"/>
    </w:rPr>
  </w:style>
  <w:style w:type="paragraph" w:styleId="5">
    <w:name w:val="Body Text Indent 2"/>
    <w:basedOn w:val="1"/>
    <w:qFormat/>
    <w:uiPriority w:val="0"/>
    <w:pPr>
      <w:spacing w:after="120" w:line="480" w:lineRule="auto"/>
      <w:ind w:left="420" w:leftChars="200"/>
    </w:pPr>
    <w:rPr>
      <w:rFonts w:eastAsia="仿宋_GB2312"/>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9">
    <w:name w:val="Body Text First Indent 2"/>
    <w:basedOn w:val="4"/>
    <w:qFormat/>
    <w:uiPriority w:val="0"/>
    <w:pPr>
      <w:spacing w:after="120" w:line="276" w:lineRule="auto"/>
      <w:ind w:firstLine="420" w:firstLineChars="200"/>
    </w:pPr>
    <w:rPr>
      <w:rFonts w:hint="eastAsia" w:ascii="等线" w:hAnsi="等线" w:eastAsia="等线"/>
      <w:kern w:val="2"/>
      <w:szCs w:val="24"/>
    </w:rPr>
  </w:style>
  <w:style w:type="paragraph" w:customStyle="1" w:styleId="12">
    <w:name w:val="Body text|1"/>
    <w:basedOn w:val="1"/>
    <w:qFormat/>
    <w:uiPriority w:val="99"/>
    <w:pPr>
      <w:spacing w:line="458" w:lineRule="auto"/>
      <w:ind w:firstLine="400"/>
    </w:pPr>
    <w:rPr>
      <w:rFonts w:ascii="宋体" w:hAnsi="宋体" w:cs="宋体"/>
      <w:lang w:val="zh-TW" w:eastAsia="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3700</Words>
  <Characters>3736</Characters>
  <Lines>0</Lines>
  <Paragraphs>0</Paragraphs>
  <TotalTime>16</TotalTime>
  <ScaleCrop>false</ScaleCrop>
  <LinksUpToDate>false</LinksUpToDate>
  <CharactersWithSpaces>4078</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2026-03-19T07:36:00Z</dcterms:created>
  <dc:creator>清风徐来</dc:creator>
  <cp:lastModifiedBy>清风徐来</cp:lastModifiedBy>
  <cp:lastPrinted>2026-06-26T08:12:03Z</cp:lastPrinted>
  <dcterms:modified xsi:type="dcterms:W3CDTF">2026-06-26T08:19:05Z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TemplateDocerSaveRecord">
    <vt:lpwstr>eyJoZGlkIjoiM2I2MmNkOTQ0OThhNGI4NDhhNDQ3OGVhOWI2MGFkNTIiLCJ1c2VySWQiOiIzODMxMzU4OTcifQ==</vt:lpwstr>
  </property>
  <property fmtid="{D5CDD505-2E9C-101B-9397-08002B2CF9AE}" pid="4" name="ICV">
    <vt:lpwstr>A35EE690D6F44B9E8D8F9259F63C6E53_13</vt:lpwstr>
  </property>
</Properties>
</file>