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jc w:val="both"/>
        <w:textAlignment w:val="auto"/>
        <w:rPr>
          <w:rFonts w:hint="eastAsia"/>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r>
        <w:rPr>
          <w:rFonts w:hint="default" w:ascii="Times New Roman" w:hAnsi="Times New Roman" w:cs="Times New Roman"/>
          <w:color w:val="auto"/>
          <w:sz w:val="32"/>
          <w:szCs w:val="32"/>
          <w:highlight w:val="none"/>
          <w:lang w:val="en-US" w:eastAsia="zh-CN"/>
        </w:rPr>
        <w:t>3</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default"/>
          <w:color w:val="auto"/>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202</w:t>
      </w:r>
      <w:r>
        <w:rPr>
          <w:rFonts w:hint="default" w:ascii="Times New Roman" w:hAnsi="Times New Roman" w:eastAsia="方正小标宋简体" w:cs="Times New Roman"/>
          <w:b w:val="0"/>
          <w:bCs/>
          <w:color w:val="auto"/>
          <w:sz w:val="44"/>
          <w:szCs w:val="44"/>
          <w:highlight w:val="none"/>
          <w:lang w:val="en-US" w:eastAsia="zh-CN"/>
        </w:rPr>
        <w:t>6</w:t>
      </w:r>
      <w:r>
        <w:rPr>
          <w:rFonts w:hint="eastAsia" w:ascii="方正小标宋简体" w:hAnsi="方正小标宋简体" w:eastAsia="方正小标宋简体" w:cs="方正小标宋简体"/>
          <w:b w:val="0"/>
          <w:bCs/>
          <w:color w:val="auto"/>
          <w:sz w:val="44"/>
          <w:szCs w:val="44"/>
          <w:highlight w:val="none"/>
        </w:rPr>
        <w:t>年</w:t>
      </w:r>
      <w:r>
        <w:rPr>
          <w:rFonts w:hint="eastAsia" w:ascii="方正小标宋简体" w:hAnsi="方正小标宋简体" w:eastAsia="方正小标宋简体" w:cs="方正小标宋简体"/>
          <w:b w:val="0"/>
          <w:bCs/>
          <w:color w:val="auto"/>
          <w:sz w:val="44"/>
          <w:szCs w:val="44"/>
          <w:highlight w:val="none"/>
          <w:lang w:eastAsia="zh-CN"/>
        </w:rPr>
        <w:t>广西</w:t>
      </w:r>
      <w:r>
        <w:rPr>
          <w:rFonts w:hint="eastAsia" w:ascii="方正小标宋简体" w:hAnsi="方正小标宋简体" w:eastAsia="方正小标宋简体" w:cs="方正小标宋简体"/>
          <w:b w:val="0"/>
          <w:bCs/>
          <w:color w:val="auto"/>
          <w:sz w:val="44"/>
          <w:szCs w:val="44"/>
          <w:highlight w:val="none"/>
          <w:lang w:val="en-US" w:eastAsia="zh-CN"/>
        </w:rPr>
        <w:t>实施</w:t>
      </w:r>
      <w:r>
        <w:rPr>
          <w:rFonts w:hint="eastAsia" w:ascii="方正小标宋简体" w:hAnsi="方正小标宋简体" w:eastAsia="方正小标宋简体" w:cs="方正小标宋简体"/>
          <w:b w:val="0"/>
          <w:bCs/>
          <w:color w:val="auto"/>
          <w:sz w:val="44"/>
          <w:szCs w:val="44"/>
          <w:highlight w:val="none"/>
          <w:lang w:eastAsia="zh-CN"/>
        </w:rPr>
        <w:t>医疗卫生机构</w:t>
      </w:r>
      <w:r>
        <w:rPr>
          <w:rFonts w:hint="eastAsia" w:ascii="方正小标宋简体" w:hAnsi="方正小标宋简体" w:eastAsia="方正小标宋简体" w:cs="方正小标宋简体"/>
          <w:b w:val="0"/>
          <w:bCs/>
          <w:color w:val="auto"/>
          <w:sz w:val="44"/>
          <w:szCs w:val="44"/>
          <w:highlight w:val="none"/>
        </w:rPr>
        <w:t>传染病防治</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国家随机监督抽查计划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lang w:eastAsia="zh-CN"/>
        </w:rPr>
        <w:t>一、</w:t>
      </w:r>
      <w:r>
        <w:rPr>
          <w:rFonts w:hint="eastAsia" w:ascii="黑体" w:hAnsi="黑体" w:eastAsia="黑体" w:cs="Times New Roman"/>
          <w:color w:val="auto"/>
          <w:sz w:val="32"/>
          <w:szCs w:val="32"/>
          <w:highlight w:val="none"/>
        </w:rPr>
        <w:t>监督检查对象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val="en" w:eastAsia="zh-CN"/>
        </w:rPr>
      </w:pPr>
      <w:r>
        <w:rPr>
          <w:rFonts w:hint="eastAsia" w:ascii="Times New Roman" w:hAnsi="Times New Roman" w:eastAsia="仿宋_GB2312" w:cs="Times New Roman"/>
          <w:b w:val="0"/>
          <w:bCs/>
          <w:color w:val="auto"/>
          <w:sz w:val="32"/>
          <w:szCs w:val="32"/>
          <w:highlight w:val="none"/>
          <w:lang w:val="en" w:eastAsia="zh-CN"/>
        </w:rPr>
        <w:t>抽查辖区</w:t>
      </w:r>
      <w:r>
        <w:rPr>
          <w:rFonts w:hint="default" w:ascii="Times New Roman" w:hAnsi="Times New Roman" w:eastAsia="仿宋_GB2312" w:cs="Times New Roman"/>
          <w:b w:val="0"/>
          <w:bCs/>
          <w:color w:val="auto"/>
          <w:sz w:val="32"/>
          <w:szCs w:val="32"/>
          <w:highlight w:val="none"/>
          <w:lang w:val="en-US" w:eastAsia="zh-CN"/>
        </w:rPr>
        <w:t>40</w:t>
      </w:r>
      <w:r>
        <w:rPr>
          <w:rFonts w:hint="default" w:ascii="Times New Roman" w:hAnsi="Times New Roman" w:eastAsia="仿宋_GB2312" w:cs="Times New Roman"/>
          <w:b w:val="0"/>
          <w:bCs/>
          <w:color w:val="auto"/>
          <w:sz w:val="32"/>
          <w:szCs w:val="32"/>
          <w:highlight w:val="none"/>
          <w:lang w:val="en" w:eastAsia="zh-CN"/>
        </w:rPr>
        <w:t>%</w:t>
      </w:r>
      <w:r>
        <w:rPr>
          <w:rFonts w:hint="eastAsia" w:ascii="Times New Roman" w:hAnsi="Times New Roman" w:eastAsia="仿宋_GB2312" w:cs="Times New Roman"/>
          <w:b w:val="0"/>
          <w:bCs/>
          <w:color w:val="auto"/>
          <w:sz w:val="32"/>
          <w:szCs w:val="32"/>
          <w:highlight w:val="none"/>
          <w:lang w:val="en" w:eastAsia="zh-CN"/>
        </w:rPr>
        <w:t>二级以上医疗机构、</w:t>
      </w:r>
      <w:r>
        <w:rPr>
          <w:rFonts w:hint="default" w:ascii="Times New Roman" w:hAnsi="Times New Roman" w:eastAsia="仿宋_GB2312" w:cs="Times New Roman"/>
          <w:b w:val="0"/>
          <w:bCs/>
          <w:color w:val="auto"/>
          <w:sz w:val="32"/>
          <w:szCs w:val="32"/>
          <w:highlight w:val="none"/>
          <w:lang w:val="en" w:eastAsia="zh-CN"/>
        </w:rPr>
        <w:t>1</w:t>
      </w:r>
      <w:r>
        <w:rPr>
          <w:rFonts w:hint="default" w:ascii="Times New Roman" w:hAnsi="Times New Roman" w:eastAsia="仿宋_GB2312" w:cs="Times New Roman"/>
          <w:b w:val="0"/>
          <w:bCs/>
          <w:color w:val="auto"/>
          <w:sz w:val="32"/>
          <w:szCs w:val="32"/>
          <w:highlight w:val="none"/>
          <w:lang w:val="en-US" w:eastAsia="zh-CN"/>
        </w:rPr>
        <w:t>0</w:t>
      </w:r>
      <w:r>
        <w:rPr>
          <w:rFonts w:hint="default" w:ascii="Times New Roman" w:hAnsi="Times New Roman" w:eastAsia="仿宋_GB2312" w:cs="Times New Roman"/>
          <w:b w:val="0"/>
          <w:bCs/>
          <w:color w:val="auto"/>
          <w:sz w:val="32"/>
          <w:szCs w:val="32"/>
          <w:highlight w:val="none"/>
          <w:lang w:val="en" w:eastAsia="zh-CN"/>
        </w:rPr>
        <w:t>%</w:t>
      </w:r>
      <w:r>
        <w:rPr>
          <w:rFonts w:hint="eastAsia" w:ascii="Times New Roman" w:hAnsi="Times New Roman" w:eastAsia="仿宋_GB2312" w:cs="Times New Roman"/>
          <w:b w:val="0"/>
          <w:bCs/>
          <w:color w:val="auto"/>
          <w:sz w:val="32"/>
          <w:szCs w:val="32"/>
          <w:highlight w:val="none"/>
          <w:lang w:val="en" w:eastAsia="zh-CN"/>
        </w:rPr>
        <w:t>一级医院、</w:t>
      </w:r>
      <w:r>
        <w:rPr>
          <w:rFonts w:hint="default" w:ascii="Times New Roman" w:hAnsi="Times New Roman" w:eastAsia="仿宋_GB2312" w:cs="Times New Roman"/>
          <w:b w:val="0"/>
          <w:bCs/>
          <w:color w:val="auto"/>
          <w:sz w:val="32"/>
          <w:szCs w:val="32"/>
          <w:highlight w:val="none"/>
          <w:lang w:val="en-US" w:eastAsia="zh-CN"/>
        </w:rPr>
        <w:t>3</w:t>
      </w:r>
      <w:r>
        <w:rPr>
          <w:rFonts w:hint="default" w:ascii="Times New Roman" w:hAnsi="Times New Roman" w:eastAsia="仿宋_GB2312" w:cs="Times New Roman"/>
          <w:b w:val="0"/>
          <w:bCs/>
          <w:color w:val="auto"/>
          <w:sz w:val="32"/>
          <w:szCs w:val="32"/>
          <w:highlight w:val="none"/>
          <w:lang w:val="en" w:eastAsia="zh-CN"/>
        </w:rPr>
        <w:t>%</w:t>
      </w:r>
      <w:r>
        <w:rPr>
          <w:rFonts w:hint="eastAsia" w:ascii="Times New Roman" w:hAnsi="Times New Roman" w:eastAsia="仿宋_GB2312" w:cs="Times New Roman"/>
          <w:b w:val="0"/>
          <w:bCs/>
          <w:color w:val="auto"/>
          <w:sz w:val="32"/>
          <w:szCs w:val="32"/>
          <w:highlight w:val="none"/>
          <w:lang w:val="en" w:eastAsia="zh-CN"/>
        </w:rPr>
        <w:t>基层医疗机构（村卫生室原则上从抽中乡镇卫生院管辖范围内抽取），</w:t>
      </w:r>
      <w:r>
        <w:rPr>
          <w:rFonts w:hint="default" w:ascii="Times New Roman" w:hAnsi="Times New Roman" w:eastAsia="仿宋_GB2312" w:cs="Times New Roman"/>
          <w:b w:val="0"/>
          <w:bCs/>
          <w:color w:val="auto"/>
          <w:sz w:val="32"/>
          <w:szCs w:val="32"/>
          <w:highlight w:val="none"/>
          <w:lang w:val="en-US" w:eastAsia="zh-CN"/>
        </w:rPr>
        <w:t>100</w:t>
      </w:r>
      <w:r>
        <w:rPr>
          <w:rFonts w:hint="default" w:ascii="Times New Roman" w:hAnsi="Times New Roman" w:eastAsia="仿宋_GB2312" w:cs="Times New Roman"/>
          <w:b w:val="0"/>
          <w:bCs/>
          <w:color w:val="auto"/>
          <w:sz w:val="32"/>
          <w:szCs w:val="32"/>
          <w:highlight w:val="none"/>
          <w:lang w:val="en" w:eastAsia="zh-CN"/>
        </w:rPr>
        <w:t>%</w:t>
      </w:r>
      <w:r>
        <w:rPr>
          <w:rFonts w:hint="eastAsia" w:ascii="Times New Roman" w:hAnsi="Times New Roman" w:eastAsia="仿宋_GB2312" w:cs="Times New Roman"/>
          <w:b w:val="0"/>
          <w:bCs/>
          <w:color w:val="auto"/>
          <w:sz w:val="32"/>
          <w:szCs w:val="32"/>
          <w:highlight w:val="none"/>
          <w:lang w:val="en" w:eastAsia="zh-CN"/>
        </w:rPr>
        <w:t>采供血机构</w:t>
      </w:r>
      <w:r>
        <w:rPr>
          <w:rFonts w:hint="eastAsia" w:cs="Times New Roman"/>
          <w:b w:val="0"/>
          <w:bCs/>
          <w:color w:val="auto"/>
          <w:sz w:val="32"/>
          <w:szCs w:val="32"/>
          <w:highlight w:val="none"/>
          <w:lang w:val="en" w:eastAsia="zh-CN"/>
        </w:rPr>
        <w:t>、</w:t>
      </w:r>
      <w:r>
        <w:rPr>
          <w:rFonts w:hint="eastAsia" w:cs="Times New Roman"/>
          <w:b w:val="0"/>
          <w:bCs/>
          <w:color w:val="auto"/>
          <w:sz w:val="32"/>
          <w:szCs w:val="32"/>
          <w:highlight w:val="none"/>
          <w:lang w:val="en-US" w:eastAsia="zh-CN"/>
        </w:rPr>
        <w:t>疾病预防控制</w:t>
      </w:r>
      <w:r>
        <w:rPr>
          <w:rFonts w:hint="eastAsia" w:ascii="Times New Roman" w:hAnsi="Times New Roman" w:eastAsia="仿宋_GB2312" w:cs="Times New Roman"/>
          <w:b w:val="0"/>
          <w:bCs/>
          <w:color w:val="auto"/>
          <w:sz w:val="32"/>
          <w:szCs w:val="32"/>
          <w:highlight w:val="none"/>
          <w:lang w:val="en" w:eastAsia="zh-CN"/>
        </w:rPr>
        <w:t>机构</w:t>
      </w:r>
      <w:r>
        <w:rPr>
          <w:rFonts w:hint="eastAsia" w:cs="Times New Roman"/>
          <w:b w:val="0"/>
          <w:bCs/>
          <w:color w:val="auto"/>
          <w:sz w:val="32"/>
          <w:szCs w:val="32"/>
          <w:highlight w:val="none"/>
          <w:lang w:val="en-US" w:eastAsia="zh-CN"/>
        </w:rPr>
        <w:t>和</w:t>
      </w:r>
      <w:r>
        <w:rPr>
          <w:rFonts w:hint="eastAsia" w:ascii="Times New Roman" w:hAnsi="Times New Roman" w:eastAsia="仿宋_GB2312" w:cs="Times New Roman"/>
          <w:b w:val="0"/>
          <w:bCs/>
          <w:color w:val="auto"/>
          <w:sz w:val="32"/>
          <w:szCs w:val="32"/>
          <w:highlight w:val="none"/>
          <w:lang w:val="en" w:eastAsia="zh-CN"/>
        </w:rPr>
        <w:t>上一年度传染病防治分类监督综合评价为重点监督单位。</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Times New Roman"/>
          <w:color w:val="auto"/>
          <w:sz w:val="32"/>
          <w:szCs w:val="32"/>
          <w:highlight w:val="none"/>
        </w:rPr>
      </w:pPr>
      <w:r>
        <w:rPr>
          <w:rFonts w:hint="eastAsia" w:ascii="黑体" w:hAnsi="黑体" w:eastAsia="黑体" w:cs="Times New Roman"/>
          <w:color w:val="auto"/>
          <w:sz w:val="32"/>
          <w:szCs w:val="32"/>
          <w:highlight w:val="none"/>
          <w:lang w:eastAsia="zh-CN"/>
        </w:rPr>
        <w:t>二、</w:t>
      </w:r>
      <w:r>
        <w:rPr>
          <w:rFonts w:hint="eastAsia" w:ascii="黑体" w:hAnsi="黑体" w:eastAsia="黑体" w:cs="Times New Roman"/>
          <w:color w:val="auto"/>
          <w:sz w:val="32"/>
          <w:szCs w:val="32"/>
          <w:highlight w:val="none"/>
        </w:rPr>
        <w:t>监督检查内容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（一）预防接种管理。</w:t>
      </w:r>
      <w:r>
        <w:rPr>
          <w:rFonts w:hint="eastAsia" w:ascii="仿宋_GB2312" w:hAnsi="仿宋_GB2312" w:eastAsia="仿宋_GB2312" w:cs="仿宋_GB2312"/>
          <w:color w:val="auto"/>
          <w:sz w:val="32"/>
          <w:szCs w:val="32"/>
          <w:highlight w:val="none"/>
          <w:lang w:eastAsia="zh-CN"/>
        </w:rPr>
        <w:t>接种单位、人员资质、疫苗公示、告知和询问受种者或监护人、执行“三查七对一验证”情况。疫苗索证及冷链管理、疫苗的接收、购进、储存、配送、供应、接种和处置工作记录、异常反应监测和报告情况。免疫规划疫苗接种单位重点检查百白破疫苗、麻腮风疫苗、</w:t>
      </w:r>
      <w:r>
        <w:rPr>
          <w:rFonts w:hint="default" w:ascii="Times New Roman" w:hAnsi="Times New Roman" w:eastAsia="仿宋_GB2312" w:cs="Times New Roman"/>
          <w:color w:val="auto"/>
          <w:sz w:val="32"/>
          <w:szCs w:val="32"/>
          <w:highlight w:val="none"/>
          <w:lang w:eastAsia="zh-CN"/>
        </w:rPr>
        <w:t>HPV</w:t>
      </w:r>
      <w:r>
        <w:rPr>
          <w:rFonts w:hint="eastAsia" w:ascii="仿宋_GB2312" w:hAnsi="仿宋_GB2312" w:eastAsia="仿宋_GB2312" w:cs="仿宋_GB2312"/>
          <w:color w:val="auto"/>
          <w:sz w:val="32"/>
          <w:szCs w:val="32"/>
          <w:highlight w:val="none"/>
          <w:lang w:eastAsia="zh-CN"/>
        </w:rPr>
        <w:t>疫苗情况。非免疫规划疫苗接种单位重点检查备案以及流感疫苗、</w:t>
      </w:r>
      <w:r>
        <w:rPr>
          <w:rFonts w:hint="eastAsia" w:ascii="仿宋_GB2312" w:hAnsi="仿宋_GB2312" w:cs="仿宋_GB2312"/>
          <w:color w:val="auto"/>
          <w:sz w:val="32"/>
          <w:szCs w:val="32"/>
          <w:highlight w:val="none"/>
          <w:lang w:eastAsia="zh-CN"/>
        </w:rPr>
        <w:t>狂犬病疫苗</w:t>
      </w:r>
      <w:r>
        <w:rPr>
          <w:rFonts w:hint="eastAsia" w:ascii="仿宋_GB2312" w:hAnsi="仿宋_GB2312" w:eastAsia="仿宋_GB2312" w:cs="仿宋_GB2312"/>
          <w:color w:val="auto"/>
          <w:sz w:val="32"/>
          <w:szCs w:val="32"/>
          <w:highlight w:val="none"/>
          <w:lang w:eastAsia="zh-CN"/>
        </w:rPr>
        <w:t>等相关情况。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（二）传染病疫情监测、报告和预警工作。</w:t>
      </w:r>
      <w:r>
        <w:rPr>
          <w:rFonts w:hint="eastAsia" w:ascii="仿宋_GB2312" w:hAnsi="仿宋_GB2312" w:eastAsia="仿宋_GB2312" w:cs="仿宋_GB2312"/>
          <w:color w:val="auto"/>
          <w:sz w:val="32"/>
          <w:szCs w:val="32"/>
          <w:highlight w:val="none"/>
          <w:lang w:eastAsia="zh-CN"/>
        </w:rPr>
        <w:t>疫情报告的管理组织和制度建立及落实、疫情登记、报告卡填写（或自动生成）情况，是否存在隐瞒、谎报、缓报、漏报或干预传染病疫情报告等情况。疾控机构传染病监测、疫情风险评估和疫情信息收集分析、调查、核实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eastAsia="zh-CN"/>
        </w:rPr>
      </w:pPr>
      <w:r>
        <w:rPr>
          <w:rFonts w:hint="eastAsia" w:ascii="楷体_GB2312" w:hAnsi="楷体_GB2312" w:eastAsia="楷体_GB2312" w:cs="楷体_GB2312"/>
          <w:color w:val="auto"/>
          <w:sz w:val="32"/>
          <w:szCs w:val="32"/>
          <w:highlight w:val="none"/>
          <w:lang w:eastAsia="zh-CN"/>
        </w:rPr>
        <w:t>（三）传染病疫情控制。</w:t>
      </w:r>
      <w:r>
        <w:rPr>
          <w:rFonts w:hint="eastAsia" w:ascii="仿宋_GB2312" w:hAnsi="仿宋_GB2312" w:eastAsia="仿宋_GB2312" w:cs="仿宋_GB2312"/>
          <w:color w:val="auto"/>
          <w:sz w:val="32"/>
          <w:szCs w:val="32"/>
          <w:highlight w:val="none"/>
          <w:lang w:eastAsia="zh-CN"/>
        </w:rPr>
        <w:t>预检、分诊制度建立、发热门诊、肠道门诊设立及运行情况。为传染病患者、疑似患者提供诊疗，环境及物品消毒处理情况。发现传染病疫情采取传染病控制措施等情况。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lang w:eastAsia="zh-CN"/>
        </w:rPr>
      </w:pPr>
      <w:r>
        <w:rPr>
          <w:rFonts w:hint="eastAsia" w:ascii="楷体_GB2312" w:hAnsi="楷体_GB2312" w:eastAsia="楷体_GB2312" w:cs="楷体_GB2312"/>
          <w:color w:val="auto"/>
          <w:sz w:val="32"/>
          <w:szCs w:val="32"/>
          <w:highlight w:val="none"/>
          <w:lang w:eastAsia="zh-CN"/>
        </w:rPr>
        <w:t>（四）消毒隔离制度执行。</w:t>
      </w:r>
      <w:r>
        <w:rPr>
          <w:rFonts w:hint="eastAsia" w:ascii="仿宋_GB2312" w:hAnsi="仿宋_GB2312" w:eastAsia="仿宋_GB2312" w:cs="仿宋_GB2312"/>
          <w:color w:val="auto"/>
          <w:sz w:val="32"/>
          <w:szCs w:val="32"/>
          <w:highlight w:val="none"/>
          <w:lang w:eastAsia="zh-CN"/>
        </w:rPr>
        <w:t>消毒管理组织、制度建立及落实、消毒与灭菌效果监测、消毒隔离知识培训、消毒产品进货检查验收、医疗器械一人一用一消毒或灭菌等情况。二级以上医院以口腔科（诊疗中心）、血液透析室（诊疗中心）、手术室和内镜室（诊疗中心）为检查重点，若无相关科室的，可自行选择。一级医院和基层医疗机构以医院口腔科或口腔诊所、血液透析中心为检查重点，若无相关科室的，可自行选择</w:t>
      </w:r>
      <w:r>
        <w:rPr>
          <w:rFonts w:hint="eastAsia" w:ascii="仿宋_GB2312" w:hAnsi="仿宋_GB2312" w:cs="仿宋_GB2312"/>
          <w:color w:val="auto"/>
          <w:sz w:val="32"/>
          <w:szCs w:val="32"/>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（五）医疗废物处置。</w:t>
      </w:r>
      <w:r>
        <w:rPr>
          <w:rFonts w:hint="eastAsia" w:ascii="仿宋_GB2312" w:hAnsi="仿宋_GB2312" w:eastAsia="仿宋_GB2312" w:cs="仿宋_GB2312"/>
          <w:color w:val="auto"/>
          <w:sz w:val="32"/>
          <w:szCs w:val="32"/>
          <w:highlight w:val="none"/>
          <w:lang w:eastAsia="zh-CN"/>
        </w:rPr>
        <w:t>医疗废物分类收集、专用包装物及容器使用、暂时贮存设施建立、医疗废物交接、运送、暂存及处置情况。疾控中心及接种门诊废弃疫苗处置情况。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（六）病原微生物实验室生物安全管理。</w:t>
      </w:r>
      <w:r>
        <w:rPr>
          <w:rFonts w:hint="eastAsia" w:ascii="仿宋_GB2312" w:hAnsi="仿宋_GB2312" w:eastAsia="仿宋_GB2312" w:cs="仿宋_GB2312"/>
          <w:color w:val="auto"/>
          <w:sz w:val="32"/>
          <w:szCs w:val="32"/>
          <w:highlight w:val="none"/>
          <w:lang w:eastAsia="zh-CN"/>
        </w:rPr>
        <w:t>实验室取得批准或进行备案情况。实验人员培训、考核、实验档案建立、菌（毒）种或样本销毁或者送交保藏机构保藏情况。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（七）监督抽检。</w:t>
      </w:r>
      <w:r>
        <w:rPr>
          <w:rFonts w:hint="eastAsia" w:ascii="仿宋_GB2312" w:hAnsi="仿宋_GB2312" w:eastAsia="仿宋_GB2312" w:cs="仿宋_GB2312"/>
          <w:color w:val="auto"/>
          <w:sz w:val="32"/>
          <w:szCs w:val="32"/>
          <w:highlight w:val="none"/>
          <w:lang w:eastAsia="zh-CN"/>
        </w:rPr>
        <w:t>各地抽检的数量不得低于年度国家随机监督抽查任务量的</w:t>
      </w:r>
      <w:r>
        <w:rPr>
          <w:rFonts w:hint="default" w:ascii="Times New Roman" w:hAnsi="Times New Roman" w:eastAsia="仿宋_GB2312" w:cs="Times New Roman"/>
          <w:color w:val="auto"/>
          <w:sz w:val="32"/>
          <w:szCs w:val="32"/>
          <w:highlight w:val="none"/>
          <w:lang w:eastAsia="zh-CN"/>
        </w:rPr>
        <w:t>6%</w:t>
      </w:r>
      <w:r>
        <w:rPr>
          <w:rFonts w:hint="eastAsia" w:ascii="仿宋_GB2312" w:hAnsi="仿宋_GB2312" w:eastAsia="仿宋_GB2312" w:cs="仿宋_GB2312"/>
          <w:color w:val="auto"/>
          <w:sz w:val="32"/>
          <w:szCs w:val="32"/>
          <w:highlight w:val="none"/>
          <w:lang w:eastAsia="zh-CN"/>
        </w:rPr>
        <w:t>。对抽查任务中涉及到抽检（检测）任务的医疗卫生机构，各地要重点针对血液透析治疗室（中心）、内镜诊疗室（中心）、口腔科（治疗中心）、消毒供应室（中心）、手术室、新生儿室、重症监护病房（</w:t>
      </w:r>
      <w:r>
        <w:rPr>
          <w:rFonts w:hint="default" w:ascii="Times New Roman" w:hAnsi="Times New Roman" w:eastAsia="仿宋_GB2312" w:cs="Times New Roman"/>
          <w:color w:val="auto"/>
          <w:sz w:val="32"/>
          <w:szCs w:val="32"/>
          <w:highlight w:val="none"/>
          <w:lang w:val="en-US" w:eastAsia="zh-CN"/>
        </w:rPr>
        <w:t>ICU</w:t>
      </w:r>
      <w:r>
        <w:rPr>
          <w:rFonts w:hint="eastAsia" w:ascii="仿宋_GB2312" w:hAnsi="仿宋_GB2312" w:eastAsia="仿宋_GB2312" w:cs="仿宋_GB2312"/>
          <w:color w:val="auto"/>
          <w:sz w:val="32"/>
          <w:szCs w:val="32"/>
          <w:highlight w:val="none"/>
          <w:lang w:eastAsia="zh-CN"/>
        </w:rPr>
        <w:t>）等科室开展监督抽检工作，每家医疗机构至少完成</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件</w:t>
      </w:r>
      <w:r>
        <w:rPr>
          <w:rFonts w:hint="eastAsia" w:ascii="仿宋_GB2312" w:hAnsi="仿宋_GB2312" w:eastAsia="仿宋_GB2312" w:cs="仿宋_GB2312"/>
          <w:color w:val="auto"/>
          <w:sz w:val="32"/>
          <w:szCs w:val="32"/>
          <w:highlight w:val="none"/>
          <w:lang w:eastAsia="zh-CN"/>
        </w:rPr>
        <w:t>环境空气、</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件</w:t>
      </w:r>
      <w:r>
        <w:rPr>
          <w:rFonts w:hint="eastAsia" w:ascii="仿宋_GB2312" w:hAnsi="仿宋_GB2312" w:eastAsia="仿宋_GB2312" w:cs="仿宋_GB2312"/>
          <w:color w:val="auto"/>
          <w:sz w:val="32"/>
          <w:szCs w:val="32"/>
          <w:highlight w:val="none"/>
          <w:lang w:eastAsia="zh-CN"/>
        </w:rPr>
        <w:t>物体表面、</w:t>
      </w:r>
      <w:r>
        <w:rPr>
          <w:rFonts w:hint="default" w:ascii="Times New Roman" w:hAnsi="Times New Roman" w:eastAsia="仿宋_GB2312"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件</w:t>
      </w:r>
      <w:r>
        <w:rPr>
          <w:rFonts w:hint="eastAsia" w:ascii="仿宋_GB2312" w:hAnsi="仿宋_GB2312" w:eastAsia="仿宋_GB2312" w:cs="仿宋_GB2312"/>
          <w:color w:val="auto"/>
          <w:sz w:val="32"/>
          <w:szCs w:val="32"/>
          <w:highlight w:val="none"/>
          <w:lang w:eastAsia="zh-CN"/>
        </w:rPr>
        <w:t>医务人员手、</w:t>
      </w:r>
      <w:r>
        <w:rPr>
          <w:rFonts w:hint="default"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件</w:t>
      </w:r>
      <w:r>
        <w:rPr>
          <w:rFonts w:hint="eastAsia" w:ascii="仿宋_GB2312" w:hAnsi="仿宋_GB2312" w:eastAsia="仿宋_GB2312" w:cs="仿宋_GB2312"/>
          <w:color w:val="auto"/>
          <w:sz w:val="32"/>
          <w:szCs w:val="32"/>
          <w:highlight w:val="none"/>
          <w:lang w:eastAsia="zh-CN"/>
        </w:rPr>
        <w:t>使用中消毒剂等项目抽检任务，并根据上年度该医疗机构消毒效果监测结果和医疗机构传染病防治分类监督综合评价结果，同时结合当地疾控机构的检测能力，增加内镜、治疗用水、医疗污水、灭菌物品等抽检项目。</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三、工作要求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各地有关部门要高度重视医疗卫生机构传染病防治国家随机监督抽查工作，健全完善监督抽查底档数据，结合当地实际制定本辖区工作实施方案并组织实施。医疗卫生机构传染病防治国家随机监督抽查工作要与医疗卫生机构传染病防治分类监督综合评价工作相结合，对抽查单位采取分类监督综合评价方式进行检查。要正确审视和理解综合评价结果及其构成比例的重要意义，重视和提高在随机监督抽查中的案件查处率，按任务要求完成项目抽检。要将综合评价结果纳入日常管理措施中，与医疗机构不良行为记分、等级评审、校验等相衔接。</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疾控机构作为被监督对象时，应严格执行行政执法回避原则，不得由本单位人员进行。可由属地县级以上地方人民政府疾控部门，或由该疾控机构的上级疾控机构负责。对抽查中发现存在违法违规行为的单位或个人，依法依规严肃查处。</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（三）各地有关单位要切实加强上报数据信息的审核，保证数据信息项目齐全、质量可靠，请于</w:t>
      </w:r>
      <w:r>
        <w:rPr>
          <w:rFonts w:hint="default" w:ascii="Times New Roman" w:hAnsi="Times New Roman" w:cs="Times New Roman"/>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default" w:ascii="Times New Roman" w:hAnsi="Times New Roman" w:eastAsia="仿宋_GB2312" w:cs="Times New Roman"/>
          <w:color w:val="auto"/>
          <w:sz w:val="32"/>
          <w:szCs w:val="32"/>
          <w:highlight w:val="none"/>
        </w:rPr>
        <w:t>11</w:t>
      </w:r>
      <w:r>
        <w:rPr>
          <w:rFonts w:hint="eastAsia" w:ascii="仿宋_GB2312" w:hAnsi="仿宋_GB2312" w:eastAsia="仿宋_GB2312" w:cs="仿宋_GB2312"/>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eastAsia="zh-CN"/>
        </w:rPr>
        <w:t>前完成工作任务和数据填报工作</w:t>
      </w:r>
      <w:r>
        <w:rPr>
          <w:rFonts w:hint="eastAsia" w:ascii="仿宋_GB2312" w:hAnsi="仿宋_GB2312" w:cs="仿宋_GB2312"/>
          <w:color w:val="auto"/>
          <w:sz w:val="32"/>
          <w:szCs w:val="32"/>
          <w:highlight w:val="none"/>
          <w:lang w:eastAsia="zh-CN"/>
        </w:rPr>
        <w:t>，并</w:t>
      </w:r>
      <w:r>
        <w:rPr>
          <w:rFonts w:hint="eastAsia" w:ascii="仿宋_GB2312" w:hAnsi="仿宋_GB2312" w:eastAsia="仿宋_GB2312" w:cs="仿宋_GB2312"/>
          <w:color w:val="auto"/>
          <w:sz w:val="32"/>
          <w:szCs w:val="32"/>
          <w:highlight w:val="none"/>
          <w:lang w:eastAsia="zh-CN"/>
        </w:rPr>
        <w:t>将</w:t>
      </w:r>
      <w:r>
        <w:rPr>
          <w:rFonts w:hint="eastAsia" w:ascii="仿宋_GB2312" w:hAnsi="仿宋_GB2312" w:cs="仿宋_GB2312"/>
          <w:color w:val="auto"/>
          <w:sz w:val="32"/>
          <w:szCs w:val="32"/>
          <w:highlight w:val="none"/>
          <w:lang w:val="en-US" w:eastAsia="zh-CN"/>
        </w:rPr>
        <w:t>年度</w:t>
      </w:r>
      <w:r>
        <w:rPr>
          <w:rFonts w:hint="eastAsia" w:ascii="仿宋_GB2312" w:hAnsi="仿宋_GB2312" w:eastAsia="仿宋_GB2312" w:cs="仿宋_GB2312"/>
          <w:color w:val="auto"/>
          <w:sz w:val="32"/>
          <w:szCs w:val="32"/>
          <w:highlight w:val="none"/>
          <w:lang w:eastAsia="zh-CN"/>
        </w:rPr>
        <w:t>工作总结报送自治区卫生监督所</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自治区卫生监督所</w:t>
      </w:r>
      <w:r>
        <w:rPr>
          <w:rFonts w:hint="eastAsia" w:ascii="仿宋_GB2312" w:hAnsi="仿宋_GB2312" w:eastAsia="仿宋_GB2312" w:cs="仿宋_GB2312"/>
          <w:color w:val="auto"/>
          <w:sz w:val="32"/>
          <w:szCs w:val="32"/>
          <w:highlight w:val="none"/>
          <w:lang w:val="en-US" w:eastAsia="zh-CN"/>
        </w:rPr>
        <w:t>审核汇总</w:t>
      </w:r>
      <w:r>
        <w:rPr>
          <w:rFonts w:hint="eastAsia" w:ascii="仿宋_GB2312" w:hAnsi="仿宋_GB2312" w:eastAsia="仿宋_GB2312" w:cs="仿宋_GB2312"/>
          <w:color w:val="auto"/>
          <w:sz w:val="32"/>
          <w:szCs w:val="32"/>
          <w:highlight w:val="none"/>
          <w:lang w:eastAsia="zh-CN"/>
        </w:rPr>
        <w:t>后，于</w:t>
      </w:r>
      <w:r>
        <w:rPr>
          <w:rFonts w:hint="default" w:ascii="Times New Roman" w:hAnsi="Times New Roman" w:cs="Times New Roman"/>
          <w:color w:val="auto"/>
          <w:sz w:val="32"/>
          <w:szCs w:val="32"/>
          <w:highlight w:val="none"/>
          <w:lang w:eastAsia="zh-CN"/>
        </w:rPr>
        <w:t>2026</w:t>
      </w:r>
      <w:r>
        <w:rPr>
          <w:rFonts w:hint="eastAsia" w:ascii="仿宋_GB2312" w:hAnsi="仿宋_GB2312" w:eastAsia="仿宋_GB2312" w:cs="仿宋_GB2312"/>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11</w:t>
      </w:r>
      <w:r>
        <w:rPr>
          <w:rFonts w:hint="eastAsia" w:ascii="仿宋_GB2312" w:hAnsi="仿宋_GB2312" w:eastAsia="仿宋_GB2312" w:cs="仿宋_GB2312"/>
          <w:color w:val="auto"/>
          <w:sz w:val="32"/>
          <w:szCs w:val="32"/>
          <w:highlight w:val="none"/>
          <w:lang w:val="en-US" w:eastAsia="zh-CN"/>
        </w:rPr>
        <w:t>月</w:t>
      </w: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0</w:t>
      </w:r>
      <w:r>
        <w:rPr>
          <w:rFonts w:hint="eastAsia" w:ascii="仿宋_GB2312" w:hAnsi="仿宋_GB2312" w:eastAsia="仿宋_GB2312" w:cs="仿宋_GB2312"/>
          <w:color w:val="auto"/>
          <w:sz w:val="32"/>
          <w:szCs w:val="32"/>
          <w:highlight w:val="none"/>
          <w:lang w:val="en-US" w:eastAsia="zh-CN"/>
        </w:rPr>
        <w:t>日前报送自治区</w:t>
      </w:r>
      <w:r>
        <w:rPr>
          <w:rFonts w:hint="eastAsia" w:ascii="仿宋_GB2312" w:hAnsi="仿宋_GB2312" w:eastAsia="仿宋_GB2312" w:cs="仿宋_GB2312"/>
          <w:color w:val="auto"/>
          <w:sz w:val="32"/>
          <w:szCs w:val="32"/>
          <w:highlight w:val="none"/>
        </w:rPr>
        <w:t>疾控局</w:t>
      </w:r>
      <w:r>
        <w:rPr>
          <w:rFonts w:hint="eastAsia" w:ascii="仿宋_GB2312" w:hAnsi="仿宋_GB2312" w:eastAsia="仿宋_GB2312" w:cs="仿宋_GB2312"/>
          <w:color w:val="auto"/>
          <w:sz w:val="32"/>
          <w:szCs w:val="32"/>
          <w:highlight w:val="none"/>
          <w:lang w:eastAsia="zh-CN"/>
        </w:rPr>
        <w:t>综合监督处</w:t>
      </w:r>
      <w:r>
        <w:rPr>
          <w:rFonts w:hint="eastAsia" w:ascii="仿宋_GB2312" w:hAnsi="仿宋_GB2312" w:eastAsia="仿宋_GB2312" w:cs="仿宋_GB2312"/>
          <w:color w:val="auto"/>
          <w:sz w:val="32"/>
          <w:szCs w:val="32"/>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联系人：自治区卫生监督所</w:t>
      </w:r>
      <w:r>
        <w:rPr>
          <w:rFonts w:hint="eastAsia" w:ascii="仿宋_GB2312" w:hAnsi="仿宋_GB2312" w:eastAsia="仿宋_GB2312" w:cs="仿宋_GB2312"/>
          <w:color w:val="auto"/>
          <w:sz w:val="32"/>
          <w:szCs w:val="32"/>
          <w:highlight w:val="none"/>
          <w:lang w:val="en-US" w:eastAsia="zh-CN"/>
        </w:rPr>
        <w:t xml:space="preserve">传染病防治监督管理科  </w:t>
      </w:r>
      <w:r>
        <w:rPr>
          <w:rFonts w:hint="eastAsia" w:ascii="仿宋_GB2312" w:hAnsi="仿宋_GB2312" w:eastAsia="仿宋_GB2312" w:cs="仿宋_GB2312"/>
          <w:color w:val="auto"/>
          <w:sz w:val="32"/>
          <w:szCs w:val="32"/>
          <w:highlight w:val="none"/>
          <w:lang w:eastAsia="zh-CN"/>
        </w:rPr>
        <w:t>张漓</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电  话：</w:t>
      </w:r>
      <w:r>
        <w:rPr>
          <w:rFonts w:hint="default" w:ascii="Times New Roman" w:hAnsi="Times New Roman" w:eastAsia="仿宋_GB2312" w:cs="Times New Roman"/>
          <w:color w:val="auto"/>
          <w:sz w:val="32"/>
          <w:szCs w:val="32"/>
          <w:highlight w:val="none"/>
          <w:lang w:val="en-US" w:eastAsia="zh-CN"/>
        </w:rPr>
        <w:t>0771</w:t>
      </w:r>
      <w:r>
        <w:rPr>
          <w:rFonts w:hint="default" w:cs="Times New Roman"/>
          <w:color w:val="auto"/>
          <w:sz w:val="32"/>
          <w:szCs w:val="32"/>
          <w:highlight w:val="none"/>
          <w:lang w:val="en" w:eastAsia="zh-CN"/>
        </w:rPr>
        <w:t>－</w:t>
      </w:r>
      <w:r>
        <w:rPr>
          <w:rFonts w:hint="default" w:ascii="Times New Roman" w:hAnsi="Times New Roman" w:eastAsia="仿宋_GB2312" w:cs="Times New Roman"/>
          <w:color w:val="auto"/>
          <w:sz w:val="32"/>
          <w:szCs w:val="32"/>
          <w:highlight w:val="none"/>
          <w:lang w:val="en-US" w:eastAsia="zh-CN"/>
        </w:rPr>
        <w:t>5311055</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eastAsia" w:eastAsia="仿宋_GB2312" w:cs="Times New Roman"/>
          <w:color w:val="auto"/>
          <w:sz w:val="32"/>
          <w:szCs w:val="32"/>
          <w:highlight w:val="none"/>
          <w:lang w:val="en-US" w:eastAsia="zh-CN"/>
        </w:rPr>
        <w:t>邮  箱：</w:t>
      </w:r>
      <w:r>
        <w:rPr>
          <w:rFonts w:hint="default" w:ascii="Times New Roman" w:hAnsi="Times New Roman" w:eastAsia="仿宋_GB2312" w:cs="Times New Roman"/>
          <w:color w:val="auto"/>
          <w:sz w:val="32"/>
          <w:szCs w:val="32"/>
          <w:highlight w:val="none"/>
          <w:lang w:eastAsia="zh-CN"/>
        </w:rPr>
        <w:t>gxwsjd5k@wsjkw</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gxzf</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gov</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cn</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20" w:leftChars="200" w:hanging="1280" w:hangingChars="4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附表：</w:t>
      </w:r>
      <w:r>
        <w:rPr>
          <w:rFonts w:hint="default" w:ascii="Times New Roman" w:hAnsi="Times New Roman" w:eastAsia="仿宋_GB2312" w:cs="Times New Roman"/>
          <w:color w:val="auto"/>
          <w:sz w:val="32"/>
          <w:szCs w:val="32"/>
          <w:highlight w:val="none"/>
        </w:rPr>
        <w:t>1</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pacing w:val="-6"/>
          <w:sz w:val="32"/>
          <w:szCs w:val="32"/>
          <w:highlight w:val="none"/>
        </w:rPr>
        <w:t>202</w:t>
      </w:r>
      <w:r>
        <w:rPr>
          <w:rFonts w:hint="default" w:ascii="Times New Roman" w:hAnsi="Times New Roman" w:cs="Times New Roman"/>
          <w:color w:val="auto"/>
          <w:spacing w:val="-6"/>
          <w:sz w:val="32"/>
          <w:szCs w:val="32"/>
          <w:highlight w:val="none"/>
          <w:lang w:val="en-US" w:eastAsia="zh-CN"/>
        </w:rPr>
        <w:t>6</w:t>
      </w:r>
      <w:r>
        <w:rPr>
          <w:rFonts w:hint="eastAsia" w:ascii="仿宋_GB2312" w:hAnsi="仿宋_GB2312" w:eastAsia="仿宋_GB2312" w:cs="仿宋_GB2312"/>
          <w:color w:val="auto"/>
          <w:spacing w:val="-6"/>
          <w:sz w:val="32"/>
          <w:szCs w:val="32"/>
          <w:highlight w:val="none"/>
        </w:rPr>
        <w:t>年医疗卫生机构传染病防治国家随机监督抽查</w:t>
      </w:r>
      <w:r>
        <w:rPr>
          <w:rFonts w:hint="eastAsia" w:ascii="仿宋_GB2312" w:hAnsi="仿宋_GB2312" w:eastAsia="仿宋_GB2312" w:cs="仿宋_GB2312"/>
          <w:color w:val="auto"/>
          <w:sz w:val="32"/>
          <w:szCs w:val="32"/>
          <w:highlight w:val="none"/>
        </w:rPr>
        <w:t>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20" w:leftChars="500" w:hanging="320" w:hangingChars="100"/>
        <w:jc w:val="both"/>
        <w:textAlignment w:val="auto"/>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202</w:t>
      </w:r>
      <w:r>
        <w:rPr>
          <w:rFonts w:hint="default" w:ascii="Times New Roman" w:hAnsi="Times New Roman" w:cs="Times New Roman"/>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年医疗卫生机构传染病防治国家随机监督抽检汇总表</w:t>
      </w:r>
    </w:p>
    <w:p>
      <w:pPr>
        <w:keepNext w:val="0"/>
        <w:keepLines w:val="0"/>
        <w:pageBreakBefore w:val="0"/>
        <w:widowControl w:val="0"/>
        <w:kinsoku/>
        <w:wordWrap/>
        <w:overflowPunct/>
        <w:topLinePunct w:val="0"/>
        <w:autoSpaceDE/>
        <w:autoSpaceDN/>
        <w:bidi w:val="0"/>
        <w:adjustRightInd/>
        <w:snapToGrid/>
        <w:spacing w:line="560" w:lineRule="exact"/>
        <w:ind w:left="1920" w:leftChars="500" w:hanging="320" w:hangingChars="100"/>
        <w:jc w:val="both"/>
        <w:textAlignment w:val="auto"/>
        <w:rPr>
          <w:rFonts w:hint="eastAsia"/>
          <w:color w:val="auto"/>
          <w:highlight w:val="none"/>
        </w:rPr>
      </w:pPr>
      <w:r>
        <w:rPr>
          <w:rFonts w:hint="default" w:ascii="Times New Roman" w:hAnsi="Times New Roman" w:eastAsia="仿宋_GB2312" w:cs="Times New Roman"/>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pacing w:val="-6"/>
          <w:sz w:val="32"/>
          <w:szCs w:val="32"/>
          <w:highlight w:val="none"/>
        </w:rPr>
        <w:t>202</w:t>
      </w:r>
      <w:r>
        <w:rPr>
          <w:rFonts w:hint="default" w:ascii="Times New Roman" w:hAnsi="Times New Roman" w:cs="Times New Roman"/>
          <w:color w:val="auto"/>
          <w:spacing w:val="-6"/>
          <w:sz w:val="32"/>
          <w:szCs w:val="32"/>
          <w:highlight w:val="none"/>
          <w:lang w:val="en-US" w:eastAsia="zh-CN"/>
        </w:rPr>
        <w:t>6</w:t>
      </w:r>
      <w:r>
        <w:rPr>
          <w:rFonts w:hint="eastAsia" w:ascii="仿宋_GB2312" w:hAnsi="仿宋_GB2312" w:eastAsia="仿宋_GB2312" w:cs="仿宋_GB2312"/>
          <w:color w:val="auto"/>
          <w:spacing w:val="-6"/>
          <w:sz w:val="32"/>
          <w:szCs w:val="32"/>
          <w:highlight w:val="none"/>
        </w:rPr>
        <w:t>年医疗卫生机构传染病防治国家随机监督抽查</w:t>
      </w:r>
      <w:r>
        <w:rPr>
          <w:rFonts w:hint="eastAsia" w:ascii="仿宋_GB2312" w:hAnsi="仿宋_GB2312" w:eastAsia="仿宋_GB2312" w:cs="仿宋_GB2312"/>
          <w:color w:val="auto"/>
          <w:sz w:val="32"/>
          <w:szCs w:val="32"/>
          <w:highlight w:val="none"/>
        </w:rPr>
        <w:t>案件查处汇总表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color w:val="auto"/>
          <w:kern w:val="0"/>
          <w:sz w:val="44"/>
          <w:szCs w:val="44"/>
          <w:highlight w:val="none"/>
        </w:rPr>
      </w:pPr>
    </w:p>
    <w:p>
      <w:pPr>
        <w:pStyle w:val="4"/>
        <w:keepNext w:val="0"/>
        <w:keepLines w:val="0"/>
        <w:pageBreakBefore w:val="0"/>
        <w:widowControl w:val="0"/>
        <w:shd w:val="clear" w:color="auto" w:fill="auto"/>
        <w:kinsoku/>
        <w:wordWrap/>
        <w:overflowPunct/>
        <w:topLinePunct w:val="0"/>
        <w:autoSpaceDE/>
        <w:autoSpaceDN/>
        <w:bidi w:val="0"/>
        <w:adjustRightInd/>
        <w:snapToGrid/>
        <w:textAlignment w:val="auto"/>
        <w:rPr>
          <w:rFonts w:hint="eastAsia"/>
          <w:color w:val="auto"/>
          <w:highlight w:val="none"/>
        </w:rPr>
        <w:sectPr>
          <w:headerReference r:id="rId3" w:type="default"/>
          <w:footerReference r:id="rId4" w:type="default"/>
          <w:pgSz w:w="11906" w:h="16838"/>
          <w:pgMar w:top="1701" w:right="1417"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宋体" w:eastAsia="黑体" w:cs="宋体"/>
          <w:color w:val="auto"/>
          <w:kern w:val="0"/>
          <w:sz w:val="32"/>
          <w:szCs w:val="32"/>
          <w:highlight w:val="none"/>
          <w:lang w:val="en-US" w:eastAsia="zh-CN"/>
        </w:rPr>
      </w:pPr>
      <w:r>
        <w:rPr>
          <w:rFonts w:hint="eastAsia" w:ascii="黑体" w:hAnsi="宋体" w:eastAsia="黑体" w:cs="宋体"/>
          <w:color w:val="auto"/>
          <w:kern w:val="0"/>
          <w:sz w:val="32"/>
          <w:szCs w:val="32"/>
          <w:highlight w:val="none"/>
        </w:rPr>
        <w:t>附表</w:t>
      </w:r>
      <w:r>
        <w:rPr>
          <w:rFonts w:hint="default" w:ascii="Times New Roman" w:hAnsi="Times New Roman" w:eastAsia="黑体" w:cs="Times New Roman"/>
          <w:color w:val="auto"/>
          <w:kern w:val="0"/>
          <w:sz w:val="32"/>
          <w:szCs w:val="32"/>
          <w:highlight w:val="none"/>
        </w:rPr>
        <w:t>1</w:t>
      </w: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Cs/>
          <w:color w:val="auto"/>
          <w:kern w:val="0"/>
          <w:sz w:val="44"/>
          <w:szCs w:val="44"/>
          <w:highlight w:val="none"/>
        </w:rPr>
      </w:pPr>
      <w:r>
        <w:rPr>
          <w:rFonts w:hint="default" w:ascii="Times New Roman" w:hAnsi="Times New Roman" w:eastAsia="方正小标宋简体" w:cs="Times New Roman"/>
          <w:bCs/>
          <w:color w:val="auto"/>
          <w:kern w:val="0"/>
          <w:sz w:val="44"/>
          <w:szCs w:val="44"/>
          <w:highlight w:val="none"/>
        </w:rPr>
        <w:t>202</w:t>
      </w:r>
      <w:r>
        <w:rPr>
          <w:rFonts w:hint="default" w:ascii="Times New Roman" w:hAnsi="Times New Roman" w:eastAsia="方正小标宋简体" w:cs="Times New Roman"/>
          <w:bCs/>
          <w:color w:val="auto"/>
          <w:kern w:val="0"/>
          <w:sz w:val="44"/>
          <w:szCs w:val="44"/>
          <w:highlight w:val="none"/>
          <w:lang w:val="en-US" w:eastAsia="zh-CN"/>
        </w:rPr>
        <w:t>6</w:t>
      </w:r>
      <w:r>
        <w:rPr>
          <w:rFonts w:hint="eastAsia" w:ascii="方正小标宋简体" w:hAnsi="方正小标宋简体" w:eastAsia="方正小标宋简体" w:cs="方正小标宋简体"/>
          <w:bCs/>
          <w:color w:val="auto"/>
          <w:kern w:val="0"/>
          <w:sz w:val="44"/>
          <w:szCs w:val="44"/>
          <w:highlight w:val="none"/>
        </w:rPr>
        <w:t>年医疗卫生机构传染病防治国家随机监督抽查汇总表</w:t>
      </w: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bCs/>
          <w:color w:val="auto"/>
          <w:szCs w:val="21"/>
          <w:highlight w:val="none"/>
        </w:rPr>
        <w:t xml:space="preserve">市            </w:t>
      </w:r>
    </w:p>
    <w:tbl>
      <w:tblPr>
        <w:tblStyle w:val="20"/>
        <w:tblW w:w="15221" w:type="dxa"/>
        <w:jc w:val="center"/>
        <w:tblLayout w:type="fixed"/>
        <w:tblCellMar>
          <w:top w:w="0" w:type="dxa"/>
          <w:left w:w="0" w:type="dxa"/>
          <w:bottom w:w="0" w:type="dxa"/>
          <w:right w:w="0" w:type="dxa"/>
        </w:tblCellMar>
      </w:tblPr>
      <w:tblGrid>
        <w:gridCol w:w="702"/>
        <w:gridCol w:w="1023"/>
        <w:gridCol w:w="482"/>
        <w:gridCol w:w="482"/>
        <w:gridCol w:w="482"/>
        <w:gridCol w:w="482"/>
        <w:gridCol w:w="482"/>
        <w:gridCol w:w="482"/>
        <w:gridCol w:w="482"/>
        <w:gridCol w:w="482"/>
        <w:gridCol w:w="482"/>
        <w:gridCol w:w="482"/>
        <w:gridCol w:w="482"/>
        <w:gridCol w:w="482"/>
        <w:gridCol w:w="482"/>
        <w:gridCol w:w="482"/>
        <w:gridCol w:w="482"/>
        <w:gridCol w:w="482"/>
        <w:gridCol w:w="482"/>
        <w:gridCol w:w="1"/>
        <w:gridCol w:w="481"/>
        <w:gridCol w:w="482"/>
        <w:gridCol w:w="482"/>
        <w:gridCol w:w="482"/>
        <w:gridCol w:w="482"/>
        <w:gridCol w:w="482"/>
        <w:gridCol w:w="482"/>
        <w:gridCol w:w="482"/>
        <w:gridCol w:w="482"/>
        <w:gridCol w:w="3"/>
        <w:gridCol w:w="479"/>
        <w:gridCol w:w="482"/>
      </w:tblGrid>
      <w:tr>
        <w:tblPrEx>
          <w:tblCellMar>
            <w:top w:w="0" w:type="dxa"/>
            <w:left w:w="0" w:type="dxa"/>
            <w:bottom w:w="0" w:type="dxa"/>
            <w:right w:w="0" w:type="dxa"/>
          </w:tblCellMar>
        </w:tblPrEx>
        <w:trPr>
          <w:trHeight w:val="368" w:hRule="atLeast"/>
          <w:jc w:val="center"/>
        </w:trPr>
        <w:tc>
          <w:tcPr>
            <w:tcW w:w="1725" w:type="dxa"/>
            <w:gridSpan w:val="2"/>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18"/>
                <w:szCs w:val="18"/>
                <w:highlight w:val="none"/>
              </w:rPr>
            </w:pPr>
            <w:r>
              <w:rPr>
                <w:rFonts w:hint="eastAsia" w:ascii="黑体" w:hAnsi="黑体" w:eastAsia="黑体" w:cs="黑体"/>
                <w:color w:val="auto"/>
                <w:kern w:val="0"/>
                <w:sz w:val="18"/>
                <w:szCs w:val="18"/>
                <w:highlight w:val="none"/>
                <w:lang w:bidi="ar"/>
              </w:rPr>
              <w:t>监督类别</w:t>
            </w:r>
          </w:p>
        </w:tc>
        <w:tc>
          <w:tcPr>
            <w:tcW w:w="13496" w:type="dxa"/>
            <w:gridSpan w:val="30"/>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监督评价结果</w:t>
            </w:r>
          </w:p>
        </w:tc>
      </w:tr>
      <w:tr>
        <w:tblPrEx>
          <w:tblCellMar>
            <w:top w:w="0" w:type="dxa"/>
            <w:left w:w="0" w:type="dxa"/>
            <w:bottom w:w="0" w:type="dxa"/>
            <w:right w:w="0" w:type="dxa"/>
          </w:tblCellMar>
        </w:tblPrEx>
        <w:trPr>
          <w:trHeight w:val="368" w:hRule="atLeast"/>
          <w:jc w:val="center"/>
        </w:trPr>
        <w:tc>
          <w:tcPr>
            <w:tcW w:w="1725" w:type="dxa"/>
            <w:gridSpan w:val="2"/>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18"/>
                <w:szCs w:val="18"/>
                <w:highlight w:val="none"/>
              </w:rPr>
            </w:pPr>
          </w:p>
        </w:tc>
        <w:tc>
          <w:tcPr>
            <w:tcW w:w="3374"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单位</w:t>
            </w:r>
          </w:p>
        </w:tc>
        <w:tc>
          <w:tcPr>
            <w:tcW w:w="3374"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综合管理</w:t>
            </w:r>
          </w:p>
        </w:tc>
        <w:tc>
          <w:tcPr>
            <w:tcW w:w="3374" w:type="dxa"/>
            <w:gridSpan w:val="8"/>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预防接种管理</w:t>
            </w:r>
          </w:p>
        </w:tc>
        <w:tc>
          <w:tcPr>
            <w:tcW w:w="3374" w:type="dxa"/>
            <w:gridSpan w:val="8"/>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val="en-US" w:eastAsia="zh-CN" w:bidi="ar"/>
              </w:rPr>
              <w:t>传染病疫情监测、报告和预警</w:t>
            </w:r>
          </w:p>
        </w:tc>
      </w:tr>
      <w:tr>
        <w:tblPrEx>
          <w:tblCellMar>
            <w:top w:w="0" w:type="dxa"/>
            <w:left w:w="0" w:type="dxa"/>
            <w:bottom w:w="0" w:type="dxa"/>
            <w:right w:w="0" w:type="dxa"/>
          </w:tblCellMar>
        </w:tblPrEx>
        <w:trPr>
          <w:trHeight w:val="90" w:hRule="atLeast"/>
          <w:jc w:val="center"/>
        </w:trPr>
        <w:tc>
          <w:tcPr>
            <w:tcW w:w="1725" w:type="dxa"/>
            <w:gridSpan w:val="2"/>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评价单位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优秀</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合格</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评价单位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优秀</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合格</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评价单位</w:t>
            </w:r>
          </w:p>
        </w:tc>
        <w:tc>
          <w:tcPr>
            <w:tcW w:w="965"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优秀</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合格</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评价单位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优秀</w:t>
            </w:r>
          </w:p>
        </w:tc>
        <w:tc>
          <w:tcPr>
            <w:tcW w:w="967" w:type="dxa"/>
            <w:gridSpan w:val="3"/>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合格</w:t>
            </w:r>
          </w:p>
        </w:tc>
        <w:tc>
          <w:tcPr>
            <w:tcW w:w="961"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w:t>
            </w:r>
          </w:p>
        </w:tc>
      </w:tr>
      <w:tr>
        <w:tblPrEx>
          <w:tblCellMar>
            <w:top w:w="0" w:type="dxa"/>
            <w:left w:w="0" w:type="dxa"/>
            <w:bottom w:w="0" w:type="dxa"/>
            <w:right w:w="0" w:type="dxa"/>
          </w:tblCellMar>
        </w:tblPrEx>
        <w:trPr>
          <w:trHeight w:val="452" w:hRule="atLeast"/>
          <w:jc w:val="center"/>
        </w:trPr>
        <w:tc>
          <w:tcPr>
            <w:tcW w:w="1725" w:type="dxa"/>
            <w:gridSpan w:val="2"/>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r>
      <w:tr>
        <w:tblPrEx>
          <w:tblCellMar>
            <w:top w:w="0" w:type="dxa"/>
            <w:left w:w="0" w:type="dxa"/>
            <w:bottom w:w="0" w:type="dxa"/>
            <w:right w:w="0" w:type="dxa"/>
          </w:tblCellMar>
        </w:tblPrEx>
        <w:trPr>
          <w:trHeight w:val="354" w:hRule="atLeast"/>
          <w:jc w:val="center"/>
        </w:trPr>
        <w:tc>
          <w:tcPr>
            <w:tcW w:w="17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总计</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702"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医疗</w:t>
            </w:r>
            <w:r>
              <w:rPr>
                <w:rFonts w:hint="eastAsia" w:ascii="仿宋_GB2312" w:hAnsi="仿宋_GB2312" w:eastAsia="仿宋_GB2312" w:cs="仿宋_GB2312"/>
                <w:color w:val="auto"/>
                <w:kern w:val="0"/>
                <w:sz w:val="18"/>
                <w:szCs w:val="18"/>
                <w:highlight w:val="none"/>
                <w:lang w:bidi="ar"/>
              </w:rPr>
              <w:br w:type="textWrapping"/>
            </w:r>
            <w:r>
              <w:rPr>
                <w:rFonts w:hint="eastAsia" w:ascii="仿宋_GB2312" w:hAnsi="仿宋_GB2312" w:eastAsia="仿宋_GB2312" w:cs="仿宋_GB2312"/>
                <w:color w:val="auto"/>
                <w:kern w:val="0"/>
                <w:sz w:val="18"/>
                <w:szCs w:val="18"/>
                <w:highlight w:val="none"/>
                <w:lang w:bidi="ar"/>
              </w:rPr>
              <w:t>机构</w:t>
            </w:r>
          </w:p>
        </w:tc>
        <w:tc>
          <w:tcPr>
            <w:tcW w:w="102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小计</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702"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02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三级</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702"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02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二级</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702"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02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一级</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702"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023"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基层</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（其中诊所）</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702"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023"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353" w:hRule="atLeast"/>
          <w:jc w:val="center"/>
        </w:trPr>
        <w:tc>
          <w:tcPr>
            <w:tcW w:w="17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疾控机构</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r>
      <w:tr>
        <w:tblPrEx>
          <w:tblCellMar>
            <w:top w:w="0" w:type="dxa"/>
            <w:left w:w="0" w:type="dxa"/>
            <w:bottom w:w="0" w:type="dxa"/>
            <w:right w:w="0" w:type="dxa"/>
          </w:tblCellMar>
        </w:tblPrEx>
        <w:trPr>
          <w:trHeight w:val="425" w:hRule="atLeast"/>
          <w:jc w:val="center"/>
        </w:trPr>
        <w:tc>
          <w:tcPr>
            <w:tcW w:w="17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采供血机构</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宋体" w:eastAsia="黑体" w:cs="宋体"/>
          <w:color w:val="auto"/>
          <w:kern w:val="0"/>
          <w:sz w:val="32"/>
          <w:szCs w:val="32"/>
          <w:highlight w:val="none"/>
        </w:rPr>
      </w:pPr>
      <w:r>
        <w:rPr>
          <w:rFonts w:hint="eastAsia" w:ascii="黑体" w:hAnsi="宋体" w:eastAsia="黑体" w:cs="宋体"/>
          <w:color w:val="auto"/>
          <w:kern w:val="0"/>
          <w:sz w:val="32"/>
          <w:szCs w:val="32"/>
          <w:highlight w:val="none"/>
        </w:rPr>
        <w:br w:type="page"/>
      </w:r>
      <w:r>
        <w:rPr>
          <w:rFonts w:hint="eastAsia" w:ascii="黑体" w:hAnsi="宋体" w:eastAsia="黑体" w:cs="宋体"/>
          <w:color w:val="auto"/>
          <w:kern w:val="0"/>
          <w:sz w:val="32"/>
          <w:szCs w:val="32"/>
          <w:highlight w:val="none"/>
        </w:rPr>
        <w:t>附表</w:t>
      </w:r>
      <w:r>
        <w:rPr>
          <w:rFonts w:hint="default" w:ascii="Times New Roman" w:hAnsi="Times New Roman" w:eastAsia="黑体" w:cs="Times New Roman"/>
          <w:color w:val="auto"/>
          <w:kern w:val="0"/>
          <w:sz w:val="32"/>
          <w:szCs w:val="32"/>
          <w:highlight w:val="none"/>
        </w:rPr>
        <w:t>1</w:t>
      </w:r>
      <w:r>
        <w:rPr>
          <w:rFonts w:ascii="黑体" w:hAnsi="宋体" w:eastAsia="黑体" w:cs="宋体"/>
          <w:color w:val="auto"/>
          <w:kern w:val="0"/>
          <w:sz w:val="32"/>
          <w:szCs w:val="32"/>
          <w:highlight w:val="none"/>
        </w:rPr>
        <w:t xml:space="preserve"> </w:t>
      </w:r>
      <w:r>
        <w:rPr>
          <w:rFonts w:hint="eastAsia" w:ascii="黑体" w:hAnsi="宋体" w:eastAsia="黑体" w:cs="宋体"/>
          <w:color w:val="auto"/>
          <w:kern w:val="0"/>
          <w:sz w:val="32"/>
          <w:szCs w:val="32"/>
          <w:highlight w:val="none"/>
        </w:rPr>
        <w:t>续</w:t>
      </w:r>
    </w:p>
    <w:p>
      <w:pPr>
        <w:pStyle w:val="2"/>
        <w:keepNext w:val="0"/>
        <w:keepLines w:val="0"/>
        <w:pageBreakBefore w:val="0"/>
        <w:widowControl w:val="0"/>
        <w:kinsoku/>
        <w:wordWrap/>
        <w:overflowPunct/>
        <w:topLinePunct w:val="0"/>
        <w:autoSpaceDE/>
        <w:autoSpaceDN/>
        <w:bidi w:val="0"/>
        <w:adjustRightInd/>
        <w:snapToGrid/>
        <w:spacing w:after="0" w:line="380" w:lineRule="exact"/>
        <w:textAlignment w:val="auto"/>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Cs/>
          <w:color w:val="auto"/>
          <w:kern w:val="0"/>
          <w:sz w:val="44"/>
          <w:szCs w:val="44"/>
          <w:highlight w:val="none"/>
        </w:rPr>
      </w:pPr>
      <w:r>
        <w:rPr>
          <w:rFonts w:hint="default" w:ascii="Times New Roman" w:hAnsi="Times New Roman" w:eastAsia="方正小标宋简体" w:cs="Times New Roman"/>
          <w:bCs/>
          <w:color w:val="auto"/>
          <w:kern w:val="0"/>
          <w:sz w:val="44"/>
          <w:szCs w:val="44"/>
          <w:highlight w:val="none"/>
        </w:rPr>
        <w:t>202</w:t>
      </w:r>
      <w:r>
        <w:rPr>
          <w:rFonts w:hint="default" w:ascii="Times New Roman" w:hAnsi="Times New Roman" w:eastAsia="方正小标宋简体" w:cs="Times New Roman"/>
          <w:bCs/>
          <w:color w:val="auto"/>
          <w:kern w:val="0"/>
          <w:sz w:val="44"/>
          <w:szCs w:val="44"/>
          <w:highlight w:val="none"/>
          <w:lang w:val="en-US" w:eastAsia="zh-CN"/>
        </w:rPr>
        <w:t>6</w:t>
      </w:r>
      <w:r>
        <w:rPr>
          <w:rFonts w:hint="eastAsia" w:ascii="方正小标宋简体" w:hAnsi="方正小标宋简体" w:eastAsia="方正小标宋简体" w:cs="方正小标宋简体"/>
          <w:bCs/>
          <w:color w:val="auto"/>
          <w:kern w:val="0"/>
          <w:sz w:val="44"/>
          <w:szCs w:val="44"/>
          <w:highlight w:val="none"/>
        </w:rPr>
        <w:t>年医疗卫生机构传染病防治国家随机监督抽查汇总表</w:t>
      </w:r>
    </w:p>
    <w:p>
      <w:pPr>
        <w:pStyle w:val="2"/>
        <w:keepNext w:val="0"/>
        <w:keepLines w:val="0"/>
        <w:pageBreakBefore w:val="0"/>
        <w:widowControl w:val="0"/>
        <w:kinsoku/>
        <w:wordWrap/>
        <w:overflowPunct/>
        <w:topLinePunct w:val="0"/>
        <w:autoSpaceDE/>
        <w:autoSpaceDN/>
        <w:bidi w:val="0"/>
        <w:adjustRightInd/>
        <w:snapToGrid/>
        <w:spacing w:after="0" w:line="380" w:lineRule="exact"/>
        <w:textAlignment w:val="auto"/>
        <w:rPr>
          <w:rFonts w:hint="eastAsia"/>
        </w:rPr>
      </w:pPr>
    </w:p>
    <w:tbl>
      <w:tblPr>
        <w:tblStyle w:val="20"/>
        <w:tblW w:w="15089" w:type="dxa"/>
        <w:jc w:val="center"/>
        <w:tblLayout w:type="fixed"/>
        <w:tblCellMar>
          <w:top w:w="0" w:type="dxa"/>
          <w:left w:w="0" w:type="dxa"/>
          <w:bottom w:w="0" w:type="dxa"/>
          <w:right w:w="0" w:type="dxa"/>
        </w:tblCellMar>
      </w:tblPr>
      <w:tblGrid>
        <w:gridCol w:w="443"/>
        <w:gridCol w:w="1150"/>
        <w:gridCol w:w="482"/>
        <w:gridCol w:w="482"/>
        <w:gridCol w:w="482"/>
        <w:gridCol w:w="482"/>
        <w:gridCol w:w="482"/>
        <w:gridCol w:w="482"/>
        <w:gridCol w:w="495"/>
        <w:gridCol w:w="469"/>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tblPrEx>
          <w:tblCellMar>
            <w:top w:w="0" w:type="dxa"/>
            <w:left w:w="0" w:type="dxa"/>
            <w:bottom w:w="0" w:type="dxa"/>
            <w:right w:w="0" w:type="dxa"/>
          </w:tblCellMar>
        </w:tblPrEx>
        <w:trPr>
          <w:trHeight w:val="378" w:hRule="atLeast"/>
          <w:jc w:val="center"/>
        </w:trPr>
        <w:tc>
          <w:tcPr>
            <w:tcW w:w="1593" w:type="dxa"/>
            <w:gridSpan w:val="2"/>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监督类别</w:t>
            </w:r>
          </w:p>
        </w:tc>
        <w:tc>
          <w:tcPr>
            <w:tcW w:w="13496" w:type="dxa"/>
            <w:gridSpan w:val="28"/>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监督评价结果</w:t>
            </w:r>
          </w:p>
        </w:tc>
      </w:tr>
      <w:tr>
        <w:tblPrEx>
          <w:tblCellMar>
            <w:top w:w="0" w:type="dxa"/>
            <w:left w:w="0" w:type="dxa"/>
            <w:bottom w:w="0" w:type="dxa"/>
            <w:right w:w="0" w:type="dxa"/>
          </w:tblCellMar>
        </w:tblPrEx>
        <w:trPr>
          <w:trHeight w:val="402" w:hRule="atLeast"/>
          <w:jc w:val="center"/>
        </w:trPr>
        <w:tc>
          <w:tcPr>
            <w:tcW w:w="1593" w:type="dxa"/>
            <w:gridSpan w:val="2"/>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p>
        </w:tc>
        <w:tc>
          <w:tcPr>
            <w:tcW w:w="3387"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传染病</w:t>
            </w:r>
            <w:r>
              <w:rPr>
                <w:rFonts w:hint="eastAsia" w:ascii="黑体" w:hAnsi="黑体" w:eastAsia="黑体" w:cs="黑体"/>
                <w:color w:val="auto"/>
                <w:kern w:val="0"/>
                <w:sz w:val="18"/>
                <w:szCs w:val="18"/>
                <w:highlight w:val="none"/>
                <w:lang w:eastAsia="zh-CN" w:bidi="ar"/>
              </w:rPr>
              <w:t>疫情</w:t>
            </w:r>
            <w:r>
              <w:rPr>
                <w:rFonts w:hint="eastAsia" w:ascii="黑体" w:hAnsi="黑体" w:eastAsia="黑体" w:cs="黑体"/>
                <w:color w:val="auto"/>
                <w:kern w:val="0"/>
                <w:sz w:val="18"/>
                <w:szCs w:val="18"/>
                <w:highlight w:val="none"/>
                <w:lang w:bidi="ar"/>
              </w:rPr>
              <w:t>控制</w:t>
            </w:r>
          </w:p>
        </w:tc>
        <w:tc>
          <w:tcPr>
            <w:tcW w:w="3361"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消毒隔离</w:t>
            </w:r>
            <w:r>
              <w:rPr>
                <w:rFonts w:hint="eastAsia" w:ascii="黑体" w:hAnsi="黑体" w:eastAsia="黑体" w:cs="黑体"/>
                <w:color w:val="auto"/>
                <w:kern w:val="0"/>
                <w:sz w:val="18"/>
                <w:szCs w:val="18"/>
                <w:highlight w:val="none"/>
                <w:lang w:eastAsia="zh-CN" w:bidi="ar"/>
              </w:rPr>
              <w:t>制度执行</w:t>
            </w:r>
            <w:r>
              <w:rPr>
                <w:rFonts w:hint="eastAsia" w:ascii="黑体" w:hAnsi="黑体" w:eastAsia="黑体" w:cs="黑体"/>
                <w:color w:val="auto"/>
                <w:kern w:val="0"/>
                <w:sz w:val="18"/>
                <w:szCs w:val="18"/>
                <w:highlight w:val="none"/>
                <w:lang w:bidi="ar"/>
              </w:rPr>
              <w:t>情况</w:t>
            </w:r>
          </w:p>
        </w:tc>
        <w:tc>
          <w:tcPr>
            <w:tcW w:w="3374"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医疗废物处置</w:t>
            </w:r>
          </w:p>
        </w:tc>
        <w:tc>
          <w:tcPr>
            <w:tcW w:w="3374"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病原微生物实验室生物安全</w:t>
            </w:r>
          </w:p>
        </w:tc>
      </w:tr>
      <w:tr>
        <w:tblPrEx>
          <w:tblCellMar>
            <w:top w:w="0" w:type="dxa"/>
            <w:left w:w="0" w:type="dxa"/>
            <w:bottom w:w="0" w:type="dxa"/>
            <w:right w:w="0" w:type="dxa"/>
          </w:tblCellMar>
        </w:tblPrEx>
        <w:trPr>
          <w:trHeight w:val="679" w:hRule="atLeast"/>
          <w:jc w:val="center"/>
        </w:trPr>
        <w:tc>
          <w:tcPr>
            <w:tcW w:w="1593" w:type="dxa"/>
            <w:gridSpan w:val="2"/>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spacing w:val="-11"/>
                <w:kern w:val="0"/>
                <w:sz w:val="18"/>
                <w:szCs w:val="18"/>
                <w:highlight w:val="none"/>
                <w:lang w:bidi="ar"/>
              </w:rPr>
              <w:t>评价单位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该项优秀</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该项合格</w:t>
            </w:r>
          </w:p>
        </w:tc>
        <w:tc>
          <w:tcPr>
            <w:tcW w:w="97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重点监督</w:t>
            </w: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pacing w:val="-17"/>
                <w:kern w:val="0"/>
                <w:sz w:val="18"/>
                <w:szCs w:val="18"/>
                <w:highlight w:val="none"/>
                <w:lang w:bidi="ar"/>
              </w:rPr>
            </w:pPr>
            <w:r>
              <w:rPr>
                <w:rFonts w:hint="eastAsia" w:ascii="黑体" w:hAnsi="黑体" w:eastAsia="黑体" w:cs="黑体"/>
                <w:color w:val="auto"/>
                <w:spacing w:val="-17"/>
                <w:kern w:val="0"/>
                <w:sz w:val="18"/>
                <w:szCs w:val="18"/>
                <w:highlight w:val="none"/>
                <w:lang w:bidi="ar"/>
              </w:rPr>
              <w:t>评价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spacing w:val="-17"/>
                <w:kern w:val="0"/>
                <w:sz w:val="18"/>
                <w:szCs w:val="18"/>
                <w:highlight w:val="none"/>
                <w:lang w:bidi="ar"/>
              </w:rPr>
              <w:t>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该项优秀</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该项合格</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重点监督</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spacing w:val="-17"/>
                <w:kern w:val="0"/>
                <w:sz w:val="18"/>
                <w:szCs w:val="18"/>
                <w:highlight w:val="none"/>
                <w:lang w:bidi="ar"/>
              </w:rPr>
              <w:t>评价</w:t>
            </w:r>
            <w:r>
              <w:rPr>
                <w:rFonts w:hint="eastAsia" w:ascii="黑体" w:hAnsi="黑体" w:eastAsia="黑体" w:cs="黑体"/>
                <w:color w:val="auto"/>
                <w:spacing w:val="-17"/>
                <w:kern w:val="0"/>
                <w:sz w:val="18"/>
                <w:szCs w:val="18"/>
                <w:highlight w:val="none"/>
                <w:lang w:bidi="ar"/>
              </w:rPr>
              <w:br w:type="textWrapping"/>
            </w:r>
            <w:r>
              <w:rPr>
                <w:rFonts w:hint="eastAsia" w:ascii="黑体" w:hAnsi="黑体" w:eastAsia="黑体" w:cs="黑体"/>
                <w:color w:val="auto"/>
                <w:spacing w:val="-17"/>
                <w:kern w:val="0"/>
                <w:sz w:val="18"/>
                <w:szCs w:val="18"/>
                <w:highlight w:val="none"/>
                <w:lang w:bidi="ar"/>
              </w:rPr>
              <w:t>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该项优秀</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该项合格</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重点监督</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pacing w:val="-17"/>
                <w:kern w:val="0"/>
                <w:sz w:val="18"/>
                <w:szCs w:val="18"/>
                <w:highlight w:val="none"/>
                <w:lang w:bidi="ar"/>
              </w:rPr>
            </w:pPr>
            <w:r>
              <w:rPr>
                <w:rFonts w:hint="eastAsia" w:ascii="黑体" w:hAnsi="黑体" w:eastAsia="黑体" w:cs="黑体"/>
                <w:color w:val="auto"/>
                <w:spacing w:val="-17"/>
                <w:kern w:val="0"/>
                <w:sz w:val="18"/>
                <w:szCs w:val="18"/>
                <w:highlight w:val="none"/>
                <w:lang w:bidi="ar"/>
              </w:rPr>
              <w:t>评价</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spacing w:val="-17"/>
                <w:kern w:val="0"/>
                <w:sz w:val="18"/>
                <w:szCs w:val="18"/>
                <w:highlight w:val="none"/>
                <w:lang w:bidi="ar"/>
              </w:rPr>
            </w:pPr>
            <w:r>
              <w:rPr>
                <w:rFonts w:hint="eastAsia" w:ascii="黑体" w:hAnsi="黑体" w:eastAsia="黑体" w:cs="黑体"/>
                <w:color w:val="auto"/>
                <w:spacing w:val="-17"/>
                <w:kern w:val="0"/>
                <w:sz w:val="18"/>
                <w:szCs w:val="18"/>
                <w:highlight w:val="none"/>
                <w:lang w:bidi="ar"/>
              </w:rPr>
              <w:t>单位</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该项优秀</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该项合格</w:t>
            </w:r>
          </w:p>
        </w:tc>
        <w:tc>
          <w:tcPr>
            <w:tcW w:w="96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重点监督</w:t>
            </w:r>
          </w:p>
        </w:tc>
      </w:tr>
      <w:tr>
        <w:tblPrEx>
          <w:tblCellMar>
            <w:top w:w="0" w:type="dxa"/>
            <w:left w:w="0" w:type="dxa"/>
            <w:bottom w:w="0" w:type="dxa"/>
            <w:right w:w="0" w:type="dxa"/>
          </w:tblCellMar>
        </w:tblPrEx>
        <w:trPr>
          <w:trHeight w:val="1320" w:hRule="atLeast"/>
          <w:jc w:val="center"/>
        </w:trPr>
        <w:tc>
          <w:tcPr>
            <w:tcW w:w="1593" w:type="dxa"/>
            <w:gridSpan w:val="2"/>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spacing w:val="-6"/>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计</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数（家）</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百</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率</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w:t>
            </w:r>
            <w:r>
              <w:rPr>
                <w:rFonts w:hint="default" w:ascii="Times New Roman" w:hAnsi="Times New Roman" w:eastAsia="黑体" w:cs="Times New Roman"/>
                <w:color w:val="auto"/>
                <w:kern w:val="0"/>
                <w:sz w:val="18"/>
                <w:szCs w:val="18"/>
                <w:highlight w:val="none"/>
                <w:lang w:bidi="ar"/>
              </w:rPr>
              <w:t>%</w:t>
            </w:r>
            <w:r>
              <w:rPr>
                <w:rFonts w:hint="eastAsia" w:ascii="黑体" w:hAnsi="黑体" w:eastAsia="黑体" w:cs="黑体"/>
                <w:color w:val="auto"/>
                <w:kern w:val="0"/>
                <w:sz w:val="18"/>
                <w:szCs w:val="18"/>
                <w:highlight w:val="none"/>
                <w:lang w:bidi="ar"/>
              </w:rPr>
              <w:t>)</w:t>
            </w:r>
          </w:p>
        </w:tc>
      </w:tr>
      <w:tr>
        <w:tblPrEx>
          <w:tblCellMar>
            <w:top w:w="0" w:type="dxa"/>
            <w:left w:w="0" w:type="dxa"/>
            <w:bottom w:w="0" w:type="dxa"/>
            <w:right w:w="0" w:type="dxa"/>
          </w:tblCellMar>
        </w:tblPrEx>
        <w:trPr>
          <w:trHeight w:val="360" w:hRule="atLeast"/>
          <w:jc w:val="center"/>
        </w:trPr>
        <w:tc>
          <w:tcPr>
            <w:tcW w:w="159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总计</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84" w:hRule="atLeast"/>
          <w:jc w:val="center"/>
        </w:trPr>
        <w:tc>
          <w:tcPr>
            <w:tcW w:w="443"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医疗机构</w:t>
            </w:r>
          </w:p>
        </w:tc>
        <w:tc>
          <w:tcPr>
            <w:tcW w:w="11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小计</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53" w:hRule="atLeast"/>
          <w:jc w:val="center"/>
        </w:trPr>
        <w:tc>
          <w:tcPr>
            <w:tcW w:w="443"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1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三级</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53" w:hRule="atLeast"/>
          <w:jc w:val="center"/>
        </w:trPr>
        <w:tc>
          <w:tcPr>
            <w:tcW w:w="443"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1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二级</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53" w:hRule="atLeast"/>
          <w:jc w:val="center"/>
        </w:trPr>
        <w:tc>
          <w:tcPr>
            <w:tcW w:w="443"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1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一级</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88" w:hRule="atLeast"/>
          <w:jc w:val="center"/>
        </w:trPr>
        <w:tc>
          <w:tcPr>
            <w:tcW w:w="443"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150"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基层</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（其中诊所）</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43" w:hRule="atLeast"/>
          <w:jc w:val="center"/>
        </w:trPr>
        <w:tc>
          <w:tcPr>
            <w:tcW w:w="443"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1150"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sz w:val="18"/>
                <w:szCs w:val="18"/>
                <w:highlight w:val="none"/>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79" w:hRule="atLeast"/>
          <w:jc w:val="center"/>
        </w:trPr>
        <w:tc>
          <w:tcPr>
            <w:tcW w:w="159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疾控机构</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r>
        <w:tblPrEx>
          <w:tblCellMar>
            <w:top w:w="0" w:type="dxa"/>
            <w:left w:w="0" w:type="dxa"/>
            <w:bottom w:w="0" w:type="dxa"/>
            <w:right w:w="0" w:type="dxa"/>
          </w:tblCellMar>
        </w:tblPrEx>
        <w:trPr>
          <w:trHeight w:val="379" w:hRule="atLeast"/>
          <w:jc w:val="center"/>
        </w:trPr>
        <w:tc>
          <w:tcPr>
            <w:tcW w:w="159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r>
              <w:rPr>
                <w:rFonts w:hint="eastAsia" w:ascii="仿宋_GB2312" w:hAnsi="仿宋_GB2312" w:eastAsia="仿宋_GB2312" w:cs="仿宋_GB2312"/>
                <w:color w:val="auto"/>
                <w:kern w:val="0"/>
                <w:sz w:val="18"/>
                <w:szCs w:val="18"/>
                <w:highlight w:val="none"/>
                <w:lang w:bidi="ar"/>
              </w:rPr>
              <w:t>采供血机构</w:t>
            </w: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c>
          <w:tcPr>
            <w:tcW w:w="4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18"/>
                <w:szCs w:val="18"/>
                <w:highlight w:val="none"/>
                <w:lang w:bidi="ar"/>
              </w:rPr>
            </w:pPr>
          </w:p>
        </w:tc>
      </w:tr>
    </w:tbl>
    <w:p>
      <w:pPr>
        <w:keepNext w:val="0"/>
        <w:keepLines w:val="0"/>
        <w:pageBreakBefore w:val="0"/>
        <w:widowControl w:val="0"/>
        <w:kinsoku/>
        <w:wordWrap/>
        <w:overflowPunct/>
        <w:topLinePunct w:val="0"/>
        <w:autoSpaceDE/>
        <w:autoSpaceDN/>
        <w:bidi w:val="0"/>
        <w:adjustRightInd/>
        <w:snapToGrid/>
        <w:spacing w:before="65" w:beforeLines="20" w:line="520" w:lineRule="exact"/>
        <w:textAlignment w:val="auto"/>
        <w:rPr>
          <w:rFonts w:hint="eastAsia" w:ascii="仿宋_GB2312" w:hAnsi="仿宋_GB2312" w:eastAsia="仿宋_GB2312" w:cs="仿宋_GB2312"/>
          <w:bCs/>
          <w:color w:val="auto"/>
          <w:sz w:val="21"/>
          <w:szCs w:val="21"/>
          <w:highlight w:val="none"/>
        </w:rPr>
      </w:pPr>
      <w:r>
        <w:rPr>
          <w:rFonts w:hint="eastAsia" w:ascii="仿宋_GB2312" w:hAnsi="仿宋_GB2312" w:eastAsia="仿宋_GB2312" w:cs="仿宋_GB2312"/>
          <w:bCs/>
          <w:color w:val="auto"/>
          <w:sz w:val="21"/>
          <w:szCs w:val="21"/>
          <w:highlight w:val="none"/>
        </w:rPr>
        <w:t>填表人：　      　　　　 联系电话：                   填表日期：              审核人：</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eastAsia="黑体" w:cs="Times New Roman"/>
          <w:color w:val="auto"/>
          <w:sz w:val="32"/>
          <w:szCs w:val="32"/>
          <w:highlight w:val="none"/>
        </w:rPr>
      </w:pPr>
      <w:r>
        <w:rPr>
          <w:rFonts w:hint="eastAsia" w:ascii="黑体" w:hAnsi="黑体" w:eastAsia="黑体"/>
          <w:color w:val="auto"/>
          <w:sz w:val="32"/>
          <w:szCs w:val="32"/>
          <w:highlight w:val="none"/>
        </w:rPr>
        <w:br w:type="page"/>
      </w:r>
      <w:r>
        <w:rPr>
          <w:rFonts w:hint="eastAsia" w:ascii="黑体" w:hAnsi="黑体" w:eastAsia="黑体"/>
          <w:color w:val="auto"/>
          <w:sz w:val="32"/>
          <w:szCs w:val="32"/>
          <w:highlight w:val="none"/>
        </w:rPr>
        <w:t>附表</w:t>
      </w:r>
      <w:r>
        <w:rPr>
          <w:rFonts w:hint="default" w:ascii="Times New Roman" w:hAnsi="Times New Roman" w:eastAsia="黑体" w:cs="Times New Roman"/>
          <w:color w:val="auto"/>
          <w:sz w:val="32"/>
          <w:szCs w:val="32"/>
          <w:highlight w:val="none"/>
        </w:rPr>
        <w:t>2</w:t>
      </w: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default" w:ascii="Times New Roman" w:hAnsi="Times New Roman" w:eastAsia="方正小标宋简体" w:cs="Times New Roman"/>
          <w:color w:val="auto"/>
          <w:sz w:val="44"/>
          <w:szCs w:val="44"/>
          <w:highlight w:val="none"/>
        </w:rPr>
        <w:t>202</w:t>
      </w:r>
      <w:r>
        <w:rPr>
          <w:rFonts w:hint="default" w:ascii="Times New Roman" w:hAnsi="Times New Roman" w:eastAsia="方正小标宋简体" w:cs="Times New Roman"/>
          <w:color w:val="auto"/>
          <w:sz w:val="44"/>
          <w:szCs w:val="44"/>
          <w:highlight w:val="none"/>
          <w:lang w:val="en-US" w:eastAsia="zh-CN"/>
        </w:rPr>
        <w:t>6</w:t>
      </w:r>
      <w:r>
        <w:rPr>
          <w:rFonts w:hint="eastAsia" w:ascii="方正小标宋简体" w:hAnsi="方正小标宋简体" w:eastAsia="方正小标宋简体" w:cs="方正小标宋简体"/>
          <w:color w:val="auto"/>
          <w:sz w:val="44"/>
          <w:szCs w:val="44"/>
          <w:highlight w:val="none"/>
        </w:rPr>
        <w:t>年医疗卫生机构传染病防治国家随机监督</w:t>
      </w:r>
      <w:r>
        <w:rPr>
          <w:rFonts w:hint="eastAsia" w:ascii="方正小标宋简体" w:hAnsi="方正小标宋简体" w:eastAsia="方正小标宋简体" w:cs="方正小标宋简体"/>
          <w:color w:val="auto"/>
          <w:sz w:val="44"/>
          <w:szCs w:val="44"/>
          <w:highlight w:val="none"/>
          <w:lang w:eastAsia="zh-CN"/>
        </w:rPr>
        <w:t>抽检</w:t>
      </w:r>
      <w:r>
        <w:rPr>
          <w:rFonts w:hint="eastAsia" w:ascii="方正小标宋简体" w:hAnsi="方正小标宋简体" w:eastAsia="方正小标宋简体" w:cs="方正小标宋简体"/>
          <w:color w:val="auto"/>
          <w:sz w:val="44"/>
          <w:szCs w:val="44"/>
          <w:highlight w:val="none"/>
        </w:rPr>
        <w:t>汇总表</w:t>
      </w: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ascii="仿宋" w:hAnsi="仿宋" w:eastAsia="仿宋" w:cs="仿宋"/>
          <w:bCs/>
          <w:color w:val="auto"/>
          <w:szCs w:val="21"/>
          <w:highlight w:val="none"/>
        </w:rPr>
      </w:pPr>
      <w:r>
        <w:rPr>
          <w:rFonts w:hint="eastAsia" w:ascii="仿宋" w:hAnsi="仿宋" w:eastAsia="仿宋" w:cs="仿宋"/>
          <w:bCs/>
          <w:color w:val="auto"/>
          <w:szCs w:val="21"/>
          <w:highlight w:val="none"/>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Cs w:val="21"/>
          <w:highlight w:val="none"/>
          <w:u w:val="single"/>
        </w:rPr>
        <w:t xml:space="preserve">             </w:t>
      </w:r>
      <w:r>
        <w:rPr>
          <w:rFonts w:hint="eastAsia" w:ascii="仿宋" w:hAnsi="仿宋" w:eastAsia="仿宋" w:cs="仿宋"/>
          <w:bCs/>
          <w:color w:val="auto"/>
          <w:szCs w:val="21"/>
          <w:highlight w:val="none"/>
        </w:rPr>
        <w:t xml:space="preserve">   </w:t>
      </w:r>
      <w:r>
        <w:rPr>
          <w:rFonts w:hint="eastAsia" w:ascii="仿宋_GB2312" w:hAnsi="仿宋_GB2312" w:eastAsia="仿宋_GB2312" w:cs="仿宋_GB2312"/>
          <w:bCs/>
          <w:color w:val="auto"/>
          <w:szCs w:val="21"/>
          <w:highlight w:val="none"/>
        </w:rPr>
        <w:t>市</w:t>
      </w:r>
    </w:p>
    <w:tbl>
      <w:tblPr>
        <w:tblStyle w:val="20"/>
        <w:tblW w:w="13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1"/>
        <w:gridCol w:w="1474"/>
        <w:gridCol w:w="1474"/>
        <w:gridCol w:w="1474"/>
        <w:gridCol w:w="1474"/>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11" w:type="dxa"/>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监督对象</w:t>
            </w:r>
          </w:p>
        </w:tc>
        <w:tc>
          <w:tcPr>
            <w:tcW w:w="1474" w:type="dxa"/>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rPr>
              <w:t>辖区机构数</w:t>
            </w:r>
            <w:r>
              <w:rPr>
                <w:rFonts w:hint="eastAsia" w:ascii="黑体" w:hAnsi="黑体" w:eastAsia="黑体" w:cs="黑体"/>
                <w:color w:val="auto"/>
                <w:sz w:val="21"/>
                <w:szCs w:val="21"/>
                <w:highlight w:val="none"/>
                <w:lang w:eastAsia="zh-CN"/>
              </w:rPr>
              <w:t>（家）</w:t>
            </w:r>
          </w:p>
        </w:tc>
        <w:tc>
          <w:tcPr>
            <w:tcW w:w="1474" w:type="dxa"/>
            <w:noWrap w:val="0"/>
            <w:vAlign w:val="center"/>
          </w:tcPr>
          <w:p>
            <w:pPr>
              <w:spacing w:line="320" w:lineRule="exact"/>
              <w:jc w:val="center"/>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抽查任务机构数（家）</w:t>
            </w:r>
          </w:p>
        </w:tc>
        <w:tc>
          <w:tcPr>
            <w:tcW w:w="1474" w:type="dxa"/>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eastAsia="zh-CN"/>
              </w:rPr>
              <w:t>抽检任务机构数（家）</w:t>
            </w:r>
          </w:p>
        </w:tc>
        <w:tc>
          <w:tcPr>
            <w:tcW w:w="1474" w:type="dxa"/>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eastAsia="zh-CN"/>
              </w:rPr>
              <w:t>完成抽检机构数（家）</w:t>
            </w:r>
          </w:p>
        </w:tc>
        <w:tc>
          <w:tcPr>
            <w:tcW w:w="1474" w:type="dxa"/>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eastAsia="zh-CN"/>
              </w:rPr>
              <w:t>抽检件数</w:t>
            </w:r>
          </w:p>
        </w:tc>
        <w:tc>
          <w:tcPr>
            <w:tcW w:w="1474" w:type="dxa"/>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eastAsia="zh-CN"/>
              </w:rPr>
              <w:t>合格件数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三级医院</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二级医院</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一级医院</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vMerge w:val="restart"/>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基层医疗机构</w:t>
            </w:r>
          </w:p>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（其中诊所）</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vMerge w:val="continue"/>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疾控机构</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采供血机构</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合计</w:t>
            </w: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c>
          <w:tcPr>
            <w:tcW w:w="1474" w:type="dxa"/>
            <w:noWrap w:val="0"/>
            <w:vAlign w:val="top"/>
          </w:tcPr>
          <w:p>
            <w:pPr>
              <w:spacing w:line="320" w:lineRule="exact"/>
              <w:jc w:val="center"/>
              <w:rPr>
                <w:rFonts w:hint="eastAsia" w:ascii="仿宋_GB2312" w:hAnsi="仿宋_GB2312" w:eastAsia="仿宋_GB2312" w:cs="仿宋_GB2312"/>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before="65" w:beforeLines="20" w:line="520" w:lineRule="exact"/>
        <w:textAlignment w:val="auto"/>
        <w:rPr>
          <w:rFonts w:hint="eastAsia" w:ascii="黑体" w:hAnsi="黑体" w:eastAsia="黑体"/>
          <w:color w:val="auto"/>
          <w:sz w:val="32"/>
          <w:szCs w:val="32"/>
          <w:highlight w:val="none"/>
        </w:rPr>
      </w:pPr>
      <w:r>
        <w:rPr>
          <w:rFonts w:hint="eastAsia" w:ascii="仿宋_GB2312" w:hAnsi="仿宋_GB2312" w:eastAsia="仿宋_GB2312" w:cs="仿宋_GB2312"/>
          <w:bCs/>
          <w:color w:val="auto"/>
          <w:sz w:val="21"/>
          <w:szCs w:val="21"/>
          <w:highlight w:val="none"/>
        </w:rPr>
        <w:t xml:space="preserve"> 填表单位（盖章）：       </w:t>
      </w:r>
      <w:r>
        <w:rPr>
          <w:rFonts w:hint="eastAsia" w:ascii="仿宋_GB2312" w:hAnsi="仿宋_GB2312" w:cs="仿宋_GB2312"/>
          <w:bCs/>
          <w:color w:val="auto"/>
          <w:sz w:val="21"/>
          <w:szCs w:val="21"/>
          <w:highlight w:val="none"/>
          <w:lang w:val="en-US" w:eastAsia="zh-CN"/>
        </w:rPr>
        <w:t xml:space="preserve">             </w:t>
      </w:r>
      <w:r>
        <w:rPr>
          <w:rFonts w:hint="eastAsia" w:ascii="仿宋_GB2312" w:hAnsi="仿宋_GB2312" w:eastAsia="仿宋_GB2312" w:cs="仿宋_GB2312"/>
          <w:bCs/>
          <w:color w:val="auto"/>
          <w:sz w:val="21"/>
          <w:szCs w:val="21"/>
          <w:highlight w:val="none"/>
        </w:rPr>
        <w:t xml:space="preserve">  填表人：　   </w:t>
      </w:r>
      <w:r>
        <w:rPr>
          <w:rFonts w:hint="eastAsia" w:ascii="仿宋_GB2312" w:hAnsi="仿宋_GB2312" w:cs="仿宋_GB2312"/>
          <w:bCs/>
          <w:color w:val="auto"/>
          <w:sz w:val="21"/>
          <w:szCs w:val="21"/>
          <w:highlight w:val="none"/>
          <w:lang w:val="en-US" w:eastAsia="zh-CN"/>
        </w:rPr>
        <w:t xml:space="preserve">         </w:t>
      </w:r>
      <w:r>
        <w:rPr>
          <w:rFonts w:hint="eastAsia" w:ascii="仿宋_GB2312" w:hAnsi="仿宋_GB2312" w:eastAsia="仿宋_GB2312" w:cs="仿宋_GB2312"/>
          <w:bCs/>
          <w:color w:val="auto"/>
          <w:sz w:val="21"/>
          <w:szCs w:val="21"/>
          <w:highlight w:val="none"/>
        </w:rPr>
        <w:t xml:space="preserve">   　联系电话：  </w:t>
      </w:r>
      <w:r>
        <w:rPr>
          <w:rFonts w:hint="eastAsia" w:ascii="仿宋_GB2312" w:hAnsi="仿宋_GB2312" w:cs="仿宋_GB2312"/>
          <w:bCs/>
          <w:color w:val="auto"/>
          <w:sz w:val="21"/>
          <w:szCs w:val="21"/>
          <w:highlight w:val="none"/>
          <w:lang w:val="en-US" w:eastAsia="zh-CN"/>
        </w:rPr>
        <w:t xml:space="preserve">     </w:t>
      </w:r>
      <w:r>
        <w:rPr>
          <w:rFonts w:hint="eastAsia" w:ascii="仿宋_GB2312" w:hAnsi="仿宋_GB2312" w:eastAsia="仿宋_GB2312" w:cs="仿宋_GB2312"/>
          <w:bCs/>
          <w:color w:val="auto"/>
          <w:sz w:val="21"/>
          <w:szCs w:val="21"/>
          <w:highlight w:val="none"/>
        </w:rPr>
        <w:t xml:space="preserve">      填表日期：  </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eastAsia="黑体" w:cs="Times New Roman"/>
          <w:color w:val="auto"/>
          <w:sz w:val="32"/>
          <w:szCs w:val="32"/>
          <w:highlight w:val="none"/>
          <w:lang w:val="en-US" w:eastAsia="zh-CN"/>
        </w:rPr>
      </w:pPr>
      <w:r>
        <w:rPr>
          <w:rFonts w:hint="eastAsia" w:ascii="黑体" w:hAnsi="黑体" w:eastAsia="黑体"/>
          <w:color w:val="auto"/>
          <w:sz w:val="32"/>
          <w:szCs w:val="32"/>
          <w:highlight w:val="none"/>
        </w:rPr>
        <w:br w:type="page"/>
      </w:r>
      <w:r>
        <w:rPr>
          <w:rFonts w:hint="eastAsia" w:ascii="黑体" w:hAnsi="黑体" w:eastAsia="黑体"/>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3</w:t>
      </w: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auto"/>
          <w:sz w:val="44"/>
          <w:szCs w:val="44"/>
          <w:highlight w:val="none"/>
        </w:rPr>
      </w:pPr>
      <w:r>
        <w:rPr>
          <w:rFonts w:hint="default" w:ascii="Times New Roman" w:hAnsi="Times New Roman" w:eastAsia="方正小标宋简体" w:cs="Times New Roman"/>
          <w:color w:val="auto"/>
          <w:sz w:val="44"/>
          <w:szCs w:val="44"/>
          <w:highlight w:val="none"/>
        </w:rPr>
        <w:t>202</w:t>
      </w:r>
      <w:r>
        <w:rPr>
          <w:rFonts w:hint="default" w:ascii="Times New Roman" w:hAnsi="Times New Roman" w:eastAsia="方正小标宋简体" w:cs="Times New Roman"/>
          <w:color w:val="auto"/>
          <w:sz w:val="44"/>
          <w:szCs w:val="44"/>
          <w:highlight w:val="none"/>
          <w:lang w:val="en-US" w:eastAsia="zh-CN"/>
        </w:rPr>
        <w:t>6</w:t>
      </w:r>
      <w:r>
        <w:rPr>
          <w:rFonts w:hint="eastAsia" w:ascii="方正小标宋简体" w:hAnsi="方正小标宋简体" w:eastAsia="方正小标宋简体" w:cs="方正小标宋简体"/>
          <w:color w:val="auto"/>
          <w:sz w:val="44"/>
          <w:szCs w:val="44"/>
          <w:highlight w:val="none"/>
        </w:rPr>
        <w:t>年医疗卫生机构传染病防治国家随机监督抽查案件查处汇总表</w:t>
      </w:r>
    </w:p>
    <w:p>
      <w:pPr>
        <w:pStyle w:val="2"/>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ascii="仿宋" w:hAnsi="仿宋" w:eastAsia="仿宋" w:cs="仿宋"/>
          <w:bCs/>
          <w:color w:val="auto"/>
          <w:szCs w:val="21"/>
          <w:highlight w:val="none"/>
        </w:rPr>
      </w:pPr>
      <w:r>
        <w:rPr>
          <w:rFonts w:hint="eastAsia" w:ascii="仿宋" w:hAnsi="仿宋" w:eastAsia="仿宋" w:cs="仿宋"/>
          <w:bCs/>
          <w:color w:val="auto"/>
          <w:szCs w:val="21"/>
          <w:highlight w:val="none"/>
        </w:rPr>
        <w:t xml:space="preserve">   </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Cs w:val="21"/>
          <w:highlight w:val="none"/>
          <w:u w:val="single"/>
        </w:rPr>
        <w:t xml:space="preserve">             </w:t>
      </w:r>
      <w:r>
        <w:rPr>
          <w:rFonts w:hint="eastAsia" w:ascii="仿宋" w:hAnsi="仿宋" w:eastAsia="仿宋" w:cs="仿宋"/>
          <w:bCs/>
          <w:color w:val="auto"/>
          <w:szCs w:val="21"/>
          <w:highlight w:val="none"/>
        </w:rPr>
        <w:t xml:space="preserve"> </w:t>
      </w:r>
      <w:r>
        <w:rPr>
          <w:rFonts w:hint="eastAsia" w:ascii="仿宋_GB2312" w:hAnsi="仿宋_GB2312" w:eastAsia="仿宋_GB2312" w:cs="仿宋_GB2312"/>
          <w:bCs/>
          <w:color w:val="auto"/>
          <w:szCs w:val="21"/>
          <w:highlight w:val="none"/>
        </w:rPr>
        <w:t>市</w:t>
      </w:r>
    </w:p>
    <w:tbl>
      <w:tblPr>
        <w:tblStyle w:val="20"/>
        <w:tblW w:w="13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51"/>
        <w:gridCol w:w="1191"/>
        <w:gridCol w:w="1134"/>
        <w:gridCol w:w="1134"/>
        <w:gridCol w:w="1328"/>
        <w:gridCol w:w="897"/>
        <w:gridCol w:w="840"/>
        <w:gridCol w:w="737"/>
        <w:gridCol w:w="737"/>
        <w:gridCol w:w="737"/>
        <w:gridCol w:w="737"/>
        <w:gridCol w:w="1028"/>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0" w:hRule="atLeast"/>
          <w:jc w:val="center"/>
        </w:trPr>
        <w:tc>
          <w:tcPr>
            <w:tcW w:w="2651" w:type="dxa"/>
            <w:vMerge w:val="restart"/>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监督对象</w:t>
            </w:r>
          </w:p>
        </w:tc>
        <w:tc>
          <w:tcPr>
            <w:tcW w:w="1191" w:type="dxa"/>
            <w:vMerge w:val="restart"/>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rPr>
              <w:t>辖区机构数</w:t>
            </w:r>
            <w:r>
              <w:rPr>
                <w:rFonts w:hint="eastAsia" w:ascii="黑体" w:hAnsi="黑体" w:eastAsia="黑体" w:cs="黑体"/>
                <w:color w:val="auto"/>
                <w:sz w:val="21"/>
                <w:szCs w:val="21"/>
                <w:highlight w:val="none"/>
                <w:lang w:eastAsia="zh-CN"/>
              </w:rPr>
              <w:t>（家）</w:t>
            </w:r>
          </w:p>
        </w:tc>
        <w:tc>
          <w:tcPr>
            <w:tcW w:w="1134" w:type="dxa"/>
            <w:vMerge w:val="restart"/>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eastAsia="zh-CN"/>
              </w:rPr>
              <w:t>完成抽查</w:t>
            </w:r>
            <w:r>
              <w:rPr>
                <w:rFonts w:hint="eastAsia" w:ascii="黑体" w:hAnsi="黑体" w:eastAsia="黑体" w:cs="黑体"/>
                <w:color w:val="auto"/>
                <w:sz w:val="21"/>
                <w:szCs w:val="21"/>
                <w:highlight w:val="none"/>
                <w:lang w:eastAsia="zh-CN"/>
              </w:rPr>
              <w:br w:type="textWrapping"/>
            </w:r>
            <w:r>
              <w:rPr>
                <w:rFonts w:hint="eastAsia" w:ascii="黑体" w:hAnsi="黑体" w:eastAsia="黑体" w:cs="黑体"/>
                <w:color w:val="auto"/>
                <w:sz w:val="21"/>
                <w:szCs w:val="21"/>
                <w:highlight w:val="none"/>
              </w:rPr>
              <w:t>机构数</w:t>
            </w:r>
            <w:r>
              <w:rPr>
                <w:rFonts w:hint="eastAsia" w:ascii="黑体" w:hAnsi="黑体" w:eastAsia="黑体" w:cs="黑体"/>
                <w:color w:val="auto"/>
                <w:sz w:val="21"/>
                <w:szCs w:val="21"/>
                <w:highlight w:val="none"/>
                <w:lang w:eastAsia="zh-CN"/>
              </w:rPr>
              <w:t>（家）</w:t>
            </w:r>
          </w:p>
        </w:tc>
        <w:tc>
          <w:tcPr>
            <w:tcW w:w="1134" w:type="dxa"/>
            <w:vMerge w:val="restart"/>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eastAsia="zh-CN"/>
              </w:rPr>
              <w:t>完成抽检机构数（家）</w:t>
            </w:r>
          </w:p>
        </w:tc>
        <w:tc>
          <w:tcPr>
            <w:tcW w:w="1328" w:type="dxa"/>
            <w:vMerge w:val="restart"/>
            <w:noWrap w:val="0"/>
            <w:vAlign w:val="center"/>
          </w:tcPr>
          <w:p>
            <w:pPr>
              <w:spacing w:line="320" w:lineRule="exact"/>
              <w:jc w:val="center"/>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rPr>
              <w:t>发现违法行为机构数</w:t>
            </w:r>
            <w:r>
              <w:rPr>
                <w:rFonts w:hint="eastAsia" w:ascii="黑体" w:hAnsi="黑体" w:eastAsia="黑体" w:cs="黑体"/>
                <w:color w:val="auto"/>
                <w:sz w:val="21"/>
                <w:szCs w:val="21"/>
                <w:highlight w:val="none"/>
                <w:lang w:eastAsia="zh-CN"/>
              </w:rPr>
              <w:t>（家）</w:t>
            </w:r>
          </w:p>
        </w:tc>
        <w:tc>
          <w:tcPr>
            <w:tcW w:w="897" w:type="dxa"/>
            <w:vMerge w:val="restart"/>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案件数</w:t>
            </w:r>
          </w:p>
        </w:tc>
        <w:tc>
          <w:tcPr>
            <w:tcW w:w="840" w:type="dxa"/>
            <w:vMerge w:val="restart"/>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行政</w:t>
            </w:r>
          </w:p>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处分</w:t>
            </w:r>
          </w:p>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人员数</w:t>
            </w:r>
          </w:p>
        </w:tc>
        <w:tc>
          <w:tcPr>
            <w:tcW w:w="4713" w:type="dxa"/>
            <w:gridSpan w:val="6"/>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4" w:hRule="atLeast"/>
          <w:jc w:val="center"/>
        </w:trPr>
        <w:tc>
          <w:tcPr>
            <w:tcW w:w="2651"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1191"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1134"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1134"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1328"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897"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840" w:type="dxa"/>
            <w:vMerge w:val="continue"/>
            <w:noWrap w:val="0"/>
            <w:vAlign w:val="center"/>
          </w:tcPr>
          <w:p>
            <w:pPr>
              <w:spacing w:line="320" w:lineRule="exact"/>
              <w:jc w:val="center"/>
              <w:rPr>
                <w:rFonts w:hint="eastAsia" w:ascii="黑体" w:hAnsi="黑体" w:eastAsia="黑体" w:cs="黑体"/>
                <w:color w:val="auto"/>
                <w:sz w:val="21"/>
                <w:szCs w:val="21"/>
                <w:highlight w:val="none"/>
              </w:rPr>
            </w:pPr>
          </w:p>
        </w:tc>
        <w:tc>
          <w:tcPr>
            <w:tcW w:w="737" w:type="dxa"/>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吊证</w:t>
            </w:r>
          </w:p>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（家）</w:t>
            </w:r>
          </w:p>
        </w:tc>
        <w:tc>
          <w:tcPr>
            <w:tcW w:w="737" w:type="dxa"/>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警告（家）</w:t>
            </w:r>
          </w:p>
        </w:tc>
        <w:tc>
          <w:tcPr>
            <w:tcW w:w="737" w:type="dxa"/>
            <w:noWrap w:val="0"/>
            <w:vAlign w:val="center"/>
          </w:tcPr>
          <w:p>
            <w:pPr>
              <w:spacing w:line="320" w:lineRule="exact"/>
              <w:jc w:val="center"/>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通报批评（家）</w:t>
            </w:r>
          </w:p>
        </w:tc>
        <w:tc>
          <w:tcPr>
            <w:tcW w:w="737" w:type="dxa"/>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罚款（家）</w:t>
            </w:r>
          </w:p>
        </w:tc>
        <w:tc>
          <w:tcPr>
            <w:tcW w:w="1028" w:type="dxa"/>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罚款金额</w:t>
            </w:r>
          </w:p>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（万元）</w:t>
            </w:r>
          </w:p>
        </w:tc>
        <w:tc>
          <w:tcPr>
            <w:tcW w:w="737" w:type="dxa"/>
            <w:noWrap w:val="0"/>
            <w:vAlign w:val="center"/>
          </w:tcPr>
          <w:p>
            <w:pPr>
              <w:spacing w:line="32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4" w:hRule="atLeast"/>
          <w:jc w:val="center"/>
        </w:trPr>
        <w:tc>
          <w:tcPr>
            <w:tcW w:w="265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三级医院</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 w:hRule="atLeast"/>
          <w:jc w:val="center"/>
        </w:trPr>
        <w:tc>
          <w:tcPr>
            <w:tcW w:w="265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二级医院</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 w:hRule="atLeast"/>
          <w:jc w:val="center"/>
        </w:trPr>
        <w:tc>
          <w:tcPr>
            <w:tcW w:w="265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一级医院</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 w:hRule="atLeast"/>
          <w:jc w:val="center"/>
        </w:trPr>
        <w:tc>
          <w:tcPr>
            <w:tcW w:w="2651" w:type="dxa"/>
            <w:vMerge w:val="restart"/>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基层医疗机构</w:t>
            </w:r>
          </w:p>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（其中诊所）</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 w:hRule="atLeast"/>
          <w:jc w:val="center"/>
        </w:trPr>
        <w:tc>
          <w:tcPr>
            <w:tcW w:w="2651" w:type="dxa"/>
            <w:vMerge w:val="continue"/>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65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疾控机构</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65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采供血机构</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65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合计</w:t>
            </w:r>
          </w:p>
        </w:tc>
        <w:tc>
          <w:tcPr>
            <w:tcW w:w="1191"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134"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3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9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840"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1028"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c>
          <w:tcPr>
            <w:tcW w:w="737" w:type="dxa"/>
            <w:noWrap w:val="0"/>
            <w:vAlign w:val="center"/>
          </w:tcPr>
          <w:p>
            <w:pPr>
              <w:spacing w:line="320" w:lineRule="exact"/>
              <w:jc w:val="center"/>
              <w:rPr>
                <w:rFonts w:hint="eastAsia" w:ascii="仿宋_GB2312" w:hAnsi="仿宋_GB2312" w:eastAsia="仿宋_GB2312" w:cs="仿宋_GB2312"/>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before="65" w:beforeLines="20" w:line="520" w:lineRule="exact"/>
        <w:textAlignment w:val="auto"/>
        <w:rPr>
          <w:rFonts w:hint="eastAsia"/>
          <w:color w:val="auto"/>
          <w:highlight w:val="none"/>
          <w:lang w:val="en-US" w:eastAsia="zh-CN"/>
        </w:rPr>
      </w:pPr>
      <w:r>
        <w:rPr>
          <w:rFonts w:hint="eastAsia" w:ascii="仿宋_GB2312" w:hAnsi="仿宋_GB2312" w:eastAsia="仿宋_GB2312" w:cs="仿宋_GB2312"/>
          <w:bCs/>
          <w:color w:val="auto"/>
          <w:sz w:val="21"/>
          <w:szCs w:val="21"/>
          <w:highlight w:val="none"/>
          <w:lang w:val="en-US" w:eastAsia="zh-CN"/>
        </w:rPr>
        <w:t>填</w:t>
      </w:r>
      <w:r>
        <w:rPr>
          <w:rFonts w:hint="eastAsia" w:ascii="仿宋_GB2312" w:hAnsi="仿宋_GB2312" w:eastAsia="仿宋_GB2312" w:cs="仿宋_GB2312"/>
          <w:bCs/>
          <w:color w:val="auto"/>
          <w:sz w:val="21"/>
          <w:szCs w:val="21"/>
          <w:highlight w:val="none"/>
        </w:rPr>
        <w:t xml:space="preserve">表单位（盖章）：            填表人：　      　　　　 联系电话：       填表日期：  </w:t>
      </w:r>
      <w:bookmarkStart w:id="0" w:name="_GoBack"/>
      <w:bookmarkEnd w:id="0"/>
    </w:p>
    <w:sectPr>
      <w:headerReference r:id="rId5" w:type="default"/>
      <w:footerReference r:id="rId6" w:type="default"/>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ascii="Times New Roman" w:hAnsi="Times New Roman" w:cs="Times New Roma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LNJWO7QAAAABQEAAA8AAAAAAAAA&#10;AQAgAAAAOAAAAGRycy9kb3ducmV2LnhtbFBLAQIUABQAAAAIAIdO4kAen5cRygEAAHkDAAAOAAAA&#10;AAAAAAEAIAAAADUBAABkcnMvZTJvRG9jLnhtbFBLBQYAAAAABgAGAFkBAABxBQ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6"/>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9C90"/>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F73E8C"/>
    <w:rsid w:val="D97F6705"/>
    <w:rsid w:val="D9DD3B99"/>
    <w:rsid w:val="DAC3FE19"/>
    <w:rsid w:val="DB37A43F"/>
    <w:rsid w:val="DB5E9872"/>
    <w:rsid w:val="DB63AA3A"/>
    <w:rsid w:val="DBB70168"/>
    <w:rsid w:val="DBFFE779"/>
    <w:rsid w:val="DCC724F8"/>
    <w:rsid w:val="DD5FE409"/>
    <w:rsid w:val="DD6655DA"/>
    <w:rsid w:val="DD9F6B52"/>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2025-05-19T17:38:00Z</dcterms:created>
  <dc:creator>DELL</dc:creator>
  <cp:lastModifiedBy>gxxc</cp:lastModifiedBy>
  <cp:lastPrinted>2026-04-30T17:09:00Z</cp:lastPrinted>
  <dcterms:modified xsi:type="dcterms:W3CDTF">2026-04-30T17:01:58Z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