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hd w:val="clear" w:color="auto" w:fill="auto"/>
        <w:kinsoku/>
        <w:wordWrap/>
        <w:overflowPunct/>
        <w:topLinePunct w:val="0"/>
        <w:autoSpaceDE/>
        <w:autoSpaceDN/>
        <w:bidi w:val="0"/>
        <w:adjustRightInd/>
        <w:snapToGrid/>
        <w:spacing w:line="560" w:lineRule="exact"/>
        <w:textAlignment w:val="auto"/>
        <w:rPr>
          <w:rFonts w:hint="default" w:eastAsia="仿宋_GB2312"/>
          <w:color w:val="auto"/>
          <w:highlight w:val="none"/>
          <w:lang w:val="en-US" w:eastAsia="zh-CN"/>
        </w:rPr>
      </w:pPr>
      <w:r>
        <w:rPr>
          <w:rFonts w:hint="eastAsia" w:ascii="黑体" w:hAnsi="黑体" w:eastAsia="黑体" w:cs="黑体"/>
          <w:color w:val="auto"/>
          <w:highlight w:val="none"/>
          <w:lang w:eastAsia="zh-CN"/>
        </w:rPr>
        <w:t>附件</w:t>
      </w:r>
      <w:r>
        <w:rPr>
          <w:rFonts w:hint="default" w:ascii="Times New Roman" w:hAnsi="Times New Roman" w:cs="Times New Roman"/>
          <w:color w:val="auto"/>
          <w:highlight w:val="none"/>
          <w:lang w:val="en-US" w:eastAsia="zh-CN"/>
        </w:rPr>
        <w:t>2</w:t>
      </w:r>
    </w:p>
    <w:p>
      <w:pPr>
        <w:pStyle w:val="4"/>
        <w:keepNext w:val="0"/>
        <w:keepLines w:val="0"/>
        <w:pageBreakBefore w:val="0"/>
        <w:widowControl w:val="0"/>
        <w:shd w:val="clear" w:color="auto" w:fill="auto"/>
        <w:kinsoku/>
        <w:wordWrap/>
        <w:overflowPunct/>
        <w:topLinePunct w:val="0"/>
        <w:autoSpaceDE/>
        <w:autoSpaceDN/>
        <w:bidi w:val="0"/>
        <w:adjustRightInd/>
        <w:snapToGrid/>
        <w:spacing w:before="0" w:after="0" w:line="560" w:lineRule="exact"/>
        <w:textAlignment w:val="auto"/>
        <w:rPr>
          <w:rFonts w:hint="eastAsia"/>
          <w:color w:val="auto"/>
          <w:highlight w:val="none"/>
          <w:lang w:val="en-US" w:eastAsia="zh-CN"/>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color w:val="auto"/>
          <w:sz w:val="44"/>
          <w:szCs w:val="44"/>
          <w:highlight w:val="none"/>
        </w:rPr>
      </w:pPr>
      <w:r>
        <w:rPr>
          <w:rFonts w:hint="default" w:ascii="Times New Roman" w:hAnsi="Times New Roman" w:eastAsia="方正小标宋简体" w:cs="Times New Roman"/>
          <w:b w:val="0"/>
          <w:bCs/>
          <w:color w:val="auto"/>
          <w:sz w:val="44"/>
          <w:szCs w:val="44"/>
          <w:highlight w:val="none"/>
          <w:lang w:eastAsia="zh-CN"/>
        </w:rPr>
        <w:t>2026</w:t>
      </w:r>
      <w:r>
        <w:rPr>
          <w:rFonts w:hint="eastAsia" w:ascii="方正小标宋简体" w:hAnsi="方正小标宋简体" w:eastAsia="方正小标宋简体" w:cs="方正小标宋简体"/>
          <w:b w:val="0"/>
          <w:bCs/>
          <w:color w:val="auto"/>
          <w:sz w:val="44"/>
          <w:szCs w:val="44"/>
          <w:highlight w:val="none"/>
        </w:rPr>
        <w:t>年</w:t>
      </w:r>
      <w:r>
        <w:rPr>
          <w:rFonts w:hint="eastAsia" w:ascii="方正小标宋简体" w:hAnsi="方正小标宋简体" w:eastAsia="方正小标宋简体" w:cs="方正小标宋简体"/>
          <w:b w:val="0"/>
          <w:bCs/>
          <w:color w:val="auto"/>
          <w:sz w:val="44"/>
          <w:szCs w:val="44"/>
          <w:highlight w:val="none"/>
          <w:lang w:val="en-US" w:eastAsia="zh-CN"/>
        </w:rPr>
        <w:t>广西实施</w:t>
      </w:r>
      <w:r>
        <w:rPr>
          <w:rFonts w:hint="eastAsia" w:ascii="方正小标宋简体" w:hAnsi="方正小标宋简体" w:eastAsia="方正小标宋简体" w:cs="方正小标宋简体"/>
          <w:b w:val="0"/>
          <w:bCs/>
          <w:color w:val="auto"/>
          <w:sz w:val="44"/>
          <w:szCs w:val="44"/>
          <w:highlight w:val="none"/>
        </w:rPr>
        <w:t>职业卫生</w:t>
      </w:r>
      <w:r>
        <w:rPr>
          <w:rFonts w:hint="eastAsia" w:ascii="方正小标宋简体" w:hAnsi="方正小标宋简体" w:eastAsia="方正小标宋简体" w:cs="方正小标宋简体"/>
          <w:b w:val="0"/>
          <w:bCs/>
          <w:color w:val="auto"/>
          <w:sz w:val="44"/>
          <w:szCs w:val="44"/>
          <w:highlight w:val="none"/>
          <w:lang w:eastAsia="zh-CN"/>
        </w:rPr>
        <w:t>和</w:t>
      </w:r>
      <w:r>
        <w:rPr>
          <w:rFonts w:hint="eastAsia" w:ascii="方正小标宋简体" w:hAnsi="方正小标宋简体" w:eastAsia="方正小标宋简体" w:cs="方正小标宋简体"/>
          <w:b w:val="0"/>
          <w:bCs/>
          <w:color w:val="auto"/>
          <w:sz w:val="44"/>
          <w:szCs w:val="44"/>
          <w:highlight w:val="none"/>
        </w:rPr>
        <w:t>放射卫生</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b w:val="0"/>
          <w:bCs/>
          <w:color w:val="auto"/>
          <w:sz w:val="44"/>
          <w:szCs w:val="44"/>
          <w:highlight w:val="none"/>
        </w:rPr>
      </w:pPr>
      <w:r>
        <w:rPr>
          <w:rFonts w:hint="eastAsia" w:ascii="方正小标宋简体" w:hAnsi="方正小标宋简体" w:eastAsia="方正小标宋简体" w:cs="方正小标宋简体"/>
          <w:b w:val="0"/>
          <w:bCs/>
          <w:color w:val="auto"/>
          <w:sz w:val="44"/>
          <w:szCs w:val="44"/>
          <w:highlight w:val="none"/>
        </w:rPr>
        <w:t>国家随机监督抽查计划</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黑体" w:hAnsi="黑体" w:eastAsia="黑体" w:cs="黑体"/>
          <w:bCs/>
          <w:color w:val="auto"/>
          <w:sz w:val="32"/>
          <w:szCs w:val="32"/>
          <w:highlight w:val="none"/>
        </w:rPr>
      </w:pP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Times New Roman"/>
          <w:color w:val="auto"/>
          <w:sz w:val="32"/>
          <w:szCs w:val="32"/>
          <w:highlight w:val="none"/>
        </w:rPr>
      </w:pPr>
      <w:r>
        <w:rPr>
          <w:rFonts w:hint="eastAsia" w:ascii="黑体" w:hAnsi="黑体" w:eastAsia="黑体" w:cs="黑体"/>
          <w:bCs/>
          <w:color w:val="auto"/>
          <w:sz w:val="32"/>
          <w:szCs w:val="32"/>
          <w:highlight w:val="none"/>
        </w:rPr>
        <w:t>一、</w:t>
      </w:r>
      <w:r>
        <w:rPr>
          <w:rFonts w:hint="eastAsia" w:ascii="黑体" w:hAnsi="黑体" w:eastAsia="黑体" w:cs="Times New Roman"/>
          <w:color w:val="auto"/>
          <w:sz w:val="32"/>
          <w:szCs w:val="32"/>
          <w:highlight w:val="none"/>
        </w:rPr>
        <w:t>监督检查对象</w:t>
      </w:r>
    </w:p>
    <w:p>
      <w:pPr>
        <w:pStyle w:val="2"/>
        <w:keepNext w:val="0"/>
        <w:keepLines w:val="0"/>
        <w:pageBreakBefore w:val="0"/>
        <w:widowControl w:val="0"/>
        <w:shd w:val="clear" w:color="auto" w:fill="auto"/>
        <w:kinsoku/>
        <w:wordWrap/>
        <w:overflowPunct/>
        <w:topLinePunct w:val="0"/>
        <w:autoSpaceDE/>
        <w:autoSpaceDN/>
        <w:bidi w:val="0"/>
        <w:adjustRightInd/>
        <w:snapToGrid/>
        <w:spacing w:after="0" w:line="560" w:lineRule="exact"/>
        <w:ind w:left="0" w:leftChars="0" w:firstLine="616" w:firstLineChars="200"/>
        <w:jc w:val="both"/>
        <w:textAlignment w:val="auto"/>
        <w:outlineLvl w:val="0"/>
        <w:rPr>
          <w:rFonts w:hint="eastAsia" w:ascii="黑体" w:hAnsi="黑体" w:eastAsia="黑体" w:cs="黑体"/>
          <w:bCs/>
          <w:color w:val="auto"/>
          <w:sz w:val="32"/>
          <w:szCs w:val="32"/>
          <w:highlight w:val="none"/>
          <w:lang w:val="en-US" w:eastAsia="zh-CN"/>
        </w:rPr>
      </w:pPr>
      <w:r>
        <w:rPr>
          <w:rFonts w:hint="eastAsia"/>
          <w:color w:val="auto"/>
          <w:highlight w:val="none"/>
        </w:rPr>
        <w:t>用人单位抽取数量原则上不低</w:t>
      </w:r>
      <w:r>
        <w:rPr>
          <w:rFonts w:hint="eastAsia" w:ascii="Times New Roman" w:hAnsi="Times New Roman" w:eastAsia="仿宋_GB2312" w:cs="Times New Roman"/>
          <w:color w:val="auto"/>
          <w:kern w:val="2"/>
          <w:sz w:val="32"/>
          <w:szCs w:val="32"/>
          <w:u w:val="none"/>
          <w:lang w:val="en-US" w:eastAsia="zh-CN" w:bidi="ar-SA"/>
        </w:rPr>
        <w:t>于</w:t>
      </w:r>
      <w:r>
        <w:rPr>
          <w:rFonts w:hint="default" w:ascii="Times New Roman" w:hAnsi="Times New Roman" w:eastAsia="仿宋_GB2312" w:cs="Times New Roman"/>
          <w:color w:val="auto"/>
          <w:kern w:val="2"/>
          <w:sz w:val="32"/>
          <w:szCs w:val="32"/>
          <w:u w:val="none"/>
          <w:lang w:val="en-US" w:eastAsia="zh-CN" w:bidi="ar-SA"/>
        </w:rPr>
        <w:t>3450</w:t>
      </w:r>
      <w:r>
        <w:rPr>
          <w:rFonts w:hint="eastAsia" w:ascii="Times New Roman" w:hAnsi="Times New Roman" w:eastAsia="仿宋_GB2312" w:cs="Times New Roman"/>
          <w:color w:val="auto"/>
          <w:kern w:val="2"/>
          <w:sz w:val="32"/>
          <w:szCs w:val="32"/>
          <w:u w:val="none"/>
          <w:lang w:val="en-US" w:eastAsia="zh-CN" w:bidi="ar-SA"/>
        </w:rPr>
        <w:t>家，上一年度职业病及危害因素监测工作中发现职业病和（或）疑似职业病的单位抽查比例为</w:t>
      </w:r>
      <w:r>
        <w:rPr>
          <w:rFonts w:hint="default" w:ascii="Times New Roman" w:hAnsi="Times New Roman" w:eastAsia="仿宋_GB2312" w:cs="Times New Roman"/>
          <w:color w:val="auto"/>
          <w:kern w:val="2"/>
          <w:sz w:val="32"/>
          <w:szCs w:val="32"/>
          <w:u w:val="none"/>
          <w:lang w:val="en-US" w:eastAsia="zh-CN" w:bidi="ar-SA"/>
        </w:rPr>
        <w:t>100%</w:t>
      </w:r>
      <w:r>
        <w:rPr>
          <w:rFonts w:hint="eastAsia" w:ascii="Times New Roman" w:hAnsi="Times New Roman" w:eastAsia="仿宋_GB2312" w:cs="Times New Roman"/>
          <w:color w:val="auto"/>
          <w:kern w:val="2"/>
          <w:sz w:val="32"/>
          <w:szCs w:val="32"/>
          <w:u w:val="none"/>
          <w:lang w:val="en-US" w:eastAsia="zh-CN" w:bidi="ar-SA"/>
        </w:rPr>
        <w:t>。增加伽玛射线移动探伤单位等重点工业放射应用单位、职业病危害综合风险评估丙类单位抽查比例。职业卫生、放射卫生技术服务机构、职业健康检查机构、职业病诊断机构抽查比例为</w:t>
      </w:r>
      <w:r>
        <w:rPr>
          <w:rFonts w:hint="default" w:ascii="Times New Roman" w:hAnsi="Times New Roman" w:eastAsia="仿宋_GB2312" w:cs="Times New Roman"/>
          <w:color w:val="auto"/>
          <w:kern w:val="2"/>
          <w:sz w:val="32"/>
          <w:szCs w:val="32"/>
          <w:u w:val="none"/>
          <w:lang w:val="en-US" w:eastAsia="zh-CN" w:bidi="ar-SA"/>
        </w:rPr>
        <w:t>60%</w:t>
      </w:r>
      <w:r>
        <w:rPr>
          <w:rFonts w:hint="eastAsia" w:ascii="Times New Roman" w:hAnsi="Times New Roman" w:eastAsia="仿宋_GB2312" w:cs="Times New Roman"/>
          <w:color w:val="auto"/>
          <w:kern w:val="2"/>
          <w:sz w:val="32"/>
          <w:szCs w:val="32"/>
          <w:u w:val="none"/>
          <w:lang w:val="en-US" w:eastAsia="zh-CN" w:bidi="ar-SA"/>
        </w:rPr>
        <w:t>,覆盖疑似职业病检出率低于全区全年职业病检出率</w:t>
      </w:r>
      <w:r>
        <w:rPr>
          <w:rFonts w:hint="default" w:ascii="Times New Roman" w:hAnsi="Times New Roman" w:eastAsia="仿宋_GB2312" w:cs="Times New Roman"/>
          <w:color w:val="auto"/>
          <w:kern w:val="2"/>
          <w:sz w:val="32"/>
          <w:szCs w:val="32"/>
          <w:u w:val="none"/>
          <w:lang w:val="en-US" w:eastAsia="zh-CN" w:bidi="ar-SA"/>
        </w:rPr>
        <w:t>50%</w:t>
      </w:r>
      <w:r>
        <w:rPr>
          <w:rFonts w:hint="eastAsia" w:ascii="Times New Roman" w:hAnsi="Times New Roman" w:eastAsia="仿宋_GB2312" w:cs="Times New Roman"/>
          <w:color w:val="auto"/>
          <w:kern w:val="2"/>
          <w:sz w:val="32"/>
          <w:szCs w:val="32"/>
          <w:u w:val="none"/>
          <w:lang w:val="en-US" w:eastAsia="zh-CN" w:bidi="ar-SA"/>
        </w:rPr>
        <w:t>的职业健康检查机构；放射诊疗机构抽查比例为</w:t>
      </w:r>
      <w:r>
        <w:rPr>
          <w:rFonts w:hint="default" w:ascii="Times New Roman" w:hAnsi="Times New Roman" w:eastAsia="仿宋_GB2312" w:cs="Times New Roman"/>
          <w:color w:val="auto"/>
          <w:kern w:val="2"/>
          <w:sz w:val="32"/>
          <w:szCs w:val="32"/>
          <w:u w:val="none"/>
          <w:lang w:val="en-US" w:eastAsia="zh-CN" w:bidi="ar-SA"/>
        </w:rPr>
        <w:t>20%</w:t>
      </w:r>
      <w:r>
        <w:rPr>
          <w:rFonts w:hint="eastAsia" w:ascii="Times New Roman" w:hAnsi="Times New Roman" w:eastAsia="仿宋_GB2312" w:cs="Times New Roman"/>
          <w:color w:val="auto"/>
          <w:kern w:val="2"/>
          <w:sz w:val="32"/>
          <w:szCs w:val="32"/>
          <w:u w:val="none"/>
          <w:lang w:val="en-US" w:eastAsia="zh-CN" w:bidi="ar-SA"/>
        </w:rPr>
        <w:t>。职业卫生、放射卫生技术服务机构监督抽查与本年度技术服务质量监测抽取机构重复的，原则上应联合开展监督检查和质量监测。</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ascii="黑体" w:hAnsi="黑体" w:eastAsia="黑体" w:cs="黑体"/>
          <w:bCs/>
          <w:color w:val="auto"/>
          <w:sz w:val="32"/>
          <w:szCs w:val="32"/>
          <w:highlight w:val="none"/>
        </w:rPr>
      </w:pPr>
      <w:r>
        <w:rPr>
          <w:rFonts w:hint="eastAsia" w:ascii="黑体" w:hAnsi="黑体" w:eastAsia="黑体" w:cs="黑体"/>
          <w:bCs/>
          <w:color w:val="auto"/>
          <w:sz w:val="32"/>
          <w:szCs w:val="32"/>
          <w:highlight w:val="none"/>
          <w:lang w:val="en-US" w:eastAsia="zh-CN"/>
        </w:rPr>
        <w:t>二、</w:t>
      </w:r>
      <w:r>
        <w:rPr>
          <w:rFonts w:hint="default" w:ascii="黑体" w:hAnsi="黑体" w:eastAsia="黑体" w:cs="黑体"/>
          <w:bCs/>
          <w:color w:val="auto"/>
          <w:sz w:val="32"/>
          <w:szCs w:val="32"/>
          <w:highlight w:val="none"/>
        </w:rPr>
        <w:t>监督</w:t>
      </w:r>
      <w:r>
        <w:rPr>
          <w:rFonts w:hint="eastAsia" w:ascii="黑体" w:hAnsi="黑体" w:eastAsia="黑体" w:cs="黑体"/>
          <w:bCs/>
          <w:color w:val="auto"/>
          <w:sz w:val="32"/>
          <w:szCs w:val="32"/>
          <w:highlight w:val="none"/>
        </w:rPr>
        <w:t>检查内容</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ascii="仿宋_GB2312" w:hAnsi="宋体" w:eastAsia="仿宋_GB2312" w:cs="宋体"/>
          <w:color w:val="auto"/>
          <w:kern w:val="0"/>
          <w:sz w:val="32"/>
          <w:szCs w:val="32"/>
          <w:highlight w:val="none"/>
        </w:rPr>
      </w:pPr>
      <w:r>
        <w:rPr>
          <w:rFonts w:hint="eastAsia" w:ascii="楷体_GB2312" w:hAnsi="楷体_GB2312" w:eastAsia="楷体_GB2312" w:cs="Times New Roman"/>
          <w:color w:val="auto"/>
          <w:kern w:val="0"/>
          <w:sz w:val="32"/>
          <w:szCs w:val="32"/>
          <w:highlight w:val="none"/>
        </w:rPr>
        <w:t>（一）用人单位。</w:t>
      </w:r>
      <w:r>
        <w:rPr>
          <w:rFonts w:hint="eastAsia"/>
          <w:color w:val="auto"/>
          <w:highlight w:val="none"/>
        </w:rPr>
        <w:t>职业卫生培训、建设项目职业病防护设施“三同时”、职业病危害项目申报、工作场所职业卫生管理、警示标识设置等职业病危害告知、劳动者职业健康监护、职业病病人和疑似职业病病人处置情况等</w:t>
      </w:r>
      <w:r>
        <w:rPr>
          <w:rFonts w:hint="eastAsia" w:ascii="仿宋_GB2312" w:hAnsi="宋体" w:eastAsia="仿宋_GB2312" w:cs="宋体"/>
          <w:color w:val="auto"/>
          <w:kern w:val="0"/>
          <w:sz w:val="32"/>
          <w:szCs w:val="32"/>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仿宋_GB2312" w:hAnsi="宋体" w:eastAsia="仿宋_GB2312" w:cs="宋体"/>
          <w:color w:val="auto"/>
          <w:kern w:val="0"/>
          <w:sz w:val="32"/>
          <w:szCs w:val="32"/>
          <w:highlight w:val="none"/>
        </w:rPr>
      </w:pPr>
      <w:r>
        <w:rPr>
          <w:rFonts w:hint="eastAsia" w:ascii="楷体_GB2312" w:hAnsi="楷体_GB2312" w:eastAsia="楷体_GB2312" w:cs="Times New Roman"/>
          <w:color w:val="auto"/>
          <w:kern w:val="0"/>
          <w:sz w:val="32"/>
          <w:szCs w:val="32"/>
          <w:highlight w:val="none"/>
        </w:rPr>
        <w:t>（二）职业卫生</w:t>
      </w:r>
      <w:r>
        <w:rPr>
          <w:rFonts w:hint="eastAsia" w:ascii="楷体_GB2312" w:hAnsi="楷体_GB2312" w:eastAsia="楷体_GB2312" w:cs="Times New Roman"/>
          <w:color w:val="auto"/>
          <w:kern w:val="0"/>
          <w:sz w:val="32"/>
          <w:szCs w:val="32"/>
          <w:highlight w:val="none"/>
          <w:lang w:eastAsia="zh-CN"/>
        </w:rPr>
        <w:t>和放射卫生</w:t>
      </w:r>
      <w:r>
        <w:rPr>
          <w:rFonts w:hint="eastAsia" w:ascii="楷体_GB2312" w:hAnsi="楷体_GB2312" w:eastAsia="楷体_GB2312" w:cs="Times New Roman"/>
          <w:color w:val="auto"/>
          <w:kern w:val="0"/>
          <w:sz w:val="32"/>
          <w:szCs w:val="32"/>
          <w:highlight w:val="none"/>
        </w:rPr>
        <w:t>技术服务机构。</w:t>
      </w:r>
      <w:r>
        <w:rPr>
          <w:rFonts w:hint="eastAsia"/>
          <w:color w:val="auto"/>
          <w:highlight w:val="none"/>
        </w:rPr>
        <w:t>是否取得有效资质、是否在资质认可范围内从事技术服务活动、出具的技术报告是否虚假或失实、是否按照法律法规和标准规范要求开展技术服务、专业技术人员管理是否规范等。</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Times New Roman" w:eastAsia="仿宋_GB2312"/>
          <w:color w:val="auto"/>
          <w:sz w:val="32"/>
          <w:szCs w:val="32"/>
          <w:highlight w:val="none"/>
        </w:rPr>
      </w:pPr>
      <w:r>
        <w:rPr>
          <w:rFonts w:hint="eastAsia" w:ascii="楷体_GB2312" w:hAnsi="楷体_GB2312" w:eastAsia="楷体_GB2312"/>
          <w:color w:val="auto"/>
          <w:kern w:val="0"/>
          <w:sz w:val="32"/>
          <w:szCs w:val="32"/>
          <w:highlight w:val="none"/>
        </w:rPr>
        <w:t>（</w:t>
      </w:r>
      <w:r>
        <w:rPr>
          <w:rFonts w:hint="eastAsia" w:ascii="楷体_GB2312" w:hAnsi="楷体_GB2312" w:eastAsia="楷体_GB2312"/>
          <w:color w:val="auto"/>
          <w:kern w:val="0"/>
          <w:sz w:val="32"/>
          <w:szCs w:val="32"/>
          <w:highlight w:val="none"/>
          <w:lang w:eastAsia="zh-CN"/>
        </w:rPr>
        <w:t>三</w:t>
      </w:r>
      <w:r>
        <w:rPr>
          <w:rFonts w:hint="eastAsia" w:ascii="楷体_GB2312" w:hAnsi="楷体_GB2312" w:eastAsia="楷体_GB2312"/>
          <w:color w:val="auto"/>
          <w:kern w:val="0"/>
          <w:sz w:val="32"/>
          <w:szCs w:val="32"/>
          <w:highlight w:val="none"/>
        </w:rPr>
        <w:t>）放射诊疗机构</w:t>
      </w:r>
      <w:r>
        <w:rPr>
          <w:rFonts w:hint="eastAsia" w:ascii="楷体_GB2312" w:hAnsi="楷体_GB2312" w:eastAsia="楷体_GB2312"/>
          <w:color w:val="auto"/>
          <w:kern w:val="0"/>
          <w:sz w:val="32"/>
          <w:szCs w:val="32"/>
          <w:highlight w:val="none"/>
          <w:lang w:eastAsia="zh-CN"/>
        </w:rPr>
        <w:t>。</w:t>
      </w:r>
      <w:r>
        <w:rPr>
          <w:rFonts w:hint="eastAsia"/>
          <w:color w:val="auto"/>
          <w:highlight w:val="none"/>
        </w:rPr>
        <w:t>放射诊疗许可、放射诊疗建设项目、放射诊疗场所及其防护措施、放射诊疗设备、放射工作人员、对患者、受检者及其他非放射工作人员的防护、放射事件预防处置等管理情况。</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仿宋_GB2312" w:eastAsia="仿宋_GB2312" w:cs="仿宋_GB2312"/>
          <w:color w:val="auto"/>
          <w:kern w:val="0"/>
          <w:sz w:val="32"/>
          <w:szCs w:val="32"/>
          <w:highlight w:val="none"/>
          <w:lang w:val="en-US" w:eastAsia="zh-CN"/>
        </w:rPr>
      </w:pPr>
      <w:r>
        <w:rPr>
          <w:rFonts w:hint="eastAsia" w:ascii="楷体_GB2312" w:hAnsi="楷体_GB2312" w:eastAsia="楷体_GB2312"/>
          <w:color w:val="auto"/>
          <w:kern w:val="0"/>
          <w:sz w:val="32"/>
          <w:szCs w:val="32"/>
          <w:highlight w:val="none"/>
        </w:rPr>
        <w:t>（</w:t>
      </w:r>
      <w:r>
        <w:rPr>
          <w:rFonts w:hint="eastAsia" w:ascii="楷体_GB2312" w:hAnsi="楷体_GB2312" w:eastAsia="楷体_GB2312"/>
          <w:color w:val="auto"/>
          <w:kern w:val="0"/>
          <w:sz w:val="32"/>
          <w:szCs w:val="32"/>
          <w:highlight w:val="none"/>
          <w:lang w:eastAsia="zh-CN"/>
        </w:rPr>
        <w:t>四</w:t>
      </w:r>
      <w:r>
        <w:rPr>
          <w:rFonts w:hint="eastAsia" w:ascii="楷体_GB2312" w:hAnsi="楷体_GB2312" w:eastAsia="楷体_GB2312"/>
          <w:color w:val="auto"/>
          <w:kern w:val="0"/>
          <w:sz w:val="32"/>
          <w:szCs w:val="32"/>
          <w:highlight w:val="none"/>
        </w:rPr>
        <w:t>）职业健康检查、职业病诊断机构</w:t>
      </w:r>
      <w:r>
        <w:rPr>
          <w:rFonts w:hint="eastAsia" w:ascii="楷体_GB2312" w:hAnsi="楷体_GB2312" w:eastAsia="楷体_GB2312"/>
          <w:color w:val="auto"/>
          <w:kern w:val="0"/>
          <w:sz w:val="32"/>
          <w:szCs w:val="32"/>
          <w:highlight w:val="none"/>
          <w:lang w:eastAsia="zh-CN"/>
        </w:rPr>
        <w:t>。</w:t>
      </w:r>
      <w:r>
        <w:rPr>
          <w:rFonts w:hint="eastAsia"/>
          <w:color w:val="auto"/>
          <w:highlight w:val="none"/>
        </w:rPr>
        <w:t>是否按照规定备案、技术人员、仪器设备、场所是否满足工作要求、是否出具虚假证明文件、职业健康检查结果、职业禁忌、疑似职业病、职业病的告知、通知、信息报告以及质量控制和程序是否符合相关要求等。</w:t>
      </w:r>
    </w:p>
    <w:p>
      <w:pPr>
        <w:keepNext w:val="0"/>
        <w:keepLines w:val="0"/>
        <w:pageBreakBefore w:val="0"/>
        <w:widowControl w:val="0"/>
        <w:numPr>
          <w:ilvl w:val="0"/>
          <w:numId w:val="0"/>
        </w:numPr>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ascii="黑体" w:hAnsi="黑体" w:eastAsia="黑体" w:cs="黑体"/>
          <w:color w:val="auto"/>
          <w:kern w:val="0"/>
          <w:sz w:val="32"/>
          <w:szCs w:val="32"/>
          <w:highlight w:val="none"/>
        </w:rPr>
      </w:pPr>
      <w:r>
        <w:rPr>
          <w:rFonts w:hint="eastAsia" w:ascii="黑体" w:hAnsi="黑体" w:eastAsia="黑体" w:cs="黑体"/>
          <w:color w:val="auto"/>
          <w:kern w:val="0"/>
          <w:sz w:val="32"/>
          <w:szCs w:val="32"/>
          <w:highlight w:val="none"/>
          <w:lang w:val="en-US" w:eastAsia="zh-CN"/>
        </w:rPr>
        <w:t>三</w:t>
      </w:r>
      <w:r>
        <w:rPr>
          <w:rFonts w:hint="eastAsia" w:ascii="黑体" w:hAnsi="黑体" w:eastAsia="黑体" w:cs="黑体"/>
          <w:color w:val="auto"/>
          <w:kern w:val="0"/>
          <w:sz w:val="32"/>
          <w:szCs w:val="32"/>
          <w:highlight w:val="none"/>
          <w:lang w:eastAsia="zh-CN"/>
        </w:rPr>
        <w:t>、</w:t>
      </w:r>
      <w:r>
        <w:rPr>
          <w:rFonts w:hint="eastAsia" w:ascii="黑体" w:hAnsi="黑体" w:eastAsia="黑体" w:cs="黑体"/>
          <w:color w:val="auto"/>
          <w:kern w:val="0"/>
          <w:sz w:val="32"/>
          <w:szCs w:val="32"/>
          <w:highlight w:val="none"/>
        </w:rPr>
        <w:t>工作要求</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仿宋_GB2312" w:hAnsi="宋体" w:eastAsia="仿宋_GB2312" w:cs="宋体"/>
          <w:color w:val="auto"/>
          <w:kern w:val="0"/>
          <w:sz w:val="32"/>
          <w:szCs w:val="32"/>
          <w:highlight w:val="none"/>
        </w:rPr>
      </w:pPr>
      <w:r>
        <w:rPr>
          <w:rFonts w:hint="eastAsia" w:ascii="仿宋_GB2312" w:hAnsi="宋体" w:eastAsia="仿宋_GB2312" w:cs="宋体"/>
          <w:color w:val="auto"/>
          <w:kern w:val="0"/>
          <w:sz w:val="32"/>
          <w:szCs w:val="32"/>
          <w:highlight w:val="none"/>
        </w:rPr>
        <w:t>（一）</w:t>
      </w:r>
      <w:r>
        <w:rPr>
          <w:rFonts w:hint="eastAsia" w:eastAsia="仿宋_GB2312"/>
          <w:color w:val="auto"/>
          <w:sz w:val="32"/>
          <w:highlight w:val="none"/>
          <w:lang w:eastAsia="zh-CN"/>
        </w:rPr>
        <w:t>各级卫生健康行政部门、疾病预防控制部门要加强职业卫生和放射卫生数据的互联互通，建立监督监测联动的工作机制。</w:t>
      </w:r>
      <w:r>
        <w:rPr>
          <w:rFonts w:hint="eastAsia" w:ascii="仿宋_GB2312" w:hAnsi="宋体" w:eastAsia="仿宋_GB2312" w:cs="宋体"/>
          <w:color w:val="auto"/>
          <w:kern w:val="0"/>
          <w:sz w:val="32"/>
          <w:szCs w:val="32"/>
          <w:highlight w:val="none"/>
        </w:rPr>
        <w:t>疾控机构作为被监督对象时，应严格执行行政执法回避原则，不得由本单位人员进行。</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eastAsia="仿宋_GB2312"/>
          <w:color w:val="auto"/>
          <w:sz w:val="32"/>
          <w:highlight w:val="none"/>
        </w:rPr>
      </w:pPr>
      <w:r>
        <w:rPr>
          <w:rFonts w:hint="eastAsia" w:ascii="仿宋_GB2312" w:hAnsi="仿宋_GB2312" w:eastAsia="仿宋_GB2312" w:cs="仿宋_GB2312"/>
          <w:color w:val="auto"/>
          <w:kern w:val="0"/>
          <w:sz w:val="32"/>
          <w:szCs w:val="32"/>
          <w:highlight w:val="none"/>
        </w:rPr>
        <w:t>（二）</w:t>
      </w:r>
      <w:r>
        <w:rPr>
          <w:rFonts w:hint="eastAsia" w:ascii="仿宋_GB2312" w:hAnsi="仿宋_GB2312" w:eastAsia="仿宋_GB2312" w:cs="仿宋_GB2312"/>
          <w:color w:val="auto"/>
          <w:kern w:val="0"/>
          <w:sz w:val="32"/>
          <w:szCs w:val="32"/>
          <w:highlight w:val="none"/>
          <w:lang w:val="en-US" w:eastAsia="zh-CN"/>
        </w:rPr>
        <w:t>各级疾控部门应严格贯彻落实《国务院办公厅关于严格规范涉企行政检查的意见》的各项要求</w:t>
      </w:r>
      <w:r>
        <w:rPr>
          <w:rFonts w:hint="eastAsia" w:ascii="仿宋_GB2312" w:hAnsi="仿宋_GB2312" w:cs="仿宋_GB2312"/>
          <w:color w:val="auto"/>
          <w:kern w:val="0"/>
          <w:sz w:val="32"/>
          <w:szCs w:val="32"/>
          <w:highlight w:val="none"/>
          <w:lang w:val="en-US" w:eastAsia="zh-CN"/>
        </w:rPr>
        <w:t>，</w:t>
      </w:r>
      <w:r>
        <w:rPr>
          <w:rFonts w:hint="eastAsia" w:ascii="仿宋_GB2312" w:hAnsi="仿宋_GB2312" w:eastAsia="仿宋_GB2312" w:cs="仿宋_GB2312"/>
          <w:color w:val="auto"/>
          <w:kern w:val="0"/>
          <w:sz w:val="32"/>
          <w:szCs w:val="32"/>
          <w:highlight w:val="none"/>
          <w:lang w:val="en-US" w:eastAsia="zh-CN"/>
        </w:rPr>
        <w:t>大力推广“监督+服务”和智慧化监管模式。</w:t>
      </w:r>
      <w:r>
        <w:rPr>
          <w:rFonts w:eastAsia="仿宋_GB2312"/>
          <w:color w:val="auto"/>
          <w:sz w:val="32"/>
          <w:highlight w:val="none"/>
        </w:rPr>
        <w:t>在</w:t>
      </w:r>
      <w:bookmarkStart w:id="0" w:name="_Hlk217551134"/>
      <w:r>
        <w:rPr>
          <w:rFonts w:eastAsia="仿宋_GB2312"/>
          <w:color w:val="auto"/>
          <w:sz w:val="32"/>
          <w:highlight w:val="none"/>
        </w:rPr>
        <w:t>对用人单位</w:t>
      </w:r>
      <w:r>
        <w:rPr>
          <w:rFonts w:hint="eastAsia" w:eastAsia="仿宋_GB2312"/>
          <w:color w:val="auto"/>
          <w:sz w:val="32"/>
          <w:highlight w:val="none"/>
        </w:rPr>
        <w:t>、放射诊疗机构</w:t>
      </w:r>
      <w:bookmarkEnd w:id="0"/>
      <w:r>
        <w:rPr>
          <w:rFonts w:eastAsia="仿宋_GB2312"/>
          <w:color w:val="auto"/>
          <w:sz w:val="32"/>
          <w:highlight w:val="none"/>
        </w:rPr>
        <w:t>监督检查过程中，对有关机构提供</w:t>
      </w:r>
      <w:r>
        <w:rPr>
          <w:rFonts w:hint="eastAsia" w:eastAsia="仿宋_GB2312"/>
          <w:color w:val="auto"/>
          <w:sz w:val="32"/>
          <w:highlight w:val="none"/>
        </w:rPr>
        <w:t>的技术服务和</w:t>
      </w:r>
      <w:r>
        <w:rPr>
          <w:rFonts w:eastAsia="仿宋_GB2312"/>
          <w:color w:val="auto"/>
          <w:sz w:val="32"/>
          <w:highlight w:val="none"/>
        </w:rPr>
        <w:t>职业健康检查</w:t>
      </w:r>
      <w:r>
        <w:rPr>
          <w:rFonts w:hint="eastAsia" w:eastAsia="仿宋_GB2312"/>
          <w:color w:val="auto"/>
          <w:sz w:val="32"/>
          <w:highlight w:val="none"/>
        </w:rPr>
        <w:t>服务</w:t>
      </w:r>
      <w:r>
        <w:rPr>
          <w:rFonts w:eastAsia="仿宋_GB2312"/>
          <w:color w:val="auto"/>
          <w:sz w:val="32"/>
          <w:highlight w:val="none"/>
        </w:rPr>
        <w:t>进行延伸检查</w:t>
      </w:r>
      <w:r>
        <w:rPr>
          <w:rFonts w:hint="eastAsia" w:eastAsia="仿宋_GB2312"/>
          <w:color w:val="auto"/>
          <w:sz w:val="32"/>
          <w:highlight w:val="none"/>
        </w:rPr>
        <w:t>，并同步完成用人单位职业病危害综合风险评估</w:t>
      </w:r>
      <w:r>
        <w:rPr>
          <w:rFonts w:eastAsia="仿宋_GB2312"/>
          <w:color w:val="auto"/>
          <w:sz w:val="32"/>
          <w:highlight w:val="none"/>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rPr>
          <w:rFonts w:hint="default"/>
          <w:color w:val="auto"/>
          <w:sz w:val="32"/>
          <w:szCs w:val="32"/>
          <w:highlight w:val="none"/>
          <w:lang w:val="en-US" w:eastAsia="zh-CN"/>
        </w:rPr>
      </w:pPr>
      <w:r>
        <w:rPr>
          <w:rFonts w:hint="eastAsia" w:ascii="仿宋_GB2312" w:hAnsi="仿宋_GB2312" w:cs="仿宋_GB2312"/>
          <w:color w:val="auto"/>
          <w:kern w:val="0"/>
          <w:sz w:val="32"/>
          <w:szCs w:val="32"/>
          <w:highlight w:val="none"/>
          <w:lang w:val="en-US" w:eastAsia="zh-CN"/>
        </w:rPr>
        <w:t>（三）</w:t>
      </w:r>
      <w:r>
        <w:rPr>
          <w:rFonts w:hint="eastAsia" w:ascii="仿宋_GB2312" w:hAnsi="仿宋_GB2312" w:eastAsia="仿宋_GB2312" w:cs="仿宋_GB2312"/>
          <w:color w:val="auto"/>
          <w:spacing w:val="8"/>
          <w:sz w:val="32"/>
          <w:szCs w:val="32"/>
          <w:highlight w:val="none"/>
        </w:rPr>
        <w:t>所有数据以信息报告系统填报</w:t>
      </w:r>
      <w:r>
        <w:rPr>
          <w:rFonts w:hint="eastAsia" w:ascii="仿宋_GB2312" w:hAnsi="仿宋_GB2312" w:eastAsia="仿宋_GB2312" w:cs="仿宋_GB2312"/>
          <w:color w:val="auto"/>
          <w:spacing w:val="10"/>
          <w:sz w:val="32"/>
          <w:szCs w:val="32"/>
          <w:highlight w:val="none"/>
        </w:rPr>
        <w:t>数据为准，不需另外报送纸质报表</w:t>
      </w:r>
      <w:r>
        <w:rPr>
          <w:rFonts w:hint="eastAsia" w:ascii="仿宋_GB2312" w:hAnsi="仿宋_GB2312" w:cs="仿宋_GB2312"/>
          <w:color w:val="auto"/>
          <w:spacing w:val="10"/>
          <w:sz w:val="32"/>
          <w:szCs w:val="32"/>
          <w:highlight w:val="none"/>
          <w:lang w:eastAsia="zh-CN"/>
        </w:rPr>
        <w:t>。</w:t>
      </w:r>
      <w:r>
        <w:rPr>
          <w:rFonts w:hint="eastAsia" w:ascii="仿宋_GB2312" w:hAnsi="仿宋_GB2312" w:eastAsia="仿宋_GB2312" w:cs="仿宋_GB2312"/>
          <w:color w:val="auto"/>
          <w:spacing w:val="10"/>
          <w:sz w:val="32"/>
          <w:szCs w:val="32"/>
          <w:highlight w:val="none"/>
        </w:rPr>
        <w:t>请</w:t>
      </w:r>
      <w:r>
        <w:rPr>
          <w:rFonts w:hint="eastAsia" w:ascii="仿宋_GB2312" w:hAnsi="仿宋_GB2312" w:cs="仿宋_GB2312"/>
          <w:color w:val="auto"/>
          <w:spacing w:val="10"/>
          <w:sz w:val="32"/>
          <w:szCs w:val="32"/>
          <w:highlight w:val="none"/>
          <w:lang w:val="en-US" w:eastAsia="zh-CN"/>
        </w:rPr>
        <w:t>各市</w:t>
      </w:r>
      <w:r>
        <w:rPr>
          <w:rFonts w:hint="eastAsia" w:ascii="仿宋_GB2312" w:hAnsi="仿宋_GB2312" w:eastAsia="仿宋_GB2312" w:cs="仿宋_GB2312"/>
          <w:color w:val="auto"/>
          <w:spacing w:val="10"/>
          <w:sz w:val="32"/>
          <w:szCs w:val="32"/>
          <w:highlight w:val="none"/>
        </w:rPr>
        <w:t>于</w:t>
      </w:r>
      <w:r>
        <w:rPr>
          <w:rFonts w:hint="default" w:ascii="Times New Roman" w:hAnsi="Times New Roman" w:cs="Times New Roman"/>
          <w:color w:val="auto"/>
          <w:sz w:val="32"/>
          <w:szCs w:val="32"/>
          <w:highlight w:val="none"/>
          <w:u w:val="none"/>
          <w:lang w:val="en-US" w:eastAsia="zh-CN"/>
        </w:rPr>
        <w:t>2026</w:t>
      </w:r>
      <w:r>
        <w:rPr>
          <w:rFonts w:hint="eastAsia" w:ascii="仿宋_GB2312" w:hAnsi="仿宋_GB2312" w:eastAsia="仿宋_GB2312" w:cs="仿宋_GB2312"/>
          <w:color w:val="auto"/>
          <w:sz w:val="32"/>
          <w:szCs w:val="32"/>
          <w:highlight w:val="none"/>
          <w:u w:val="none"/>
          <w:lang w:val="en-US" w:eastAsia="zh-CN"/>
        </w:rPr>
        <w:t>年</w:t>
      </w:r>
      <w:r>
        <w:rPr>
          <w:rFonts w:hint="default" w:ascii="Times New Roman" w:hAnsi="Times New Roman"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1</w:t>
      </w:r>
      <w:r>
        <w:rPr>
          <w:rFonts w:hint="eastAsia" w:ascii="仿宋_GB2312" w:hAnsi="仿宋_GB2312" w:eastAsia="仿宋_GB2312" w:cs="仿宋_GB2312"/>
          <w:color w:val="auto"/>
          <w:sz w:val="32"/>
          <w:szCs w:val="32"/>
          <w:highlight w:val="none"/>
          <w:u w:val="none"/>
        </w:rPr>
        <w:t>月</w:t>
      </w:r>
      <w:r>
        <w:rPr>
          <w:rFonts w:hint="default" w:ascii="Times New Roman" w:hAnsi="Times New Roman" w:cs="Times New Roman"/>
          <w:color w:val="auto"/>
          <w:sz w:val="32"/>
          <w:szCs w:val="32"/>
          <w:highlight w:val="none"/>
          <w:u w:val="none"/>
          <w:lang w:val="en-US" w:eastAsia="zh-CN"/>
        </w:rPr>
        <w:t>15</w:t>
      </w:r>
      <w:r>
        <w:rPr>
          <w:rFonts w:hint="eastAsia" w:ascii="仿宋_GB2312" w:hAnsi="仿宋_GB2312" w:eastAsia="仿宋_GB2312" w:cs="仿宋_GB2312"/>
          <w:color w:val="auto"/>
          <w:sz w:val="32"/>
          <w:szCs w:val="32"/>
          <w:highlight w:val="none"/>
          <w:u w:val="none"/>
        </w:rPr>
        <w:t>日</w:t>
      </w:r>
      <w:r>
        <w:rPr>
          <w:rFonts w:hint="eastAsia" w:ascii="仿宋_GB2312" w:hAnsi="仿宋_GB2312" w:eastAsia="仿宋_GB2312" w:cs="仿宋_GB2312"/>
          <w:color w:val="auto"/>
          <w:spacing w:val="5"/>
          <w:sz w:val="32"/>
          <w:szCs w:val="32"/>
          <w:highlight w:val="none"/>
        </w:rPr>
        <w:t>前完成全部检查任务和数据填报工作</w:t>
      </w:r>
      <w:r>
        <w:rPr>
          <w:rFonts w:hint="eastAsia" w:ascii="仿宋_GB2312" w:hAnsi="仿宋_GB2312" w:eastAsia="仿宋_GB2312" w:cs="仿宋_GB2312"/>
          <w:color w:val="auto"/>
          <w:spacing w:val="5"/>
          <w:sz w:val="32"/>
          <w:szCs w:val="32"/>
          <w:highlight w:val="none"/>
          <w:lang w:eastAsia="zh-CN"/>
        </w:rPr>
        <w:t>，并</w:t>
      </w:r>
      <w:r>
        <w:rPr>
          <w:rFonts w:hint="eastAsia" w:ascii="仿宋_GB2312" w:hAnsi="仿宋_GB2312" w:eastAsia="仿宋_GB2312" w:cs="仿宋_GB2312"/>
          <w:color w:val="auto"/>
          <w:sz w:val="32"/>
          <w:szCs w:val="32"/>
          <w:highlight w:val="none"/>
          <w:u w:val="none"/>
          <w:lang w:eastAsia="zh-CN"/>
        </w:rPr>
        <w:t>前</w:t>
      </w:r>
      <w:r>
        <w:rPr>
          <w:rFonts w:hint="eastAsia" w:ascii="仿宋_GB2312" w:hAnsi="仿宋_GB2312" w:eastAsia="仿宋_GB2312" w:cs="仿宋_GB2312"/>
          <w:color w:val="auto"/>
          <w:sz w:val="32"/>
          <w:szCs w:val="32"/>
          <w:highlight w:val="none"/>
          <w:u w:val="none"/>
          <w:lang w:val="en-US" w:eastAsia="zh-CN"/>
        </w:rPr>
        <w:t>将</w:t>
      </w:r>
      <w:r>
        <w:rPr>
          <w:rFonts w:hint="eastAsia" w:ascii="仿宋_GB2312" w:hAnsi="仿宋_GB2312" w:eastAsia="仿宋_GB2312" w:cs="仿宋_GB2312"/>
          <w:color w:val="auto"/>
          <w:kern w:val="0"/>
          <w:sz w:val="32"/>
          <w:szCs w:val="32"/>
          <w:highlight w:val="none"/>
          <w:lang w:val="en-US" w:eastAsia="zh-CN"/>
        </w:rPr>
        <w:t>辖区职业卫生和放射卫生</w:t>
      </w:r>
      <w:r>
        <w:rPr>
          <w:rFonts w:hint="eastAsia" w:ascii="仿宋_GB2312" w:hAnsi="仿宋_GB2312" w:eastAsia="仿宋_GB2312" w:cs="仿宋_GB2312"/>
          <w:color w:val="auto"/>
          <w:kern w:val="0"/>
          <w:sz w:val="32"/>
          <w:szCs w:val="32"/>
          <w:highlight w:val="none"/>
          <w:lang w:eastAsia="zh-CN"/>
        </w:rPr>
        <w:t>国家随机监督</w:t>
      </w:r>
      <w:r>
        <w:rPr>
          <w:rFonts w:hint="eastAsia" w:ascii="仿宋_GB2312" w:hAnsi="仿宋_GB2312" w:eastAsia="仿宋_GB2312" w:cs="仿宋_GB2312"/>
          <w:color w:val="auto"/>
          <w:kern w:val="0"/>
          <w:sz w:val="32"/>
          <w:szCs w:val="32"/>
          <w:highlight w:val="none"/>
        </w:rPr>
        <w:t>抽查</w:t>
      </w:r>
      <w:r>
        <w:rPr>
          <w:rFonts w:hint="eastAsia" w:ascii="仿宋_GB2312" w:hAnsi="仿宋_GB2312" w:eastAsia="仿宋_GB2312" w:cs="仿宋_GB2312"/>
          <w:color w:val="auto"/>
          <w:kern w:val="0"/>
          <w:sz w:val="32"/>
          <w:szCs w:val="32"/>
          <w:highlight w:val="none"/>
          <w:lang w:eastAsia="zh-CN"/>
        </w:rPr>
        <w:t>工作总结</w:t>
      </w:r>
      <w:r>
        <w:rPr>
          <w:rFonts w:hint="eastAsia" w:ascii="仿宋_GB2312" w:hAnsi="仿宋_GB2312" w:eastAsia="仿宋_GB2312" w:cs="仿宋_GB2312"/>
          <w:color w:val="auto"/>
          <w:kern w:val="0"/>
          <w:sz w:val="32"/>
          <w:szCs w:val="32"/>
          <w:highlight w:val="none"/>
        </w:rPr>
        <w:t>报送</w:t>
      </w:r>
      <w:r>
        <w:rPr>
          <w:rFonts w:hint="eastAsia" w:ascii="仿宋_GB2312" w:hAnsi="仿宋_GB2312" w:eastAsia="仿宋_GB2312" w:cs="仿宋_GB2312"/>
          <w:color w:val="auto"/>
          <w:kern w:val="0"/>
          <w:sz w:val="32"/>
          <w:szCs w:val="32"/>
          <w:highlight w:val="none"/>
          <w:lang w:val="en-US" w:eastAsia="zh-CN"/>
        </w:rPr>
        <w:t>自治区卫生监督所</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自治区卫生监督所</w:t>
      </w:r>
      <w:r>
        <w:rPr>
          <w:rFonts w:hint="eastAsia" w:ascii="仿宋_GB2312" w:hAnsi="仿宋_GB2312" w:eastAsia="仿宋_GB2312" w:cs="仿宋_GB2312"/>
          <w:color w:val="auto"/>
          <w:sz w:val="32"/>
          <w:szCs w:val="32"/>
          <w:highlight w:val="none"/>
          <w:lang w:val="en-US" w:eastAsia="zh-CN"/>
        </w:rPr>
        <w:t>汇总</w:t>
      </w:r>
      <w:r>
        <w:rPr>
          <w:rFonts w:hint="eastAsia" w:ascii="仿宋_GB2312" w:hAnsi="仿宋_GB2312" w:eastAsia="仿宋_GB2312" w:cs="仿宋_GB2312"/>
          <w:color w:val="auto"/>
          <w:kern w:val="0"/>
          <w:sz w:val="32"/>
          <w:szCs w:val="32"/>
          <w:highlight w:val="none"/>
          <w:lang w:val="en-US" w:eastAsia="zh-CN"/>
        </w:rPr>
        <w:t>后于</w:t>
      </w:r>
      <w:r>
        <w:rPr>
          <w:rFonts w:hint="default" w:ascii="Times New Roman" w:hAnsi="Times New Roman" w:cs="Times New Roman"/>
          <w:color w:val="auto"/>
          <w:sz w:val="32"/>
          <w:szCs w:val="32"/>
          <w:highlight w:val="none"/>
          <w:u w:val="none"/>
          <w:lang w:val="en-US" w:eastAsia="zh-CN"/>
        </w:rPr>
        <w:t>2026</w:t>
      </w:r>
      <w:r>
        <w:rPr>
          <w:rFonts w:hint="eastAsia" w:ascii="仿宋_GB2312" w:hAnsi="仿宋_GB2312" w:eastAsia="仿宋_GB2312" w:cs="仿宋_GB2312"/>
          <w:color w:val="auto"/>
          <w:sz w:val="32"/>
          <w:szCs w:val="32"/>
          <w:highlight w:val="none"/>
          <w:u w:val="none"/>
          <w:lang w:val="en-US" w:eastAsia="zh-CN"/>
        </w:rPr>
        <w:t>年</w:t>
      </w:r>
      <w:r>
        <w:rPr>
          <w:rFonts w:hint="default" w:ascii="Times New Roman" w:hAnsi="Times New Roman" w:eastAsia="仿宋_GB2312" w:cs="Times New Roman"/>
          <w:color w:val="auto"/>
          <w:sz w:val="32"/>
          <w:szCs w:val="32"/>
          <w:highlight w:val="none"/>
          <w:u w:val="none"/>
          <w:lang w:val="en-US" w:eastAsia="zh-CN"/>
        </w:rPr>
        <w:t>1</w:t>
      </w:r>
      <w:r>
        <w:rPr>
          <w:rFonts w:hint="default" w:ascii="Times New Roman" w:hAnsi="Times New Roman" w:eastAsia="仿宋_GB2312" w:cs="Times New Roman"/>
          <w:color w:val="auto"/>
          <w:sz w:val="32"/>
          <w:szCs w:val="32"/>
          <w:highlight w:val="none"/>
          <w:u w:val="none"/>
        </w:rPr>
        <w:t>1</w:t>
      </w:r>
      <w:r>
        <w:rPr>
          <w:rFonts w:hint="eastAsia" w:ascii="仿宋_GB2312" w:hAnsi="仿宋_GB2312" w:eastAsia="仿宋_GB2312" w:cs="仿宋_GB2312"/>
          <w:color w:val="auto"/>
          <w:sz w:val="32"/>
          <w:szCs w:val="32"/>
          <w:highlight w:val="none"/>
          <w:u w:val="none"/>
        </w:rPr>
        <w:t>月</w:t>
      </w:r>
      <w:r>
        <w:rPr>
          <w:rFonts w:hint="default" w:ascii="Times New Roman" w:hAnsi="Times New Roman" w:cs="Times New Roman"/>
          <w:color w:val="auto"/>
          <w:sz w:val="32"/>
          <w:szCs w:val="32"/>
          <w:highlight w:val="none"/>
          <w:u w:val="none"/>
          <w:lang w:val="en-US" w:eastAsia="zh-CN"/>
        </w:rPr>
        <w:t>30</w:t>
      </w:r>
      <w:r>
        <w:rPr>
          <w:rFonts w:hint="eastAsia" w:ascii="仿宋_GB2312" w:hAnsi="仿宋_GB2312" w:eastAsia="仿宋_GB2312" w:cs="仿宋_GB2312"/>
          <w:color w:val="auto"/>
          <w:sz w:val="32"/>
          <w:szCs w:val="32"/>
          <w:highlight w:val="none"/>
          <w:u w:val="none"/>
        </w:rPr>
        <w:t>日</w:t>
      </w:r>
      <w:r>
        <w:rPr>
          <w:rFonts w:hint="eastAsia" w:ascii="仿宋_GB2312" w:hAnsi="仿宋_GB2312" w:eastAsia="仿宋_GB2312" w:cs="仿宋_GB2312"/>
          <w:color w:val="auto"/>
          <w:sz w:val="32"/>
          <w:szCs w:val="32"/>
          <w:highlight w:val="none"/>
          <w:u w:val="none"/>
          <w:lang w:eastAsia="zh-CN"/>
        </w:rPr>
        <w:t>前</w:t>
      </w:r>
      <w:r>
        <w:rPr>
          <w:rFonts w:hint="eastAsia" w:ascii="仿宋_GB2312" w:hAnsi="仿宋_GB2312" w:eastAsia="仿宋_GB2312" w:cs="仿宋_GB2312"/>
          <w:color w:val="auto"/>
          <w:sz w:val="32"/>
          <w:szCs w:val="32"/>
          <w:highlight w:val="none"/>
          <w:u w:val="none"/>
          <w:lang w:val="en-US" w:eastAsia="zh-CN"/>
        </w:rPr>
        <w:t>报送自治区疾控局综合监督处</w:t>
      </w:r>
      <w:r>
        <w:rPr>
          <w:rFonts w:hint="eastAsia" w:ascii="仿宋_GB2312" w:hAnsi="仿宋_GB2312" w:cs="仿宋_GB2312"/>
          <w:color w:val="auto"/>
          <w:sz w:val="32"/>
          <w:szCs w:val="32"/>
          <w:highlight w:val="none"/>
          <w:u w:val="none"/>
          <w:lang w:val="en-US" w:eastAsia="zh-CN"/>
        </w:rPr>
        <w:t>并抄报自治区卫生健康委职业健康处</w:t>
      </w:r>
      <w:r>
        <w:rPr>
          <w:rFonts w:hint="eastAsia" w:ascii="仿宋_GB2312" w:hAnsi="仿宋_GB2312" w:eastAsia="仿宋_GB2312" w:cs="仿宋_GB2312"/>
          <w:color w:val="auto"/>
          <w:sz w:val="32"/>
          <w:szCs w:val="32"/>
          <w:highlight w:val="none"/>
          <w:u w:val="none"/>
          <w:lang w:val="en-US" w:eastAsia="zh-CN"/>
        </w:rPr>
        <w:t>。</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eastAsia" w:ascii="Times New Roman" w:hAnsi="Times New Roman" w:eastAsia="仿宋_GB2312" w:cs="Times New Roman"/>
          <w:color w:val="auto"/>
          <w:kern w:val="2"/>
          <w:sz w:val="32"/>
          <w:szCs w:val="32"/>
          <w:highlight w:val="none"/>
        </w:rPr>
      </w:pPr>
      <w:r>
        <w:rPr>
          <w:rFonts w:hint="eastAsia" w:ascii="Times New Roman" w:hAnsi="Times New Roman" w:eastAsia="仿宋_GB2312" w:cs="Times New Roman"/>
          <w:color w:val="auto"/>
          <w:kern w:val="2"/>
          <w:sz w:val="32"/>
          <w:szCs w:val="32"/>
          <w:highlight w:val="none"/>
        </w:rPr>
        <w:t>联系人：</w:t>
      </w:r>
      <w:r>
        <w:rPr>
          <w:rFonts w:hint="eastAsia" w:ascii="Times New Roman" w:hAnsi="Times New Roman" w:eastAsia="仿宋_GB2312" w:cs="Times New Roman"/>
          <w:color w:val="auto"/>
          <w:kern w:val="2"/>
          <w:sz w:val="32"/>
          <w:szCs w:val="32"/>
          <w:highlight w:val="none"/>
          <w:lang w:val="en-US" w:eastAsia="zh-CN"/>
        </w:rPr>
        <w:t xml:space="preserve">自治区卫生监督所公共卫生监督管理科 </w:t>
      </w:r>
      <w:r>
        <w:rPr>
          <w:rFonts w:hint="eastAsia" w:cs="Times New Roman"/>
          <w:color w:val="auto"/>
          <w:spacing w:val="6"/>
          <w:w w:val="100"/>
          <w:sz w:val="32"/>
          <w:szCs w:val="32"/>
          <w:highlight w:val="none"/>
          <w:lang w:val="en-US" w:eastAsia="zh-CN"/>
        </w:rPr>
        <w:t>裘思园</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仿宋_GB2312" w:cs="Times New Roman"/>
          <w:color w:val="auto"/>
          <w:kern w:val="2"/>
          <w:sz w:val="32"/>
          <w:szCs w:val="32"/>
          <w:highlight w:val="none"/>
          <w:lang w:val="en-US" w:eastAsia="zh-CN"/>
        </w:rPr>
      </w:pPr>
      <w:r>
        <w:rPr>
          <w:rFonts w:hint="eastAsia" w:ascii="Times New Roman" w:hAnsi="Times New Roman" w:eastAsia="仿宋_GB2312" w:cs="Times New Roman"/>
          <w:color w:val="auto"/>
          <w:kern w:val="2"/>
          <w:sz w:val="32"/>
          <w:szCs w:val="32"/>
          <w:highlight w:val="none"/>
        </w:rPr>
        <w:t>电</w:t>
      </w:r>
      <w:r>
        <w:rPr>
          <w:rFonts w:hint="eastAsia" w:ascii="Times New Roman" w:hAnsi="Times New Roman" w:eastAsia="仿宋_GB2312" w:cs="Times New Roman"/>
          <w:color w:val="auto"/>
          <w:kern w:val="2"/>
          <w:sz w:val="32"/>
          <w:szCs w:val="32"/>
          <w:highlight w:val="none"/>
          <w:lang w:val="en-US" w:eastAsia="zh-CN"/>
        </w:rPr>
        <w:t xml:space="preserve">  </w:t>
      </w:r>
      <w:r>
        <w:rPr>
          <w:rFonts w:hint="eastAsia" w:ascii="Times New Roman" w:hAnsi="Times New Roman" w:eastAsia="仿宋_GB2312" w:cs="Times New Roman"/>
          <w:color w:val="auto"/>
          <w:kern w:val="2"/>
          <w:sz w:val="32"/>
          <w:szCs w:val="32"/>
          <w:highlight w:val="none"/>
        </w:rPr>
        <w:t>话：</w:t>
      </w:r>
      <w:r>
        <w:rPr>
          <w:rFonts w:hint="default" w:ascii="Times New Roman" w:hAnsi="Times New Roman" w:eastAsia="仿宋_GB2312" w:cs="Times New Roman"/>
          <w:color w:val="auto"/>
          <w:kern w:val="2"/>
          <w:sz w:val="32"/>
          <w:szCs w:val="32"/>
          <w:highlight w:val="none"/>
          <w:lang w:val="en-US" w:eastAsia="zh-CN"/>
        </w:rPr>
        <w:t>0771</w:t>
      </w:r>
      <w:r>
        <w:rPr>
          <w:rFonts w:hint="default" w:cs="Times New Roman"/>
          <w:color w:val="auto"/>
          <w:kern w:val="2"/>
          <w:sz w:val="32"/>
          <w:szCs w:val="32"/>
          <w:highlight w:val="none"/>
          <w:lang w:val="en" w:eastAsia="zh-CN"/>
        </w:rPr>
        <w:t>－</w:t>
      </w:r>
      <w:r>
        <w:rPr>
          <w:rFonts w:hint="default" w:ascii="Times New Roman" w:hAnsi="Times New Roman" w:eastAsia="仿宋_GB2312" w:cs="Times New Roman"/>
          <w:color w:val="auto"/>
          <w:kern w:val="2"/>
          <w:sz w:val="32"/>
          <w:szCs w:val="32"/>
          <w:highlight w:val="none"/>
          <w:lang w:val="en-US" w:eastAsia="zh-CN"/>
        </w:rPr>
        <w:t>5319467</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outlineLvl w:val="9"/>
        <w:rPr>
          <w:rFonts w:hint="default" w:ascii="Times New Roman" w:hAnsi="Times New Roman" w:eastAsia="仿宋_GB2312" w:cs="Times New Roman"/>
          <w:color w:val="auto"/>
          <w:kern w:val="2"/>
          <w:sz w:val="32"/>
          <w:szCs w:val="32"/>
          <w:highlight w:val="none"/>
          <w:lang w:val="en-US" w:eastAsia="zh-CN"/>
        </w:rPr>
      </w:pPr>
      <w:r>
        <w:rPr>
          <w:rFonts w:hint="eastAsia" w:ascii="Times New Roman" w:hAnsi="Times New Roman" w:eastAsia="仿宋_GB2312" w:cs="Times New Roman"/>
          <w:color w:val="auto"/>
          <w:kern w:val="2"/>
          <w:sz w:val="32"/>
          <w:szCs w:val="32"/>
          <w:highlight w:val="none"/>
          <w:lang w:val="en-US" w:eastAsia="zh-CN"/>
        </w:rPr>
        <w:t>邮</w:t>
      </w:r>
      <w:r>
        <w:rPr>
          <w:rFonts w:hint="eastAsia" w:ascii="Times New Roman" w:hAnsi="Times New Roman" w:eastAsia="仿宋_GB2312" w:cs="Times New Roman"/>
          <w:color w:val="auto"/>
          <w:kern w:val="2"/>
          <w:sz w:val="32"/>
          <w:szCs w:val="32"/>
          <w:highlight w:val="none"/>
          <w:lang w:val="en" w:eastAsia="zh-CN"/>
        </w:rPr>
        <w:t xml:space="preserve">  </w:t>
      </w:r>
      <w:r>
        <w:rPr>
          <w:rFonts w:hint="eastAsia" w:ascii="Times New Roman" w:hAnsi="Times New Roman" w:eastAsia="仿宋_GB2312" w:cs="Times New Roman"/>
          <w:color w:val="auto"/>
          <w:kern w:val="2"/>
          <w:sz w:val="32"/>
          <w:szCs w:val="32"/>
          <w:highlight w:val="none"/>
          <w:lang w:val="en-US" w:eastAsia="zh-CN"/>
        </w:rPr>
        <w:t>箱</w:t>
      </w:r>
      <w:r>
        <w:rPr>
          <w:rFonts w:hint="eastAsia" w:ascii="Times New Roman" w:hAnsi="Times New Roman" w:eastAsia="仿宋_GB2312" w:cs="Times New Roman"/>
          <w:color w:val="auto"/>
          <w:kern w:val="2"/>
          <w:sz w:val="32"/>
          <w:szCs w:val="32"/>
          <w:highlight w:val="none"/>
          <w:lang w:val="en" w:eastAsia="zh-CN"/>
        </w:rPr>
        <w:t>：</w:t>
      </w:r>
      <w:r>
        <w:rPr>
          <w:rFonts w:hint="default" w:ascii="Times New Roman" w:hAnsi="Times New Roman" w:eastAsia="仿宋_GB2312" w:cs="Times New Roman"/>
          <w:color w:val="auto"/>
          <w:kern w:val="2"/>
          <w:sz w:val="32"/>
          <w:szCs w:val="32"/>
          <w:highlight w:val="none"/>
          <w:lang w:val="en-US" w:eastAsia="zh-CN"/>
        </w:rPr>
        <w:t>gxwsjd3k@wsjkw</w:t>
      </w:r>
      <w:r>
        <w:rPr>
          <w:rFonts w:hint="eastAsia" w:ascii="仿宋_GB2312" w:hAnsi="仿宋_GB2312" w:eastAsia="仿宋_GB2312" w:cs="仿宋_GB2312"/>
          <w:color w:val="auto"/>
          <w:kern w:val="2"/>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rPr>
        <w:t>gxzf</w:t>
      </w:r>
      <w:r>
        <w:rPr>
          <w:rFonts w:hint="eastAsia" w:ascii="仿宋_GB2312" w:hAnsi="仿宋_GB2312" w:eastAsia="仿宋_GB2312" w:cs="仿宋_GB2312"/>
          <w:color w:val="auto"/>
          <w:kern w:val="2"/>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rPr>
        <w:t>gov</w:t>
      </w:r>
      <w:r>
        <w:rPr>
          <w:rFonts w:hint="eastAsia" w:ascii="仿宋_GB2312" w:hAnsi="仿宋_GB2312" w:eastAsia="仿宋_GB2312" w:cs="仿宋_GB2312"/>
          <w:color w:val="auto"/>
          <w:kern w:val="2"/>
          <w:sz w:val="32"/>
          <w:szCs w:val="32"/>
          <w:highlight w:val="none"/>
          <w:lang w:val="en-US" w:eastAsia="zh-CN"/>
        </w:rPr>
        <w:t>.</w:t>
      </w:r>
      <w:r>
        <w:rPr>
          <w:rFonts w:hint="default" w:ascii="Times New Roman" w:hAnsi="Times New Roman" w:eastAsia="仿宋_GB2312" w:cs="Times New Roman"/>
          <w:color w:val="auto"/>
          <w:kern w:val="2"/>
          <w:sz w:val="32"/>
          <w:szCs w:val="32"/>
          <w:highlight w:val="none"/>
          <w:lang w:val="en-US" w:eastAsia="zh-CN"/>
        </w:rPr>
        <w:t>cn</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hint="eastAsia" w:ascii="仿宋_GB2312" w:hAnsi="仿宋_GB2312" w:eastAsia="仿宋_GB2312" w:cs="仿宋_GB2312"/>
          <w:color w:val="auto"/>
          <w:w w:val="100"/>
          <w:kern w:val="0"/>
          <w:sz w:val="32"/>
          <w:szCs w:val="32"/>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outlineLvl w:val="0"/>
        <w:rPr>
          <w:rFonts w:eastAsia="仿宋_GB2312"/>
          <w:color w:val="auto"/>
          <w:w w:val="92"/>
          <w:kern w:val="0"/>
          <w:sz w:val="32"/>
          <w:szCs w:val="32"/>
          <w:highlight w:val="none"/>
          <w:lang w:bidi="ar"/>
        </w:rPr>
      </w:pPr>
      <w:r>
        <w:rPr>
          <w:rFonts w:hint="eastAsia" w:ascii="Times New Roman" w:hAnsi="Times New Roman" w:eastAsia="仿宋_GB2312" w:cs="Times New Roman"/>
          <w:color w:val="auto"/>
          <w:spacing w:val="0"/>
          <w:w w:val="100"/>
          <w:kern w:val="0"/>
          <w:sz w:val="32"/>
          <w:szCs w:val="32"/>
          <w:highlight w:val="none"/>
          <w:lang w:bidi="ar"/>
        </w:rPr>
        <w:t>附表：</w:t>
      </w:r>
      <w:r>
        <w:rPr>
          <w:rFonts w:hint="default" w:ascii="Times New Roman" w:hAnsi="Times New Roman" w:eastAsia="仿宋_GB2312" w:cs="Times New Roman"/>
          <w:color w:val="auto"/>
          <w:w w:val="98"/>
          <w:kern w:val="0"/>
          <w:sz w:val="32"/>
          <w:szCs w:val="32"/>
          <w:highlight w:val="none"/>
          <w:lang w:bidi="ar"/>
        </w:rPr>
        <w:t>1</w:t>
      </w:r>
      <w:r>
        <w:rPr>
          <w:rFonts w:hint="eastAsia" w:ascii="仿宋_GB2312" w:hAnsi="仿宋_GB2312" w:eastAsia="仿宋_GB2312" w:cs="仿宋_GB2312"/>
          <w:color w:val="auto"/>
          <w:w w:val="98"/>
          <w:kern w:val="0"/>
          <w:sz w:val="32"/>
          <w:szCs w:val="32"/>
          <w:highlight w:val="none"/>
          <w:lang w:bidi="ar"/>
        </w:rPr>
        <w:t>.</w:t>
      </w:r>
      <w:r>
        <w:rPr>
          <w:rFonts w:hint="default" w:ascii="Times New Roman" w:hAnsi="Times New Roman" w:eastAsia="仿宋_GB2312" w:cs="Times New Roman"/>
          <w:color w:val="auto"/>
          <w:w w:val="92"/>
          <w:kern w:val="0"/>
          <w:sz w:val="32"/>
          <w:szCs w:val="32"/>
          <w:highlight w:val="none"/>
          <w:lang w:bidi="ar"/>
        </w:rPr>
        <w:t>2026</w:t>
      </w:r>
      <w:r>
        <w:rPr>
          <w:rFonts w:eastAsia="仿宋_GB2312"/>
          <w:color w:val="auto"/>
          <w:w w:val="92"/>
          <w:kern w:val="0"/>
          <w:sz w:val="32"/>
          <w:szCs w:val="32"/>
          <w:highlight w:val="none"/>
          <w:lang w:bidi="ar"/>
        </w:rPr>
        <w:t>年用人单位职业卫生国家随机监督抽查汇总表</w:t>
      </w:r>
    </w:p>
    <w:p>
      <w:pPr>
        <w:keepNext w:val="0"/>
        <w:keepLines w:val="0"/>
        <w:pageBreakBefore w:val="0"/>
        <w:widowControl/>
        <w:kinsoku/>
        <w:wordWrap/>
        <w:overflowPunct/>
        <w:topLinePunct w:val="0"/>
        <w:autoSpaceDE/>
        <w:autoSpaceDN/>
        <w:bidi w:val="0"/>
        <w:adjustRightInd/>
        <w:snapToGrid/>
        <w:spacing w:line="560" w:lineRule="exact"/>
        <w:ind w:left="1931" w:leftChars="500" w:hanging="331" w:hangingChars="106"/>
        <w:textAlignment w:val="auto"/>
        <w:outlineLvl w:val="0"/>
        <w:rPr>
          <w:rFonts w:eastAsia="仿宋_GB2312"/>
          <w:color w:val="auto"/>
          <w:w w:val="92"/>
          <w:kern w:val="0"/>
          <w:sz w:val="32"/>
          <w:szCs w:val="32"/>
          <w:highlight w:val="none"/>
          <w:lang w:bidi="ar"/>
        </w:rPr>
      </w:pPr>
      <w:r>
        <w:rPr>
          <w:rFonts w:hint="default" w:ascii="Times New Roman" w:hAnsi="Times New Roman" w:eastAsia="仿宋_GB2312" w:cs="Times New Roman"/>
          <w:color w:val="auto"/>
          <w:w w:val="98"/>
          <w:kern w:val="0"/>
          <w:sz w:val="32"/>
          <w:szCs w:val="32"/>
          <w:highlight w:val="none"/>
          <w:lang w:bidi="ar"/>
        </w:rPr>
        <w:t>2</w:t>
      </w:r>
      <w:r>
        <w:rPr>
          <w:rFonts w:hint="eastAsia" w:ascii="仿宋_GB2312" w:hAnsi="仿宋_GB2312" w:eastAsia="仿宋_GB2312" w:cs="仿宋_GB2312"/>
          <w:color w:val="auto"/>
          <w:w w:val="98"/>
          <w:kern w:val="0"/>
          <w:sz w:val="32"/>
          <w:szCs w:val="32"/>
          <w:highlight w:val="none"/>
          <w:lang w:bidi="ar"/>
        </w:rPr>
        <w:t>.</w:t>
      </w:r>
      <w:r>
        <w:rPr>
          <w:rFonts w:hint="default" w:ascii="Times New Roman" w:hAnsi="Times New Roman" w:eastAsia="仿宋_GB2312" w:cs="Times New Roman"/>
          <w:color w:val="auto"/>
          <w:w w:val="98"/>
          <w:kern w:val="0"/>
          <w:sz w:val="32"/>
          <w:szCs w:val="32"/>
          <w:highlight w:val="none"/>
          <w:lang w:bidi="ar"/>
        </w:rPr>
        <w:t>2026</w:t>
      </w:r>
      <w:r>
        <w:rPr>
          <w:rFonts w:eastAsia="仿宋_GB2312"/>
          <w:color w:val="auto"/>
          <w:w w:val="98"/>
          <w:kern w:val="0"/>
          <w:sz w:val="32"/>
          <w:szCs w:val="32"/>
          <w:highlight w:val="none"/>
          <w:lang w:bidi="ar"/>
        </w:rPr>
        <w:t>年职业卫生和放射卫生技术服务机构国家随机监督抽查汇总表</w:t>
      </w:r>
    </w:p>
    <w:p>
      <w:pPr>
        <w:keepNext w:val="0"/>
        <w:keepLines w:val="0"/>
        <w:pageBreakBefore w:val="0"/>
        <w:widowControl/>
        <w:kinsoku/>
        <w:wordWrap/>
        <w:overflowPunct/>
        <w:topLinePunct w:val="0"/>
        <w:autoSpaceDE/>
        <w:autoSpaceDN/>
        <w:bidi w:val="0"/>
        <w:adjustRightInd/>
        <w:snapToGrid/>
        <w:spacing w:line="560" w:lineRule="exact"/>
        <w:ind w:left="1931" w:leftChars="500" w:hanging="331" w:hangingChars="106"/>
        <w:textAlignment w:val="auto"/>
        <w:outlineLvl w:val="0"/>
        <w:rPr>
          <w:rFonts w:eastAsia="仿宋_GB2312"/>
          <w:color w:val="auto"/>
          <w:w w:val="98"/>
          <w:kern w:val="0"/>
          <w:sz w:val="32"/>
          <w:szCs w:val="32"/>
          <w:highlight w:val="none"/>
          <w:lang w:bidi="ar"/>
        </w:rPr>
      </w:pPr>
      <w:r>
        <w:rPr>
          <w:rFonts w:hint="default" w:ascii="Times New Roman" w:hAnsi="Times New Roman" w:eastAsia="仿宋_GB2312" w:cs="Times New Roman"/>
          <w:color w:val="auto"/>
          <w:w w:val="98"/>
          <w:kern w:val="0"/>
          <w:sz w:val="32"/>
          <w:szCs w:val="32"/>
          <w:highlight w:val="none"/>
          <w:lang w:bidi="ar"/>
        </w:rPr>
        <w:t>3</w:t>
      </w:r>
      <w:r>
        <w:rPr>
          <w:rFonts w:hint="eastAsia" w:ascii="仿宋_GB2312" w:hAnsi="仿宋_GB2312" w:eastAsia="仿宋_GB2312" w:cs="仿宋_GB2312"/>
          <w:color w:val="auto"/>
          <w:w w:val="98"/>
          <w:kern w:val="0"/>
          <w:sz w:val="32"/>
          <w:szCs w:val="32"/>
          <w:highlight w:val="none"/>
          <w:lang w:bidi="ar"/>
        </w:rPr>
        <w:t>.</w:t>
      </w:r>
      <w:r>
        <w:rPr>
          <w:rFonts w:hint="default" w:ascii="Times New Roman" w:hAnsi="Times New Roman" w:eastAsia="仿宋_GB2312" w:cs="Times New Roman"/>
          <w:color w:val="auto"/>
          <w:w w:val="98"/>
          <w:kern w:val="0"/>
          <w:sz w:val="32"/>
          <w:szCs w:val="32"/>
          <w:highlight w:val="none"/>
          <w:lang w:bidi="ar"/>
        </w:rPr>
        <w:t>2026</w:t>
      </w:r>
      <w:r>
        <w:rPr>
          <w:rFonts w:eastAsia="仿宋_GB2312"/>
          <w:color w:val="auto"/>
          <w:w w:val="98"/>
          <w:kern w:val="0"/>
          <w:sz w:val="32"/>
          <w:szCs w:val="32"/>
          <w:highlight w:val="none"/>
          <w:lang w:bidi="ar"/>
        </w:rPr>
        <w:t>年放射诊疗机构国家随机监督抽查汇总表</w:t>
      </w:r>
    </w:p>
    <w:p>
      <w:pPr>
        <w:keepNext w:val="0"/>
        <w:keepLines w:val="0"/>
        <w:pageBreakBefore w:val="0"/>
        <w:kinsoku/>
        <w:wordWrap/>
        <w:overflowPunct/>
        <w:topLinePunct w:val="0"/>
        <w:autoSpaceDE/>
        <w:autoSpaceDN/>
        <w:bidi w:val="0"/>
        <w:adjustRightInd/>
        <w:snapToGrid/>
        <w:spacing w:line="560" w:lineRule="exact"/>
        <w:ind w:left="1931" w:leftChars="500" w:hanging="331" w:hangingChars="106"/>
        <w:textAlignment w:val="auto"/>
        <w:rPr>
          <w:rFonts w:eastAsia="仿宋_GB2312"/>
          <w:color w:val="auto"/>
          <w:w w:val="98"/>
          <w:kern w:val="0"/>
          <w:sz w:val="32"/>
          <w:szCs w:val="32"/>
          <w:highlight w:val="none"/>
          <w:lang w:bidi="ar"/>
        </w:rPr>
      </w:pPr>
      <w:r>
        <w:rPr>
          <w:rFonts w:hint="default" w:ascii="Times New Roman" w:hAnsi="Times New Roman" w:eastAsia="仿宋_GB2312" w:cs="Times New Roman"/>
          <w:color w:val="auto"/>
          <w:w w:val="98"/>
          <w:kern w:val="0"/>
          <w:sz w:val="32"/>
          <w:szCs w:val="32"/>
          <w:highlight w:val="none"/>
          <w:lang w:bidi="ar"/>
        </w:rPr>
        <w:t>4</w:t>
      </w:r>
      <w:r>
        <w:rPr>
          <w:rFonts w:hint="eastAsia" w:ascii="仿宋_GB2312" w:hAnsi="仿宋_GB2312" w:eastAsia="仿宋_GB2312" w:cs="仿宋_GB2312"/>
          <w:color w:val="auto"/>
          <w:w w:val="98"/>
          <w:kern w:val="0"/>
          <w:sz w:val="32"/>
          <w:szCs w:val="32"/>
          <w:highlight w:val="none"/>
          <w:lang w:bidi="ar"/>
        </w:rPr>
        <w:t>.</w:t>
      </w:r>
      <w:r>
        <w:rPr>
          <w:rFonts w:hint="default" w:ascii="Times New Roman" w:hAnsi="Times New Roman" w:eastAsia="仿宋_GB2312" w:cs="Times New Roman"/>
          <w:color w:val="auto"/>
          <w:w w:val="98"/>
          <w:kern w:val="0"/>
          <w:sz w:val="32"/>
          <w:szCs w:val="32"/>
          <w:highlight w:val="none"/>
          <w:lang w:bidi="ar"/>
        </w:rPr>
        <w:t>2026</w:t>
      </w:r>
      <w:r>
        <w:rPr>
          <w:rFonts w:eastAsia="仿宋_GB2312"/>
          <w:color w:val="auto"/>
          <w:w w:val="98"/>
          <w:kern w:val="0"/>
          <w:sz w:val="32"/>
          <w:szCs w:val="32"/>
          <w:highlight w:val="none"/>
          <w:lang w:bidi="ar"/>
        </w:rPr>
        <w:t>年职业健康检查机构、职业病诊断机构国家随机监督抽查汇总表</w:t>
      </w:r>
    </w:p>
    <w:p>
      <w:pPr>
        <w:keepNext w:val="0"/>
        <w:keepLines w:val="0"/>
        <w:pageBreakBefore w:val="0"/>
        <w:widowControl w:val="0"/>
        <w:shd w:val="clear" w:color="auto" w:fill="auto"/>
        <w:kinsoku/>
        <w:wordWrap/>
        <w:overflowPunct/>
        <w:topLinePunct w:val="0"/>
        <w:autoSpaceDE/>
        <w:autoSpaceDN/>
        <w:bidi w:val="0"/>
        <w:adjustRightInd/>
        <w:snapToGrid/>
        <w:spacing w:line="560" w:lineRule="exact"/>
        <w:ind w:left="1931" w:leftChars="500" w:hanging="331" w:hangingChars="106"/>
        <w:jc w:val="both"/>
        <w:textAlignment w:val="auto"/>
        <w:outlineLvl w:val="0"/>
        <w:rPr>
          <w:rFonts w:hint="eastAsia" w:ascii="Times New Roman" w:hAnsi="Times New Roman" w:eastAsia="仿宋_GB2312" w:cs="Times New Roman"/>
          <w:color w:val="auto"/>
          <w:spacing w:val="0"/>
          <w:w w:val="100"/>
          <w:kern w:val="0"/>
          <w:sz w:val="32"/>
          <w:szCs w:val="32"/>
          <w:highlight w:val="none"/>
          <w:lang w:bidi="ar"/>
        </w:rPr>
      </w:pPr>
      <w:r>
        <w:rPr>
          <w:rFonts w:hint="default" w:ascii="Times New Roman" w:hAnsi="Times New Roman" w:cs="Times New Roman"/>
          <w:color w:val="auto"/>
          <w:w w:val="98"/>
          <w:kern w:val="0"/>
          <w:sz w:val="32"/>
          <w:szCs w:val="32"/>
          <w:highlight w:val="none"/>
          <w:lang w:val="en-US" w:eastAsia="zh-CN" w:bidi="ar"/>
        </w:rPr>
        <w:t>5</w:t>
      </w:r>
      <w:r>
        <w:rPr>
          <w:rFonts w:hint="eastAsia" w:ascii="仿宋_GB2312" w:hAnsi="仿宋_GB2312" w:eastAsia="仿宋_GB2312" w:cs="仿宋_GB2312"/>
          <w:color w:val="auto"/>
          <w:w w:val="98"/>
          <w:kern w:val="0"/>
          <w:sz w:val="32"/>
          <w:szCs w:val="32"/>
          <w:highlight w:val="none"/>
          <w:lang w:val="en-US" w:eastAsia="zh-CN" w:bidi="ar"/>
        </w:rPr>
        <w:t>.</w:t>
      </w:r>
      <w:r>
        <w:rPr>
          <w:rFonts w:hint="default" w:ascii="Times New Roman" w:hAnsi="Times New Roman" w:cs="Times New Roman"/>
          <w:color w:val="auto"/>
          <w:w w:val="98"/>
          <w:kern w:val="0"/>
          <w:sz w:val="32"/>
          <w:szCs w:val="32"/>
          <w:highlight w:val="none"/>
          <w:lang w:val="en-US" w:eastAsia="zh-CN" w:bidi="ar"/>
        </w:rPr>
        <w:t>2</w:t>
      </w:r>
      <w:r>
        <w:rPr>
          <w:rFonts w:hint="default" w:ascii="Times New Roman" w:hAnsi="Times New Roman" w:eastAsia="仿宋_GB2312" w:cs="Times New Roman"/>
          <w:color w:val="auto"/>
          <w:w w:val="98"/>
          <w:kern w:val="0"/>
          <w:sz w:val="32"/>
          <w:szCs w:val="32"/>
          <w:highlight w:val="none"/>
          <w:lang w:bidi="ar"/>
        </w:rPr>
        <w:t>026</w:t>
      </w:r>
      <w:r>
        <w:rPr>
          <w:rFonts w:eastAsia="仿宋_GB2312"/>
          <w:color w:val="auto"/>
          <w:w w:val="98"/>
          <w:kern w:val="0"/>
          <w:sz w:val="32"/>
          <w:szCs w:val="32"/>
          <w:highlight w:val="none"/>
          <w:lang w:bidi="ar"/>
        </w:rPr>
        <w:t>年职业卫生和放射卫生国家随机监督抽查任务清单</w:t>
      </w:r>
    </w:p>
    <w:p>
      <w:pPr>
        <w:keepNext w:val="0"/>
        <w:keepLines w:val="0"/>
        <w:pageBreakBefore w:val="0"/>
        <w:widowControl w:val="0"/>
        <w:shd w:val="clear" w:color="auto" w:fill="auto"/>
        <w:kinsoku/>
        <w:wordWrap/>
        <w:overflowPunct/>
        <w:topLinePunct w:val="0"/>
        <w:autoSpaceDE/>
        <w:autoSpaceDN/>
        <w:bidi w:val="0"/>
        <w:adjustRightInd/>
        <w:snapToGrid/>
        <w:spacing w:line="600" w:lineRule="exact"/>
        <w:ind w:firstLine="640"/>
        <w:jc w:val="both"/>
        <w:textAlignment w:val="auto"/>
        <w:outlineLvl w:val="0"/>
        <w:rPr>
          <w:rFonts w:hint="eastAsia" w:ascii="仿宋_GB2312" w:hAnsi="仿宋_GB2312" w:eastAsia="仿宋_GB2312" w:cs="仿宋_GB2312"/>
          <w:color w:val="auto"/>
          <w:w w:val="98"/>
          <w:kern w:val="0"/>
          <w:sz w:val="32"/>
          <w:szCs w:val="32"/>
          <w:highlight w:val="none"/>
          <w:lang w:val="en-US" w:eastAsia="zh-CN" w:bidi="ar"/>
        </w:rPr>
      </w:pPr>
    </w:p>
    <w:p>
      <w:pPr>
        <w:keepNext w:val="0"/>
        <w:keepLines w:val="0"/>
        <w:pageBreakBefore w:val="0"/>
        <w:widowControl w:val="0"/>
        <w:shd w:val="clear" w:color="auto" w:fill="auto"/>
        <w:kinsoku/>
        <w:wordWrap/>
        <w:overflowPunct/>
        <w:topLinePunct w:val="0"/>
        <w:autoSpaceDE/>
        <w:autoSpaceDN/>
        <w:bidi w:val="0"/>
        <w:adjustRightInd/>
        <w:snapToGrid/>
        <w:textAlignment w:val="auto"/>
        <w:rPr>
          <w:rFonts w:hint="eastAsia" w:ascii="仿宋_GB2312" w:hAnsi="仿宋_GB2312" w:eastAsia="仿宋_GB2312" w:cs="仿宋_GB2312"/>
          <w:color w:val="auto"/>
          <w:w w:val="98"/>
          <w:kern w:val="0"/>
          <w:sz w:val="32"/>
          <w:szCs w:val="32"/>
          <w:highlight w:val="none"/>
          <w:lang w:val="en-US" w:eastAsia="zh-CN" w:bidi="ar"/>
        </w:rPr>
        <w:sectPr>
          <w:headerReference r:id="rId3" w:type="default"/>
          <w:footerReference r:id="rId4" w:type="default"/>
          <w:pgSz w:w="11906" w:h="16838"/>
          <w:pgMar w:top="1701" w:right="1417" w:bottom="1417" w:left="1701" w:header="851" w:footer="992" w:gutter="0"/>
          <w:pgBorders>
            <w:top w:val="none" w:sz="0" w:space="0"/>
            <w:left w:val="none" w:sz="0" w:space="0"/>
            <w:bottom w:val="none" w:sz="0" w:space="0"/>
            <w:right w:val="none" w:sz="0" w:space="0"/>
          </w:pgBorders>
          <w:pgNumType w:fmt="decimal"/>
          <w:cols w:space="720" w:num="1"/>
          <w:rtlGutter w:val="0"/>
          <w:docGrid w:type="lines" w:linePitch="442" w:charSpace="0"/>
        </w:sect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imes New Roman" w:hAnsi="Times New Roman" w:eastAsia="黑体" w:cs="Times New Roman"/>
          <w:color w:val="auto"/>
          <w:sz w:val="32"/>
          <w:szCs w:val="32"/>
          <w:highlight w:val="none"/>
        </w:rPr>
      </w:pPr>
      <w:r>
        <w:rPr>
          <w:rFonts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rPr>
        <w:t>1</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ascii="Times New Roman" w:hAnsi="Times New Roman" w:eastAsia="黑体" w:cs="Times New Roman"/>
          <w:color w:val="auto"/>
          <w:w w:val="98"/>
          <w:kern w:val="0"/>
          <w:sz w:val="32"/>
          <w:szCs w:val="32"/>
          <w:highlight w:val="none"/>
          <w:lang w:bidi="ar"/>
        </w:rPr>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outlineLvl w:val="0"/>
        <w:rPr>
          <w:rFonts w:ascii="Times New Roman" w:hAnsi="Times New Roman" w:eastAsia="方正小标宋简体" w:cs="Times New Roman"/>
          <w:bCs/>
          <w:color w:val="auto"/>
          <w:sz w:val="44"/>
          <w:szCs w:val="22"/>
          <w:highlight w:val="none"/>
        </w:rPr>
      </w:pPr>
      <w:r>
        <w:rPr>
          <w:rFonts w:hint="default" w:ascii="Times New Roman" w:hAnsi="Times New Roman" w:eastAsia="方正小标宋简体" w:cs="Times New Roman"/>
          <w:bCs/>
          <w:color w:val="auto"/>
          <w:sz w:val="44"/>
          <w:szCs w:val="22"/>
          <w:highlight w:val="none"/>
        </w:rPr>
        <w:t>2026</w:t>
      </w:r>
      <w:r>
        <w:rPr>
          <w:rFonts w:ascii="Times New Roman" w:hAnsi="Times New Roman" w:eastAsia="方正小标宋简体" w:cs="Times New Roman"/>
          <w:bCs/>
          <w:color w:val="auto"/>
          <w:sz w:val="44"/>
          <w:szCs w:val="22"/>
          <w:highlight w:val="none"/>
        </w:rPr>
        <w:t>年用人单位职业卫生国家随机监督抽查汇总表</w:t>
      </w:r>
    </w:p>
    <w:p>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tbl>
      <w:tblPr>
        <w:tblStyle w:val="20"/>
        <w:tblW w:w="141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774"/>
        <w:gridCol w:w="876"/>
        <w:gridCol w:w="948"/>
        <w:gridCol w:w="768"/>
        <w:gridCol w:w="660"/>
        <w:gridCol w:w="936"/>
        <w:gridCol w:w="876"/>
        <w:gridCol w:w="828"/>
        <w:gridCol w:w="833"/>
        <w:gridCol w:w="847"/>
        <w:gridCol w:w="864"/>
        <w:gridCol w:w="889"/>
        <w:gridCol w:w="1022"/>
        <w:gridCol w:w="609"/>
        <w:gridCol w:w="741"/>
        <w:gridCol w:w="851"/>
        <w:gridCol w:w="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7" w:hRule="atLeast"/>
          <w:jc w:val="center"/>
        </w:trPr>
        <w:tc>
          <w:tcPr>
            <w:tcW w:w="774"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监督</w:t>
            </w:r>
          </w:p>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检查</w:t>
            </w:r>
          </w:p>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对象</w:t>
            </w:r>
          </w:p>
        </w:tc>
        <w:tc>
          <w:tcPr>
            <w:tcW w:w="876"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辖区</w:t>
            </w:r>
          </w:p>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单位数</w:t>
            </w:r>
          </w:p>
        </w:tc>
        <w:tc>
          <w:tcPr>
            <w:tcW w:w="948"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抽查</w:t>
            </w:r>
          </w:p>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单位数</w:t>
            </w:r>
          </w:p>
        </w:tc>
        <w:tc>
          <w:tcPr>
            <w:tcW w:w="768"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不合格单位数</w:t>
            </w:r>
          </w:p>
        </w:tc>
        <w:tc>
          <w:tcPr>
            <w:tcW w:w="8364" w:type="dxa"/>
            <w:gridSpan w:val="10"/>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不合格单位数</w:t>
            </w:r>
          </w:p>
        </w:tc>
        <w:tc>
          <w:tcPr>
            <w:tcW w:w="2442" w:type="dxa"/>
            <w:gridSpan w:val="3"/>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7" w:hRule="atLeast"/>
          <w:jc w:val="center"/>
        </w:trPr>
        <w:tc>
          <w:tcPr>
            <w:tcW w:w="774"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876"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948"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768"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660"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职业卫生培训</w:t>
            </w:r>
          </w:p>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936"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建设项目</w:t>
            </w:r>
            <w:r>
              <w:rPr>
                <w:rFonts w:hint="eastAsia" w:ascii="黑体" w:hAnsi="黑体" w:eastAsia="黑体" w:cs="黑体"/>
                <w:color w:val="auto"/>
                <w:spacing w:val="-11"/>
                <w:w w:val="99"/>
                <w:kern w:val="0"/>
                <w:sz w:val="21"/>
                <w:szCs w:val="21"/>
                <w:highlight w:val="none"/>
                <w:lang w:bidi="ar"/>
              </w:rPr>
              <w:t>“三同时”</w:t>
            </w:r>
          </w:p>
        </w:tc>
        <w:tc>
          <w:tcPr>
            <w:tcW w:w="876"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职业病危害项目申报</w:t>
            </w:r>
          </w:p>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1661" w:type="dxa"/>
            <w:gridSpan w:val="2"/>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工作场所职业</w:t>
            </w:r>
            <w:r>
              <w:rPr>
                <w:rFonts w:hint="eastAsia" w:ascii="黑体" w:hAnsi="黑体" w:eastAsia="黑体" w:cs="黑体"/>
                <w:color w:val="auto"/>
                <w:kern w:val="0"/>
                <w:sz w:val="21"/>
                <w:szCs w:val="21"/>
                <w:highlight w:val="none"/>
                <w:lang w:bidi="ar"/>
              </w:rPr>
              <w:br w:type="textWrapping"/>
            </w:r>
            <w:r>
              <w:rPr>
                <w:rFonts w:hint="eastAsia" w:ascii="黑体" w:hAnsi="黑体" w:eastAsia="黑体" w:cs="黑体"/>
                <w:color w:val="auto"/>
                <w:kern w:val="0"/>
                <w:sz w:val="21"/>
                <w:szCs w:val="21"/>
                <w:highlight w:val="none"/>
                <w:lang w:bidi="ar"/>
              </w:rPr>
              <w:t>卫生管理</w:t>
            </w:r>
          </w:p>
        </w:tc>
        <w:tc>
          <w:tcPr>
            <w:tcW w:w="847"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职业病危害警示和告知</w:t>
            </w:r>
          </w:p>
        </w:tc>
        <w:tc>
          <w:tcPr>
            <w:tcW w:w="864"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劳动者职业健康监护</w:t>
            </w:r>
          </w:p>
        </w:tc>
        <w:tc>
          <w:tcPr>
            <w:tcW w:w="1911" w:type="dxa"/>
            <w:gridSpan w:val="2"/>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职业病病人和疑似职业病病人处置</w:t>
            </w:r>
          </w:p>
        </w:tc>
        <w:tc>
          <w:tcPr>
            <w:tcW w:w="609" w:type="dxa"/>
            <w:vMerge w:val="restart"/>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其他</w:t>
            </w:r>
          </w:p>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2442" w:type="dxa"/>
            <w:gridSpan w:val="3"/>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40" w:hRule="atLeast"/>
          <w:jc w:val="center"/>
        </w:trPr>
        <w:tc>
          <w:tcPr>
            <w:tcW w:w="774" w:type="dxa"/>
            <w:vMerge w:val="continue"/>
            <w:noWrap w:val="0"/>
            <w:vAlign w:val="top"/>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876" w:type="dxa"/>
            <w:vMerge w:val="continue"/>
            <w:noWrap w:val="0"/>
            <w:vAlign w:val="top"/>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948" w:type="dxa"/>
            <w:vMerge w:val="continue"/>
            <w:noWrap w:val="0"/>
            <w:vAlign w:val="top"/>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768" w:type="dxa"/>
            <w:vMerge w:val="continue"/>
            <w:noWrap w:val="0"/>
            <w:vAlign w:val="top"/>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660"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936"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876"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828" w:type="dxa"/>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监测、检测、评价</w:t>
            </w:r>
          </w:p>
        </w:tc>
        <w:tc>
          <w:tcPr>
            <w:tcW w:w="833" w:type="dxa"/>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防护设施、应急救援设施、防护用品</w:t>
            </w:r>
          </w:p>
        </w:tc>
        <w:tc>
          <w:tcPr>
            <w:tcW w:w="847"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864"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p>
        </w:tc>
        <w:tc>
          <w:tcPr>
            <w:tcW w:w="889" w:type="dxa"/>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病人</w:t>
            </w:r>
            <w:r>
              <w:rPr>
                <w:rFonts w:hint="eastAsia" w:ascii="黑体" w:hAnsi="黑体" w:eastAsia="黑体" w:cs="黑体"/>
                <w:color w:val="auto"/>
                <w:kern w:val="0"/>
                <w:sz w:val="21"/>
                <w:szCs w:val="21"/>
                <w:highlight w:val="none"/>
                <w:lang w:bidi="ar"/>
              </w:rPr>
              <w:br w:type="textWrapping"/>
            </w:r>
            <w:r>
              <w:rPr>
                <w:rFonts w:hint="eastAsia" w:ascii="黑体" w:hAnsi="黑体" w:eastAsia="黑体" w:cs="黑体"/>
                <w:color w:val="auto"/>
                <w:kern w:val="0"/>
                <w:sz w:val="21"/>
                <w:szCs w:val="21"/>
                <w:highlight w:val="none"/>
                <w:lang w:bidi="ar"/>
              </w:rPr>
              <w:t>处置</w:t>
            </w:r>
          </w:p>
        </w:tc>
        <w:tc>
          <w:tcPr>
            <w:tcW w:w="1022" w:type="dxa"/>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未为职业病诊断提供相关资料</w:t>
            </w:r>
          </w:p>
        </w:tc>
        <w:tc>
          <w:tcPr>
            <w:tcW w:w="609" w:type="dxa"/>
            <w:vMerge w:val="continue"/>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rPr>
            </w:pPr>
          </w:p>
        </w:tc>
        <w:tc>
          <w:tcPr>
            <w:tcW w:w="741" w:type="dxa"/>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rPr>
              <w:t>案件</w:t>
            </w:r>
          </w:p>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rPr>
              <w:t>查处数*</w:t>
            </w:r>
          </w:p>
        </w:tc>
        <w:tc>
          <w:tcPr>
            <w:tcW w:w="851" w:type="dxa"/>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单处警告单位数</w:t>
            </w:r>
          </w:p>
        </w:tc>
        <w:tc>
          <w:tcPr>
            <w:tcW w:w="850" w:type="dxa"/>
            <w:noWrap w:val="0"/>
            <w:vAlign w:val="center"/>
          </w:tcPr>
          <w:p>
            <w:pPr>
              <w:adjustRightInd w:val="0"/>
              <w:snapToGrid w:val="0"/>
              <w:ind w:left="-64" w:leftChars="-20" w:right="-64" w:rightChars="-20"/>
              <w:jc w:val="center"/>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罚款</w:t>
            </w:r>
            <w:r>
              <w:rPr>
                <w:rFonts w:hint="eastAsia" w:ascii="黑体" w:hAnsi="黑体" w:eastAsia="黑体" w:cs="黑体"/>
                <w:color w:val="auto"/>
                <w:kern w:val="0"/>
                <w:sz w:val="21"/>
                <w:szCs w:val="21"/>
                <w:highlight w:val="none"/>
                <w:lang w:bidi="ar"/>
              </w:rPr>
              <w:br w:type="textWrapping"/>
            </w:r>
            <w:r>
              <w:rPr>
                <w:rFonts w:hint="eastAsia" w:ascii="黑体" w:hAnsi="黑体" w:eastAsia="黑体" w:cs="黑体"/>
                <w:color w:val="auto"/>
                <w:kern w:val="0"/>
                <w:sz w:val="21"/>
                <w:szCs w:val="21"/>
                <w:highlight w:val="none"/>
                <w:lang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94" w:hRule="atLeast"/>
          <w:jc w:val="center"/>
        </w:trPr>
        <w:tc>
          <w:tcPr>
            <w:tcW w:w="774" w:type="dxa"/>
            <w:noWrap w:val="0"/>
            <w:vAlign w:val="center"/>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r>
              <w:rPr>
                <w:rFonts w:ascii="Times New Roman" w:hAnsi="Times New Roman" w:eastAsia="仿宋_GB2312" w:cs="Times New Roman"/>
                <w:color w:val="auto"/>
                <w:kern w:val="0"/>
                <w:sz w:val="21"/>
                <w:szCs w:val="21"/>
                <w:highlight w:val="none"/>
                <w:lang w:bidi="ar"/>
              </w:rPr>
              <w:t>用人</w:t>
            </w:r>
          </w:p>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r>
              <w:rPr>
                <w:rFonts w:ascii="Times New Roman" w:hAnsi="Times New Roman" w:eastAsia="仿宋_GB2312" w:cs="Times New Roman"/>
                <w:color w:val="auto"/>
                <w:kern w:val="0"/>
                <w:sz w:val="21"/>
                <w:szCs w:val="21"/>
                <w:highlight w:val="none"/>
                <w:lang w:bidi="ar"/>
              </w:rPr>
              <w:t>单位</w:t>
            </w:r>
          </w:p>
        </w:tc>
        <w:tc>
          <w:tcPr>
            <w:tcW w:w="876"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948"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768"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660"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936" w:type="dxa"/>
            <w:noWrap w:val="0"/>
            <w:vAlign w:val="center"/>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876" w:type="dxa"/>
            <w:noWrap w:val="0"/>
            <w:vAlign w:val="center"/>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828"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833"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847"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864"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889"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1022" w:type="dxa"/>
            <w:noWrap w:val="0"/>
            <w:vAlign w:val="top"/>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609" w:type="dxa"/>
            <w:noWrap w:val="0"/>
            <w:vAlign w:val="center"/>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741" w:type="dxa"/>
            <w:noWrap w:val="0"/>
            <w:vAlign w:val="center"/>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851" w:type="dxa"/>
            <w:noWrap w:val="0"/>
            <w:vAlign w:val="center"/>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c>
          <w:tcPr>
            <w:tcW w:w="850" w:type="dxa"/>
            <w:noWrap w:val="0"/>
            <w:vAlign w:val="center"/>
          </w:tcPr>
          <w:p>
            <w:pPr>
              <w:adjustRightInd w:val="0"/>
              <w:snapToGrid w:val="0"/>
              <w:ind w:left="-64" w:leftChars="-20" w:right="-64" w:rightChars="-20"/>
              <w:jc w:val="center"/>
              <w:rPr>
                <w:rFonts w:ascii="Times New Roman" w:hAnsi="Times New Roman" w:eastAsia="仿宋_GB2312" w:cs="Times New Roman"/>
                <w:color w:val="auto"/>
                <w:kern w:val="0"/>
                <w:sz w:val="21"/>
                <w:szCs w:val="21"/>
                <w:highlight w:val="none"/>
                <w:lang w:bidi="ar"/>
              </w:rPr>
            </w:pPr>
          </w:p>
        </w:tc>
      </w:tr>
    </w:tbl>
    <w:p>
      <w:pPr>
        <w:jc w:val="left"/>
        <w:outlineLvl w:val="0"/>
        <w:rPr>
          <w:rFonts w:hint="eastAsia" w:ascii="Times New Roman" w:hAnsi="Times New Roman" w:eastAsia="仿宋_GB2312" w:cs="Times New Roman"/>
          <w:color w:val="auto"/>
          <w:kern w:val="0"/>
          <w:sz w:val="21"/>
          <w:szCs w:val="21"/>
          <w:highlight w:val="none"/>
          <w:lang w:bidi="ar"/>
        </w:rPr>
      </w:pPr>
      <w:r>
        <w:rPr>
          <w:rFonts w:hint="eastAsia" w:ascii="Times New Roman" w:hAnsi="Times New Roman" w:eastAsia="仿宋_GB2312" w:cs="Times New Roman"/>
          <w:color w:val="auto"/>
          <w:kern w:val="0"/>
          <w:sz w:val="21"/>
          <w:szCs w:val="21"/>
          <w:highlight w:val="none"/>
          <w:lang w:bidi="ar"/>
        </w:rPr>
        <w:t>注： “案件查处数*”包含初次轻微违法行为不予处罚数。</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color w:val="auto"/>
          <w:sz w:val="32"/>
          <w:szCs w:val="32"/>
          <w:highlight w:val="none"/>
        </w:rPr>
      </w:pPr>
      <w:r>
        <w:rPr>
          <w:rFonts w:hint="eastAsia" w:ascii="Times New Roman" w:hAnsi="Times New Roman" w:eastAsia="仿宋_GB2312" w:cs="Times New Roman"/>
          <w:color w:val="auto"/>
          <w:kern w:val="0"/>
          <w:sz w:val="21"/>
          <w:szCs w:val="21"/>
          <w:highlight w:val="none"/>
          <w:lang w:bidi="ar"/>
        </w:rPr>
        <w:br w:type="page"/>
      </w:r>
      <w:r>
        <w:rPr>
          <w:rFonts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rPr>
        <w:t>2</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Times New Roman" w:hAnsi="Times New Roman" w:eastAsia="方正小标宋简体" w:cs="Times New Roman"/>
          <w:bCs/>
          <w:color w:val="auto"/>
          <w:sz w:val="44"/>
          <w:szCs w:val="44"/>
          <w:highlight w:val="none"/>
        </w:rPr>
      </w:pPr>
      <w:r>
        <w:rPr>
          <w:rFonts w:hint="default" w:ascii="Times New Roman" w:hAnsi="Times New Roman" w:eastAsia="方正小标宋简体" w:cs="Times New Roman"/>
          <w:bCs/>
          <w:color w:val="auto"/>
          <w:sz w:val="44"/>
          <w:szCs w:val="44"/>
          <w:highlight w:val="none"/>
        </w:rPr>
        <w:t>2026</w:t>
      </w:r>
      <w:r>
        <w:rPr>
          <w:rFonts w:ascii="Times New Roman" w:hAnsi="Times New Roman" w:eastAsia="方正小标宋简体" w:cs="Times New Roman"/>
          <w:bCs/>
          <w:color w:val="auto"/>
          <w:sz w:val="44"/>
          <w:szCs w:val="44"/>
          <w:highlight w:val="none"/>
        </w:rPr>
        <w:t>年职业卫生和放射卫生技术服务机构国家随机监督抽查汇总表</w:t>
      </w:r>
    </w:p>
    <w:p>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tbl>
      <w:tblPr>
        <w:tblStyle w:val="20"/>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57" w:type="dxa"/>
          <w:bottom w:w="0" w:type="dxa"/>
          <w:right w:w="57" w:type="dxa"/>
        </w:tblCellMar>
      </w:tblPr>
      <w:tblGrid>
        <w:gridCol w:w="863"/>
        <w:gridCol w:w="539"/>
        <w:gridCol w:w="689"/>
        <w:gridCol w:w="1259"/>
        <w:gridCol w:w="1832"/>
        <w:gridCol w:w="1267"/>
        <w:gridCol w:w="1050"/>
        <w:gridCol w:w="1242"/>
        <w:gridCol w:w="1434"/>
        <w:gridCol w:w="985"/>
        <w:gridCol w:w="1016"/>
        <w:gridCol w:w="926"/>
        <w:gridCol w:w="1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63" w:hRule="atLeast"/>
          <w:jc w:val="center"/>
        </w:trPr>
        <w:tc>
          <w:tcPr>
            <w:tcW w:w="306"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监督检查对象</w:t>
            </w:r>
          </w:p>
        </w:tc>
        <w:tc>
          <w:tcPr>
            <w:tcW w:w="191" w:type="pct"/>
            <w:vMerge w:val="restar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抽</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查</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单</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位</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数</w:t>
            </w:r>
          </w:p>
        </w:tc>
        <w:tc>
          <w:tcPr>
            <w:tcW w:w="244" w:type="pct"/>
            <w:vMerge w:val="restart"/>
            <w:tcBorders>
              <w:top w:val="single" w:color="auto" w:sz="4" w:space="0"/>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rPr>
              <w:t>不合格单位数</w:t>
            </w:r>
          </w:p>
        </w:tc>
        <w:tc>
          <w:tcPr>
            <w:tcW w:w="2864" w:type="pct"/>
            <w:gridSpan w:val="6"/>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不合格单位数</w:t>
            </w:r>
          </w:p>
        </w:tc>
        <w:tc>
          <w:tcPr>
            <w:tcW w:w="1392"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411" w:hRule="atLeast"/>
          <w:jc w:val="center"/>
        </w:trPr>
        <w:tc>
          <w:tcPr>
            <w:tcW w:w="306" w:type="pct"/>
            <w:vMerge w:val="continue"/>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sz w:val="21"/>
                <w:szCs w:val="21"/>
                <w:highlight w:val="none"/>
              </w:rPr>
            </w:pPr>
          </w:p>
        </w:tc>
        <w:tc>
          <w:tcPr>
            <w:tcW w:w="191"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sz w:val="21"/>
                <w:szCs w:val="21"/>
                <w:highlight w:val="none"/>
              </w:rPr>
            </w:pPr>
          </w:p>
        </w:tc>
        <w:tc>
          <w:tcPr>
            <w:tcW w:w="244" w:type="pct"/>
            <w:vMerge w:val="continue"/>
            <w:tcBorders>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p>
        </w:tc>
        <w:tc>
          <w:tcPr>
            <w:tcW w:w="1095" w:type="pct"/>
            <w:gridSpan w:val="2"/>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资质证书</w:t>
            </w:r>
          </w:p>
        </w:tc>
        <w:tc>
          <w:tcPr>
            <w:tcW w:w="1769"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eastAsia="zh-CN"/>
              </w:rPr>
            </w:pPr>
            <w:r>
              <w:rPr>
                <w:rFonts w:hint="eastAsia" w:ascii="黑体" w:hAnsi="黑体" w:eastAsia="黑体" w:cs="黑体"/>
                <w:color w:val="auto"/>
                <w:kern w:val="0"/>
                <w:sz w:val="21"/>
                <w:szCs w:val="21"/>
                <w:highlight w:val="none"/>
                <w:lang w:bidi="ar"/>
              </w:rPr>
              <w:t>技术服务规范性</w:t>
            </w:r>
            <w:r>
              <w:rPr>
                <w:rFonts w:hint="eastAsia" w:ascii="黑体" w:hAnsi="黑体" w:eastAsia="黑体" w:cs="黑体"/>
                <w:color w:val="auto"/>
                <w:kern w:val="0"/>
                <w:sz w:val="21"/>
                <w:szCs w:val="21"/>
                <w:highlight w:val="none"/>
                <w:lang w:eastAsia="zh-CN" w:bidi="ar"/>
              </w:rPr>
              <w:t>真实性</w:t>
            </w:r>
          </w:p>
        </w:tc>
        <w:tc>
          <w:tcPr>
            <w:tcW w:w="349" w:type="pct"/>
            <w:tcBorders>
              <w:top w:val="single" w:color="auto" w:sz="4" w:space="0"/>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rPr>
              <w:t>案件查处数</w:t>
            </w:r>
          </w:p>
        </w:tc>
        <w:tc>
          <w:tcPr>
            <w:tcW w:w="360" w:type="pct"/>
            <w:tcBorders>
              <w:top w:val="single" w:color="auto" w:sz="4" w:space="0"/>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单处警告</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单位数</w:t>
            </w:r>
          </w:p>
        </w:tc>
        <w:tc>
          <w:tcPr>
            <w:tcW w:w="328" w:type="pct"/>
            <w:tcBorders>
              <w:top w:val="single" w:color="auto" w:sz="4" w:space="0"/>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罚款</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（万元）</w:t>
            </w:r>
          </w:p>
        </w:tc>
        <w:tc>
          <w:tcPr>
            <w:tcW w:w="354" w:type="pct"/>
            <w:tcBorders>
              <w:top w:val="single" w:color="auto" w:sz="4" w:space="0"/>
              <w:left w:val="nil"/>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r>
              <w:rPr>
                <w:rFonts w:hint="eastAsia" w:ascii="黑体" w:hAnsi="黑体" w:eastAsia="黑体" w:cs="黑体"/>
                <w:color w:val="auto"/>
                <w:kern w:val="0"/>
                <w:sz w:val="21"/>
                <w:szCs w:val="21"/>
                <w:highlight w:val="none"/>
                <w:lang w:bidi="ar"/>
              </w:rPr>
              <w:t>没收</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违法</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所得</w:t>
            </w:r>
          </w:p>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10" w:hRule="atLeast"/>
          <w:jc w:val="center"/>
        </w:trPr>
        <w:tc>
          <w:tcPr>
            <w:tcW w:w="306"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sz w:val="21"/>
                <w:szCs w:val="21"/>
                <w:highlight w:val="none"/>
              </w:rPr>
            </w:pPr>
          </w:p>
        </w:tc>
        <w:tc>
          <w:tcPr>
            <w:tcW w:w="191" w:type="pct"/>
            <w:vMerge w:val="continue"/>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sz w:val="21"/>
                <w:szCs w:val="21"/>
                <w:highlight w:val="none"/>
              </w:rPr>
            </w:pPr>
          </w:p>
        </w:tc>
        <w:tc>
          <w:tcPr>
            <w:tcW w:w="244" w:type="pct"/>
            <w:vMerge w:val="continue"/>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lang w:bidi="ar"/>
              </w:rPr>
            </w:pPr>
          </w:p>
        </w:tc>
        <w:tc>
          <w:tcPr>
            <w:tcW w:w="44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无资质擅自从事检测、评价服务</w:t>
            </w:r>
          </w:p>
        </w:tc>
        <w:tc>
          <w:tcPr>
            <w:tcW w:w="64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sz w:val="21"/>
                <w:szCs w:val="21"/>
                <w:highlight w:val="none"/>
              </w:rPr>
            </w:pPr>
            <w:r>
              <w:rPr>
                <w:rFonts w:hint="eastAsia" w:ascii="黑体" w:hAnsi="黑体" w:eastAsia="黑体" w:cs="黑体"/>
                <w:color w:val="auto"/>
                <w:kern w:val="0"/>
                <w:sz w:val="21"/>
                <w:szCs w:val="21"/>
                <w:highlight w:val="none"/>
                <w:lang w:bidi="ar"/>
              </w:rPr>
              <w:t>非法转让资质证书</w:t>
            </w:r>
          </w:p>
        </w:tc>
        <w:tc>
          <w:tcPr>
            <w:tcW w:w="44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超出资质认可范围从事技术服务</w:t>
            </w:r>
          </w:p>
        </w:tc>
        <w:tc>
          <w:tcPr>
            <w:tcW w:w="372"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出具虚假证明文件</w:t>
            </w:r>
          </w:p>
        </w:tc>
        <w:tc>
          <w:tcPr>
            <w:tcW w:w="44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不符合技术服务相关工作要求</w:t>
            </w:r>
          </w:p>
        </w:tc>
        <w:tc>
          <w:tcPr>
            <w:tcW w:w="50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r>
              <w:rPr>
                <w:rFonts w:hint="eastAsia" w:ascii="黑体" w:hAnsi="黑体" w:eastAsia="黑体" w:cs="黑体"/>
                <w:color w:val="auto"/>
                <w:kern w:val="0"/>
                <w:sz w:val="21"/>
                <w:szCs w:val="21"/>
                <w:highlight w:val="none"/>
                <w:lang w:bidi="ar"/>
              </w:rPr>
              <w:t>不符合专业技术人员管理要求</w:t>
            </w:r>
          </w:p>
        </w:tc>
        <w:tc>
          <w:tcPr>
            <w:tcW w:w="349" w:type="pct"/>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p>
        </w:tc>
        <w:tc>
          <w:tcPr>
            <w:tcW w:w="360" w:type="pct"/>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p>
        </w:tc>
        <w:tc>
          <w:tcPr>
            <w:tcW w:w="328" w:type="pct"/>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p>
        </w:tc>
        <w:tc>
          <w:tcPr>
            <w:tcW w:w="354" w:type="pct"/>
            <w:tcBorders>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hint="eastAsia" w:ascii="黑体" w:hAnsi="黑体" w:eastAsia="黑体" w:cs="黑体"/>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306" w:type="pct"/>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lang w:bidi="ar"/>
              </w:rPr>
            </w:pPr>
            <w:r>
              <w:rPr>
                <w:rFonts w:ascii="Times New Roman" w:hAnsi="Times New Roman" w:eastAsia="仿宋_GB2312" w:cs="Times New Roman"/>
                <w:color w:val="auto"/>
                <w:kern w:val="0"/>
                <w:sz w:val="21"/>
                <w:szCs w:val="21"/>
                <w:highlight w:val="none"/>
                <w:lang w:bidi="ar"/>
              </w:rPr>
              <w:t>职业卫生技术服务机构</w:t>
            </w:r>
          </w:p>
        </w:tc>
        <w:tc>
          <w:tcPr>
            <w:tcW w:w="191"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24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44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64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44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72"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440"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507"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49"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60"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28"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5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1191" w:hRule="atLeast"/>
          <w:jc w:val="center"/>
        </w:trPr>
        <w:tc>
          <w:tcPr>
            <w:tcW w:w="306" w:type="pct"/>
            <w:tcBorders>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lang w:bidi="ar"/>
              </w:rPr>
            </w:pPr>
            <w:bookmarkStart w:id="1" w:name="_Hlk217551033"/>
            <w:r>
              <w:rPr>
                <w:rFonts w:hint="eastAsia" w:ascii="Times New Roman" w:hAnsi="Times New Roman" w:eastAsia="仿宋_GB2312" w:cs="Times New Roman"/>
                <w:color w:val="auto"/>
                <w:kern w:val="0"/>
                <w:sz w:val="21"/>
                <w:szCs w:val="21"/>
                <w:highlight w:val="none"/>
                <w:lang w:bidi="ar"/>
              </w:rPr>
              <w:t>放射卫生技术服务机构</w:t>
            </w:r>
            <w:bookmarkEnd w:id="1"/>
          </w:p>
        </w:tc>
        <w:tc>
          <w:tcPr>
            <w:tcW w:w="191"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24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446"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64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44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72"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440"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507"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49"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60"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28" w:type="pct"/>
            <w:tcBorders>
              <w:top w:val="single" w:color="auto" w:sz="4" w:space="0"/>
              <w:left w:val="nil"/>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c>
          <w:tcPr>
            <w:tcW w:w="354"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jc w:val="center"/>
              <w:textAlignment w:val="auto"/>
              <w:rPr>
                <w:rFonts w:ascii="Times New Roman" w:hAnsi="Times New Roman" w:eastAsia="仿宋_GB2312" w:cs="Times New Roman"/>
                <w:color w:val="auto"/>
                <w:kern w:val="0"/>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before="46" w:beforeLines="10"/>
        <w:ind w:left="0" w:leftChars="0" w:right="0" w:rightChars="0"/>
        <w:textAlignment w:val="auto"/>
        <w:rPr>
          <w:rFonts w:hint="eastAsia" w:ascii="Times New Roman" w:hAnsi="Times New Roman" w:eastAsia="仿宋_GB2312" w:cs="Times New Roman"/>
          <w:color w:val="auto"/>
          <w:kern w:val="0"/>
          <w:sz w:val="21"/>
          <w:szCs w:val="21"/>
          <w:highlight w:val="none"/>
          <w:lang w:bidi="ar"/>
        </w:rPr>
      </w:pPr>
      <w:bookmarkStart w:id="2" w:name="_Hlk217551201"/>
      <w:r>
        <w:rPr>
          <w:rFonts w:hint="eastAsia" w:ascii="Times New Roman" w:hAnsi="Times New Roman" w:eastAsia="仿宋_GB2312" w:cs="Times New Roman"/>
          <w:color w:val="auto"/>
          <w:kern w:val="0"/>
          <w:sz w:val="21"/>
          <w:szCs w:val="21"/>
          <w:highlight w:val="none"/>
          <w:lang w:bidi="ar"/>
        </w:rPr>
        <w:t xml:space="preserve">注： </w:t>
      </w:r>
      <w:bookmarkStart w:id="3" w:name="_Hlk217568783"/>
      <w:r>
        <w:rPr>
          <w:rFonts w:hint="eastAsia" w:ascii="Times New Roman" w:hAnsi="Times New Roman" w:eastAsia="仿宋_GB2312" w:cs="Times New Roman"/>
          <w:color w:val="auto"/>
          <w:kern w:val="0"/>
          <w:sz w:val="21"/>
          <w:szCs w:val="21"/>
          <w:highlight w:val="none"/>
          <w:lang w:bidi="ar"/>
        </w:rPr>
        <w:t>本统计表包括辖区内有关机构的抽查和对用人单位</w:t>
      </w:r>
      <w:bookmarkStart w:id="4" w:name="_Hlk217568855"/>
      <w:r>
        <w:rPr>
          <w:rFonts w:hint="eastAsia" w:ascii="Times New Roman" w:hAnsi="Times New Roman" w:eastAsia="仿宋_GB2312" w:cs="Times New Roman"/>
          <w:color w:val="auto"/>
          <w:kern w:val="0"/>
          <w:sz w:val="21"/>
          <w:szCs w:val="21"/>
          <w:highlight w:val="none"/>
          <w:lang w:bidi="ar"/>
        </w:rPr>
        <w:t>、放射诊疗机构</w:t>
      </w:r>
      <w:bookmarkEnd w:id="4"/>
      <w:r>
        <w:rPr>
          <w:rFonts w:hint="eastAsia" w:ascii="Times New Roman" w:hAnsi="Times New Roman" w:eastAsia="仿宋_GB2312" w:cs="Times New Roman"/>
          <w:color w:val="auto"/>
          <w:kern w:val="0"/>
          <w:sz w:val="21"/>
          <w:szCs w:val="21"/>
          <w:highlight w:val="none"/>
          <w:lang w:bidi="ar"/>
        </w:rPr>
        <w:t>抽查过程中对辖区内及辖区外有关机构进行的延伸检查。</w:t>
      </w:r>
      <w:bookmarkEnd w:id="2"/>
      <w:bookmarkEnd w:id="3"/>
    </w:p>
    <w:p>
      <w:pPr>
        <w:spacing w:line="590" w:lineRule="exact"/>
        <w:rPr>
          <w:rFonts w:ascii="Times New Roman" w:hAnsi="Times New Roman" w:eastAsia="黑体" w:cs="Times New Roman"/>
          <w:color w:val="auto"/>
          <w:sz w:val="32"/>
          <w:szCs w:val="32"/>
          <w:highlight w:val="none"/>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color w:val="auto"/>
          <w:sz w:val="32"/>
          <w:szCs w:val="32"/>
          <w:highlight w:val="none"/>
        </w:rPr>
      </w:pPr>
      <w:r>
        <w:rPr>
          <w:rFonts w:ascii="Times New Roman" w:hAnsi="Times New Roman" w:eastAsia="黑体" w:cs="Times New Roman"/>
          <w:color w:val="auto"/>
          <w:sz w:val="32"/>
          <w:szCs w:val="32"/>
          <w:highlight w:val="none"/>
        </w:rPr>
        <w:br w:type="page"/>
      </w:r>
      <w:r>
        <w:rPr>
          <w:rFonts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rPr>
        <w:t>3</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Times New Roman" w:hAnsi="Times New Roman" w:eastAsia="方正小标宋简体" w:cs="Times New Roman"/>
          <w:bCs/>
          <w:color w:val="auto"/>
          <w:sz w:val="44"/>
          <w:szCs w:val="22"/>
          <w:highlight w:val="none"/>
        </w:rPr>
      </w:pPr>
      <w:r>
        <w:rPr>
          <w:rFonts w:hint="default" w:ascii="Times New Roman" w:hAnsi="Times New Roman" w:eastAsia="方正小标宋简体" w:cs="Times New Roman"/>
          <w:bCs/>
          <w:color w:val="auto"/>
          <w:sz w:val="44"/>
          <w:szCs w:val="22"/>
          <w:highlight w:val="none"/>
        </w:rPr>
        <w:t>2026</w:t>
      </w:r>
      <w:r>
        <w:rPr>
          <w:rFonts w:ascii="Times New Roman" w:hAnsi="Times New Roman" w:eastAsia="方正小标宋简体" w:cs="Times New Roman"/>
          <w:bCs/>
          <w:color w:val="auto"/>
          <w:sz w:val="44"/>
          <w:szCs w:val="22"/>
          <w:highlight w:val="none"/>
        </w:rPr>
        <w:t>年放射诊疗机构国家随机监督抽查汇总表</w:t>
      </w:r>
    </w:p>
    <w:p>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tbl>
      <w:tblPr>
        <w:tblStyle w:val="20"/>
        <w:tblW w:w="151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1086"/>
        <w:gridCol w:w="703"/>
        <w:gridCol w:w="596"/>
        <w:gridCol w:w="809"/>
        <w:gridCol w:w="704"/>
        <w:gridCol w:w="704"/>
        <w:gridCol w:w="704"/>
        <w:gridCol w:w="767"/>
        <w:gridCol w:w="850"/>
        <w:gridCol w:w="849"/>
        <w:gridCol w:w="714"/>
        <w:gridCol w:w="704"/>
        <w:gridCol w:w="709"/>
        <w:gridCol w:w="713"/>
        <w:gridCol w:w="718"/>
        <w:gridCol w:w="649"/>
        <w:gridCol w:w="701"/>
        <w:gridCol w:w="850"/>
        <w:gridCol w:w="709"/>
        <w:gridCol w:w="8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24" w:hRule="atLeast"/>
          <w:jc w:val="center"/>
        </w:trPr>
        <w:tc>
          <w:tcPr>
            <w:tcW w:w="108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单位</w:t>
            </w:r>
          </w:p>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类别</w:t>
            </w:r>
          </w:p>
        </w:tc>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辖区内单位总数</w:t>
            </w:r>
          </w:p>
        </w:tc>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检查单位数</w:t>
            </w:r>
          </w:p>
        </w:tc>
        <w:tc>
          <w:tcPr>
            <w:tcW w:w="10295" w:type="dxa"/>
            <w:gridSpan w:val="14"/>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不合格单位数</w:t>
            </w:r>
          </w:p>
        </w:tc>
        <w:tc>
          <w:tcPr>
            <w:tcW w:w="2439" w:type="dxa"/>
            <w:gridSpan w:val="3"/>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96" w:hRule="atLeast"/>
          <w:jc w:val="center"/>
        </w:trPr>
        <w:tc>
          <w:tcPr>
            <w:tcW w:w="108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p>
        </w:tc>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p>
        </w:tc>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放射诊疗许可</w:t>
            </w:r>
          </w:p>
        </w:tc>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放射诊疗建设项目</w:t>
            </w:r>
          </w:p>
        </w:tc>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放射诊疗场所及其防护措施</w:t>
            </w:r>
          </w:p>
        </w:tc>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放射诊疗设备及配套设施</w:t>
            </w: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放射工作人员管理</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开展放射诊疗的人员条件</w:t>
            </w: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对患者、受检者及其他非放射工作人员的保护</w:t>
            </w:r>
          </w:p>
        </w:tc>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放射事件预防处置</w:t>
            </w:r>
          </w:p>
        </w:tc>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职业病人管理</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档案管理与体系建设</w:t>
            </w:r>
          </w:p>
        </w:tc>
        <w:tc>
          <w:tcPr>
            <w:tcW w:w="71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X射线诊断管理</w:t>
            </w:r>
          </w:p>
        </w:tc>
        <w:tc>
          <w:tcPr>
            <w:tcW w:w="71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介入放射诊疗管理</w:t>
            </w:r>
          </w:p>
        </w:tc>
        <w:tc>
          <w:tcPr>
            <w:tcW w:w="64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核医学诊疗管理</w:t>
            </w: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放射治疗管理</w:t>
            </w: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案件查处数*</w:t>
            </w:r>
          </w:p>
        </w:tc>
        <w:tc>
          <w:tcPr>
            <w:tcW w:w="70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单处警告数</w:t>
            </w: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罚没款金额</w:t>
            </w:r>
            <w:r>
              <w:rPr>
                <w:rFonts w:hint="eastAsia" w:ascii="黑体" w:hAnsi="黑体" w:eastAsia="黑体" w:cs="黑体"/>
                <w:color w:val="auto"/>
                <w:sz w:val="21"/>
                <w:szCs w:val="21"/>
                <w:highlight w:val="none"/>
              </w:rPr>
              <w:br w:type="textWrapping"/>
            </w:r>
            <w:r>
              <w:rPr>
                <w:rFonts w:hint="eastAsia" w:ascii="黑体" w:hAnsi="黑体" w:eastAsia="黑体" w:cs="黑体"/>
                <w:color w:val="auto"/>
                <w:sz w:val="21"/>
                <w:szCs w:val="21"/>
                <w:highlight w:val="none"/>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45" w:hRule="atLeast"/>
          <w:jc w:val="center"/>
        </w:trPr>
        <w:tc>
          <w:tcPr>
            <w:tcW w:w="108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r>
              <w:rPr>
                <w:rFonts w:ascii="Times New Roman" w:hAnsi="Times New Roman" w:eastAsia="仿宋_GB2312" w:cs="Times New Roman"/>
                <w:color w:val="auto"/>
                <w:sz w:val="21"/>
                <w:szCs w:val="21"/>
                <w:highlight w:val="none"/>
              </w:rPr>
              <w:t>放射诊疗机构</w:t>
            </w:r>
          </w:p>
        </w:tc>
        <w:tc>
          <w:tcPr>
            <w:tcW w:w="70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5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13"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1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0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88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r>
    </w:tbl>
    <w:p>
      <w:pPr>
        <w:jc w:val="left"/>
        <w:outlineLvl w:val="0"/>
        <w:rPr>
          <w:rFonts w:hint="eastAsia" w:ascii="Times New Roman" w:hAnsi="Times New Roman" w:eastAsia="仿宋_GB2312" w:cs="Times New Roman"/>
          <w:color w:val="auto"/>
          <w:kern w:val="0"/>
          <w:sz w:val="21"/>
          <w:szCs w:val="21"/>
          <w:highlight w:val="none"/>
          <w:lang w:bidi="ar"/>
        </w:rPr>
      </w:pPr>
      <w:r>
        <w:rPr>
          <w:rFonts w:hint="eastAsia" w:ascii="Times New Roman" w:hAnsi="Times New Roman" w:eastAsia="仿宋_GB2312" w:cs="Times New Roman"/>
          <w:color w:val="auto"/>
          <w:kern w:val="0"/>
          <w:sz w:val="21"/>
          <w:szCs w:val="21"/>
          <w:highlight w:val="none"/>
          <w:lang w:bidi="ar"/>
        </w:rPr>
        <w:t>注： “案件查处数*”包含初次轻微违法行为不予处罚数。</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outlineLvl w:val="0"/>
        <w:rPr>
          <w:rFonts w:hint="default" w:ascii="Times New Roman" w:hAnsi="Times New Roman" w:eastAsia="黑体" w:cs="Times New Roman"/>
          <w:color w:val="auto"/>
          <w:sz w:val="32"/>
          <w:szCs w:val="32"/>
          <w:highlight w:val="none"/>
        </w:rPr>
      </w:pPr>
      <w:r>
        <w:rPr>
          <w:rFonts w:hint="eastAsia" w:ascii="Times New Roman" w:hAnsi="Times New Roman" w:eastAsia="仿宋_GB2312" w:cs="Times New Roman"/>
          <w:color w:val="auto"/>
          <w:kern w:val="0"/>
          <w:sz w:val="21"/>
          <w:szCs w:val="21"/>
          <w:highlight w:val="none"/>
          <w:lang w:bidi="ar"/>
        </w:rPr>
        <w:br w:type="page"/>
      </w:r>
      <w:r>
        <w:rPr>
          <w:rFonts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rPr>
        <w:t>4</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Times New Roman" w:hAnsi="Times New Roman" w:eastAsia="方正小标宋简体" w:cs="Times New Roman"/>
          <w:bCs/>
          <w:color w:val="auto"/>
          <w:sz w:val="44"/>
          <w:szCs w:val="44"/>
          <w:highlight w:val="none"/>
        </w:rPr>
      </w:pPr>
      <w:r>
        <w:rPr>
          <w:rFonts w:hint="default" w:ascii="Times New Roman" w:hAnsi="Times New Roman" w:eastAsia="方正小标宋简体" w:cs="Times New Roman"/>
          <w:bCs/>
          <w:color w:val="auto"/>
          <w:sz w:val="44"/>
          <w:szCs w:val="22"/>
          <w:highlight w:val="none"/>
        </w:rPr>
        <w:t>2026</w:t>
      </w:r>
      <w:r>
        <w:rPr>
          <w:rFonts w:ascii="Times New Roman" w:hAnsi="Times New Roman" w:eastAsia="方正小标宋简体" w:cs="Times New Roman"/>
          <w:bCs/>
          <w:color w:val="auto"/>
          <w:sz w:val="44"/>
          <w:szCs w:val="22"/>
          <w:highlight w:val="none"/>
        </w:rPr>
        <w:t>年职业健康检查机构、职业病诊断机构</w:t>
      </w:r>
      <w:r>
        <w:rPr>
          <w:rFonts w:ascii="Times New Roman" w:hAnsi="Times New Roman" w:eastAsia="方正小标宋简体" w:cs="Times New Roman"/>
          <w:bCs/>
          <w:color w:val="auto"/>
          <w:sz w:val="44"/>
          <w:szCs w:val="44"/>
          <w:highlight w:val="none"/>
        </w:rPr>
        <w:t>国家随机监督抽查汇总表</w:t>
      </w:r>
    </w:p>
    <w:p>
      <w:pPr>
        <w:pStyle w:val="2"/>
        <w:keepNext w:val="0"/>
        <w:keepLines w:val="0"/>
        <w:pageBreakBefore w:val="0"/>
        <w:widowControl w:val="0"/>
        <w:kinsoku/>
        <w:wordWrap/>
        <w:overflowPunct/>
        <w:topLinePunct w:val="0"/>
        <w:autoSpaceDE/>
        <w:autoSpaceDN/>
        <w:bidi w:val="0"/>
        <w:adjustRightInd/>
        <w:snapToGrid/>
        <w:spacing w:after="0" w:line="400" w:lineRule="exact"/>
        <w:textAlignment w:val="auto"/>
      </w:pPr>
    </w:p>
    <w:tbl>
      <w:tblPr>
        <w:tblStyle w:val="20"/>
        <w:tblW w:w="14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21"/>
        <w:gridCol w:w="777"/>
        <w:gridCol w:w="1160"/>
        <w:gridCol w:w="981"/>
        <w:gridCol w:w="941"/>
        <w:gridCol w:w="1091"/>
        <w:gridCol w:w="696"/>
        <w:gridCol w:w="1118"/>
        <w:gridCol w:w="941"/>
        <w:gridCol w:w="1036"/>
        <w:gridCol w:w="1114"/>
        <w:gridCol w:w="945"/>
        <w:gridCol w:w="450"/>
        <w:gridCol w:w="58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721"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hint="eastAsia" w:ascii="黑体" w:hAnsi="黑体" w:eastAsia="黑体" w:cs="黑体"/>
                <w:color w:val="auto"/>
                <w:sz w:val="21"/>
                <w:szCs w:val="21"/>
                <w:highlight w:val="none"/>
              </w:rPr>
            </w:pPr>
          </w:p>
        </w:tc>
        <w:tc>
          <w:tcPr>
            <w:tcW w:w="777" w:type="dxa"/>
            <w:vMerge w:val="restart"/>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检查单位数</w:t>
            </w:r>
          </w:p>
        </w:tc>
        <w:tc>
          <w:tcPr>
            <w:tcW w:w="10023" w:type="dxa"/>
            <w:gridSpan w:val="10"/>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不合格单位数</w:t>
            </w:r>
          </w:p>
        </w:tc>
        <w:tc>
          <w:tcPr>
            <w:tcW w:w="1748" w:type="dxa"/>
            <w:gridSpan w:val="3"/>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hint="eastAsia" w:ascii="黑体" w:hAnsi="黑体" w:eastAsia="黑体" w:cs="黑体"/>
                <w:color w:val="auto"/>
                <w:sz w:val="21"/>
                <w:szCs w:val="21"/>
                <w:highlight w:val="none"/>
              </w:rPr>
            </w:pPr>
          </w:p>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02" w:hRule="atLeast"/>
          <w:jc w:val="center"/>
        </w:trPr>
        <w:tc>
          <w:tcPr>
            <w:tcW w:w="1721"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p>
        </w:tc>
        <w:tc>
          <w:tcPr>
            <w:tcW w:w="777"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未按规定备案开展工作</w:t>
            </w:r>
          </w:p>
        </w:tc>
        <w:tc>
          <w:tcPr>
            <w:tcW w:w="98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出具的报告书、诊断证明书不符合相关要求</w:t>
            </w:r>
          </w:p>
        </w:tc>
        <w:tc>
          <w:tcPr>
            <w:tcW w:w="94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人员不能满足工作要求</w:t>
            </w:r>
          </w:p>
        </w:tc>
        <w:tc>
          <w:tcPr>
            <w:tcW w:w="109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仪器设备场所不能满足工作要求</w:t>
            </w: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出具虚假证明文件</w:t>
            </w:r>
          </w:p>
        </w:tc>
        <w:tc>
          <w:tcPr>
            <w:tcW w:w="111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档案管理不符合相关要求</w:t>
            </w:r>
          </w:p>
        </w:tc>
        <w:tc>
          <w:tcPr>
            <w:tcW w:w="94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管理制度不符合相关要求</w:t>
            </w: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劳动者保护不符合相关要求</w:t>
            </w:r>
          </w:p>
        </w:tc>
        <w:tc>
          <w:tcPr>
            <w:tcW w:w="11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职业健康检查结果、职业禁忌、疑似职业病、职业病的告知、通知、报告不符合相关要求</w:t>
            </w: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质量控制、程序不符合相关要求</w:t>
            </w:r>
          </w:p>
        </w:tc>
        <w:tc>
          <w:tcPr>
            <w:tcW w:w="45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案件查处数</w:t>
            </w:r>
          </w:p>
        </w:tc>
        <w:tc>
          <w:tcPr>
            <w:tcW w:w="589" w:type="dxa"/>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hint="eastAsia" w:ascii="黑体" w:hAnsi="黑体" w:eastAsia="黑体" w:cs="黑体"/>
                <w:color w:val="auto"/>
                <w:sz w:val="21"/>
                <w:szCs w:val="21"/>
                <w:highlight w:val="none"/>
              </w:rPr>
            </w:pPr>
          </w:p>
          <w:p>
            <w:pPr>
              <w:spacing w:line="240" w:lineRule="exact"/>
              <w:jc w:val="center"/>
              <w:rPr>
                <w:rFonts w:hint="eastAsia" w:ascii="黑体" w:hAnsi="黑体" w:eastAsia="黑体" w:cs="黑体"/>
                <w:color w:val="auto"/>
                <w:sz w:val="21"/>
                <w:szCs w:val="21"/>
                <w:highlight w:val="none"/>
              </w:rPr>
            </w:pPr>
          </w:p>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单处警告数</w:t>
            </w: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eastAsia" w:ascii="黑体" w:hAnsi="黑体" w:eastAsia="黑体" w:cs="黑体"/>
                <w:color w:val="auto"/>
                <w:sz w:val="21"/>
                <w:szCs w:val="21"/>
                <w:highlight w:val="none"/>
              </w:rPr>
            </w:pPr>
            <w:r>
              <w:rPr>
                <w:rFonts w:hint="eastAsia" w:ascii="黑体" w:hAnsi="黑体" w:eastAsia="黑体" w:cs="黑体"/>
                <w:color w:val="auto"/>
                <w:sz w:val="21"/>
                <w:szCs w:val="21"/>
                <w:highlight w:val="none"/>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72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r>
              <w:rPr>
                <w:rFonts w:ascii="Times New Roman" w:hAnsi="Times New Roman" w:eastAsia="仿宋_GB2312" w:cs="Times New Roman"/>
                <w:color w:val="auto"/>
                <w:spacing w:val="-6"/>
                <w:sz w:val="21"/>
                <w:szCs w:val="21"/>
                <w:highlight w:val="none"/>
              </w:rPr>
              <w:t>职业健康检查机构</w:t>
            </w:r>
          </w:p>
        </w:tc>
        <w:tc>
          <w:tcPr>
            <w:tcW w:w="7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8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589" w:type="dxa"/>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仿宋_GB2312" w:cs="Times New Roman"/>
                <w:color w:val="auto"/>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72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hint="default" w:ascii="Times New Roman" w:hAnsi="Times New Roman" w:eastAsia="仿宋_GB2312" w:cs="Times New Roman"/>
                <w:color w:val="auto"/>
                <w:sz w:val="21"/>
                <w:szCs w:val="21"/>
                <w:highlight w:val="none"/>
                <w:lang w:val="en-US" w:eastAsia="zh-CN"/>
              </w:rPr>
            </w:pPr>
            <w:r>
              <w:rPr>
                <w:rFonts w:hint="eastAsia" w:ascii="Times New Roman" w:hAnsi="Times New Roman" w:eastAsia="仿宋_GB2312" w:cs="Times New Roman"/>
                <w:color w:val="auto"/>
                <w:sz w:val="21"/>
                <w:szCs w:val="21"/>
                <w:highlight w:val="none"/>
                <w:lang w:eastAsia="zh-CN"/>
              </w:rPr>
              <w:t>疑似职业病检出率低于所在省份平均值</w:t>
            </w:r>
            <w:r>
              <w:rPr>
                <w:rFonts w:hint="default" w:ascii="Times New Roman" w:hAnsi="Times New Roman" w:eastAsia="仿宋_GB2312" w:cs="Times New Roman"/>
                <w:color w:val="auto"/>
                <w:sz w:val="21"/>
                <w:szCs w:val="21"/>
                <w:highlight w:val="none"/>
                <w:lang w:val="en-US" w:eastAsia="zh-CN"/>
              </w:rPr>
              <w:t>50%</w:t>
            </w:r>
            <w:r>
              <w:rPr>
                <w:rFonts w:hint="eastAsia" w:ascii="Times New Roman" w:hAnsi="Times New Roman" w:eastAsia="仿宋_GB2312" w:cs="Times New Roman"/>
                <w:color w:val="auto"/>
                <w:sz w:val="21"/>
                <w:szCs w:val="21"/>
                <w:highlight w:val="none"/>
                <w:lang w:val="en-US" w:eastAsia="zh-CN"/>
              </w:rPr>
              <w:t>的职业健康检查机构</w:t>
            </w:r>
          </w:p>
        </w:tc>
        <w:tc>
          <w:tcPr>
            <w:tcW w:w="7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8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589" w:type="dxa"/>
            <w:tcBorders>
              <w:top w:val="single" w:color="auto" w:sz="4" w:space="0"/>
              <w:left w:val="single" w:color="auto" w:sz="4" w:space="0"/>
              <w:bottom w:val="single" w:color="auto" w:sz="4" w:space="0"/>
              <w:right w:val="single" w:color="auto" w:sz="4" w:space="0"/>
            </w:tcBorders>
            <w:noWrap w:val="0"/>
            <w:vAlign w:val="top"/>
          </w:tcPr>
          <w:p>
            <w:pPr>
              <w:spacing w:line="240" w:lineRule="exact"/>
              <w:jc w:val="center"/>
              <w:rPr>
                <w:rFonts w:ascii="Times New Roman" w:hAnsi="Times New Roman" w:eastAsia="仿宋_GB2312" w:cs="Times New Roman"/>
                <w:color w:val="auto"/>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172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r>
              <w:rPr>
                <w:rFonts w:ascii="Times New Roman" w:hAnsi="Times New Roman" w:eastAsia="仿宋_GB2312" w:cs="Times New Roman"/>
                <w:color w:val="auto"/>
                <w:sz w:val="21"/>
                <w:szCs w:val="21"/>
                <w:highlight w:val="none"/>
              </w:rPr>
              <w:t>职业病诊断机构</w:t>
            </w:r>
          </w:p>
        </w:tc>
        <w:tc>
          <w:tcPr>
            <w:tcW w:w="777"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Times New Roman" w:hAnsi="Times New Roman" w:eastAsia="仿宋_GB2312" w:cs="Times New Roman"/>
                <w:color w:val="auto"/>
                <w:sz w:val="21"/>
                <w:szCs w:val="21"/>
                <w:highlight w:val="none"/>
              </w:rPr>
            </w:pPr>
          </w:p>
        </w:tc>
        <w:tc>
          <w:tcPr>
            <w:tcW w:w="116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Times New Roman" w:hAnsi="Times New Roman" w:eastAsia="仿宋_GB2312" w:cs="Times New Roman"/>
                <w:color w:val="auto"/>
                <w:sz w:val="21"/>
                <w:szCs w:val="21"/>
                <w:highlight w:val="none"/>
              </w:rPr>
            </w:pPr>
          </w:p>
        </w:tc>
        <w:tc>
          <w:tcPr>
            <w:tcW w:w="98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09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69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118"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036" w:type="dxa"/>
            <w:tcBorders>
              <w:top w:val="single" w:color="auto" w:sz="4" w:space="0"/>
              <w:left w:val="single" w:color="auto" w:sz="4" w:space="0"/>
              <w:bottom w:val="single" w:color="auto" w:sz="4" w:space="0"/>
              <w:right w:val="single" w:color="auto" w:sz="4" w:space="0"/>
            </w:tcBorders>
            <w:noWrap w:val="0"/>
            <w:vAlign w:val="center"/>
          </w:tcPr>
          <w:p>
            <w:pPr>
              <w:spacing w:line="240" w:lineRule="exact"/>
              <w:jc w:val="center"/>
              <w:rPr>
                <w:rFonts w:ascii="Times New Roman" w:hAnsi="Times New Roman" w:eastAsia="仿宋_GB2312" w:cs="Times New Roman"/>
                <w:color w:val="auto"/>
                <w:sz w:val="21"/>
                <w:szCs w:val="21"/>
                <w:highlight w:val="none"/>
              </w:rPr>
            </w:pPr>
          </w:p>
        </w:tc>
        <w:tc>
          <w:tcPr>
            <w:tcW w:w="1114"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Times New Roman" w:hAnsi="Times New Roman" w:eastAsia="仿宋_GB2312" w:cs="Times New Roman"/>
                <w:color w:val="auto"/>
                <w:sz w:val="21"/>
                <w:szCs w:val="21"/>
                <w:highlight w:val="none"/>
              </w:rPr>
            </w:pPr>
          </w:p>
        </w:tc>
        <w:tc>
          <w:tcPr>
            <w:tcW w:w="945"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Times New Roman" w:hAnsi="Times New Roman" w:eastAsia="仿宋_GB2312" w:cs="Times New Roman"/>
                <w:color w:val="auto"/>
                <w:sz w:val="21"/>
                <w:szCs w:val="21"/>
                <w:highlight w:val="none"/>
              </w:rPr>
            </w:pPr>
          </w:p>
        </w:tc>
        <w:tc>
          <w:tcPr>
            <w:tcW w:w="450"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Times New Roman" w:hAnsi="Times New Roman" w:eastAsia="仿宋_GB2312" w:cs="Times New Roman"/>
                <w:color w:val="auto"/>
                <w:sz w:val="21"/>
                <w:szCs w:val="21"/>
                <w:highlight w:val="none"/>
              </w:rPr>
            </w:pPr>
          </w:p>
        </w:tc>
        <w:tc>
          <w:tcPr>
            <w:tcW w:w="589" w:type="dxa"/>
            <w:tcBorders>
              <w:top w:val="single" w:color="auto" w:sz="4" w:space="0"/>
              <w:left w:val="single" w:color="auto" w:sz="4" w:space="0"/>
              <w:bottom w:val="single" w:color="auto" w:sz="4" w:space="0"/>
              <w:right w:val="single" w:color="auto" w:sz="4" w:space="0"/>
            </w:tcBorders>
            <w:noWrap w:val="0"/>
            <w:vAlign w:val="top"/>
          </w:tcPr>
          <w:p>
            <w:pPr>
              <w:spacing w:line="240" w:lineRule="exact"/>
              <w:rPr>
                <w:rFonts w:ascii="Times New Roman" w:hAnsi="Times New Roman" w:eastAsia="仿宋_GB2312" w:cs="Times New Roman"/>
                <w:color w:val="auto"/>
                <w:sz w:val="21"/>
                <w:szCs w:val="21"/>
                <w:highlight w:val="none"/>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spacing w:line="240" w:lineRule="exact"/>
              <w:rPr>
                <w:rFonts w:ascii="Times New Roman" w:hAnsi="Times New Roman" w:eastAsia="仿宋_GB2312" w:cs="Times New Roman"/>
                <w:color w:val="auto"/>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before="46" w:beforeLines="10" w:line="240" w:lineRule="exact"/>
        <w:textAlignment w:val="auto"/>
        <w:rPr>
          <w:rFonts w:hint="eastAsia" w:ascii="Times New Roman" w:hAnsi="Times New Roman" w:eastAsia="仿宋_GB2312" w:cs="Times New Roman"/>
          <w:color w:val="auto"/>
          <w:sz w:val="21"/>
          <w:szCs w:val="21"/>
          <w:highlight w:val="none"/>
        </w:rPr>
      </w:pPr>
      <w:r>
        <w:rPr>
          <w:rFonts w:hint="eastAsia" w:ascii="Times New Roman" w:hAnsi="Times New Roman" w:eastAsia="仿宋_GB2312" w:cs="Times New Roman"/>
          <w:color w:val="auto"/>
          <w:sz w:val="21"/>
          <w:szCs w:val="21"/>
          <w:highlight w:val="none"/>
        </w:rPr>
        <w:t>注： 本统计表包括辖区内有关机构的抽查和对用人单位、放射诊疗机构抽查过程中对辖区内及辖区外有关机构进行的延伸检查。</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ascii="Times New Roman" w:hAnsi="Times New Roman" w:eastAsia="黑体" w:cs="Times New Roman"/>
          <w:color w:val="auto"/>
          <w:sz w:val="32"/>
          <w:szCs w:val="32"/>
          <w:highlight w:val="none"/>
        </w:rPr>
      </w:pPr>
      <w:r>
        <w:rPr>
          <w:rFonts w:hint="eastAsia" w:ascii="Times New Roman" w:hAnsi="Times New Roman" w:eastAsia="仿宋_GB2312" w:cs="Times New Roman"/>
          <w:color w:val="auto"/>
          <w:sz w:val="21"/>
          <w:szCs w:val="21"/>
          <w:highlight w:val="none"/>
        </w:rPr>
        <w:br w:type="page"/>
      </w:r>
      <w:r>
        <w:rPr>
          <w:rFonts w:ascii="Times New Roman" w:hAnsi="Times New Roman" w:eastAsia="黑体" w:cs="Times New Roman"/>
          <w:color w:val="auto"/>
          <w:sz w:val="32"/>
          <w:szCs w:val="32"/>
          <w:highlight w:val="none"/>
        </w:rPr>
        <w:t>附表</w:t>
      </w:r>
      <w:r>
        <w:rPr>
          <w:rFonts w:hint="default" w:ascii="Times New Roman" w:hAnsi="Times New Roman" w:eastAsia="黑体" w:cs="Times New Roman"/>
          <w:color w:val="auto"/>
          <w:sz w:val="32"/>
          <w:szCs w:val="32"/>
          <w:highlight w:val="none"/>
        </w:rPr>
        <w:t>5</w:t>
      </w:r>
    </w:p>
    <w:p>
      <w:pPr>
        <w:pStyle w:val="2"/>
        <w:keepNext w:val="0"/>
        <w:keepLines w:val="0"/>
        <w:pageBreakBefore w:val="0"/>
        <w:widowControl w:val="0"/>
        <w:kinsoku/>
        <w:wordWrap/>
        <w:overflowPunct/>
        <w:topLinePunct w:val="0"/>
        <w:autoSpaceDE/>
        <w:autoSpaceDN/>
        <w:bidi w:val="0"/>
        <w:adjustRightInd/>
        <w:snapToGrid/>
        <w:spacing w:line="400" w:lineRule="exact"/>
        <w:textAlignment w:val="auto"/>
      </w:pP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ascii="Times New Roman" w:hAnsi="Times New Roman" w:eastAsia="方正小标宋简体" w:cs="Times New Roman"/>
          <w:bCs/>
          <w:color w:val="auto"/>
          <w:sz w:val="44"/>
          <w:szCs w:val="22"/>
          <w:highlight w:val="none"/>
        </w:rPr>
      </w:pPr>
      <w:r>
        <w:rPr>
          <w:rFonts w:hint="default" w:ascii="Times New Roman" w:hAnsi="Times New Roman" w:eastAsia="方正小标宋简体" w:cs="Times New Roman"/>
          <w:bCs/>
          <w:color w:val="auto"/>
          <w:sz w:val="44"/>
          <w:szCs w:val="22"/>
          <w:highlight w:val="none"/>
        </w:rPr>
        <w:t>2026</w:t>
      </w:r>
      <w:r>
        <w:rPr>
          <w:rFonts w:ascii="Times New Roman" w:hAnsi="Times New Roman" w:eastAsia="方正小标宋简体" w:cs="Times New Roman"/>
          <w:bCs/>
          <w:color w:val="auto"/>
          <w:sz w:val="44"/>
          <w:szCs w:val="22"/>
          <w:highlight w:val="none"/>
        </w:rPr>
        <w:t>年职业卫生和放射卫生国家随机监督抽查任务清单</w:t>
      </w:r>
    </w:p>
    <w:p>
      <w:pPr>
        <w:keepNext w:val="0"/>
        <w:keepLines w:val="0"/>
        <w:pageBreakBefore w:val="0"/>
        <w:widowControl w:val="0"/>
        <w:kinsoku/>
        <w:wordWrap/>
        <w:overflowPunct/>
        <w:topLinePunct w:val="0"/>
        <w:autoSpaceDE/>
        <w:autoSpaceDN/>
        <w:bidi w:val="0"/>
        <w:adjustRightInd/>
        <w:snapToGrid/>
        <w:spacing w:line="400" w:lineRule="exact"/>
        <w:ind w:right="-979" w:rightChars="-306"/>
        <w:textAlignment w:val="auto"/>
        <w:rPr>
          <w:rFonts w:ascii="Times New Roman" w:hAnsi="Times New Roman" w:eastAsia="华文仿宋" w:cs="Times New Roman"/>
          <w:color w:val="auto"/>
          <w:sz w:val="21"/>
          <w:szCs w:val="21"/>
          <w:highlight w:val="none"/>
        </w:rPr>
      </w:pPr>
    </w:p>
    <w:tbl>
      <w:tblPr>
        <w:tblStyle w:val="20"/>
        <w:tblW w:w="1397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9"/>
        <w:gridCol w:w="3707"/>
        <w:gridCol w:w="2217"/>
        <w:gridCol w:w="1650"/>
        <w:gridCol w:w="2523"/>
        <w:gridCol w:w="24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512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黑体" w:hAnsi="黑体" w:eastAsia="黑体" w:cs="黑体"/>
                <w:color w:val="auto"/>
                <w:sz w:val="21"/>
                <w:szCs w:val="22"/>
                <w:highlight w:val="none"/>
              </w:rPr>
            </w:pPr>
            <w:r>
              <w:rPr>
                <w:rFonts w:hint="eastAsia" w:ascii="黑体" w:hAnsi="黑体" w:eastAsia="黑体" w:cs="黑体"/>
                <w:color w:val="auto"/>
                <w:sz w:val="21"/>
                <w:szCs w:val="22"/>
                <w:highlight w:val="none"/>
              </w:rPr>
              <w:t>单位类别</w:t>
            </w:r>
          </w:p>
        </w:tc>
        <w:tc>
          <w:tcPr>
            <w:tcW w:w="221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黑体" w:hAnsi="黑体" w:eastAsia="黑体" w:cs="黑体"/>
                <w:color w:val="auto"/>
                <w:sz w:val="21"/>
                <w:szCs w:val="22"/>
                <w:highlight w:val="none"/>
              </w:rPr>
            </w:pPr>
            <w:r>
              <w:rPr>
                <w:rFonts w:hint="eastAsia" w:ascii="黑体" w:hAnsi="黑体" w:eastAsia="黑体" w:cs="黑体"/>
                <w:color w:val="auto"/>
                <w:sz w:val="21"/>
                <w:szCs w:val="22"/>
                <w:highlight w:val="none"/>
              </w:rPr>
              <w:t>辖区单位总数</w:t>
            </w:r>
          </w:p>
        </w:tc>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黑体" w:hAnsi="黑体" w:eastAsia="黑体" w:cs="黑体"/>
                <w:color w:val="auto"/>
                <w:sz w:val="21"/>
                <w:szCs w:val="22"/>
                <w:highlight w:val="none"/>
              </w:rPr>
            </w:pPr>
            <w:r>
              <w:rPr>
                <w:rFonts w:hint="eastAsia" w:ascii="黑体" w:hAnsi="黑体" w:eastAsia="黑体" w:cs="黑体"/>
                <w:color w:val="auto"/>
                <w:sz w:val="21"/>
                <w:szCs w:val="22"/>
                <w:highlight w:val="none"/>
              </w:rPr>
              <w:t>抽查单位数</w:t>
            </w:r>
          </w:p>
        </w:tc>
        <w:tc>
          <w:tcPr>
            <w:tcW w:w="252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黑体" w:hAnsi="黑体" w:eastAsia="黑体" w:cs="黑体"/>
                <w:color w:val="auto"/>
                <w:sz w:val="21"/>
                <w:szCs w:val="22"/>
                <w:highlight w:val="none"/>
              </w:rPr>
            </w:pPr>
            <w:r>
              <w:rPr>
                <w:rFonts w:hint="eastAsia" w:ascii="黑体" w:hAnsi="黑体" w:eastAsia="黑体" w:cs="黑体"/>
                <w:color w:val="auto"/>
                <w:sz w:val="21"/>
                <w:szCs w:val="22"/>
                <w:highlight w:val="none"/>
              </w:rPr>
              <w:t>抽取比例</w:t>
            </w: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黑体" w:hAnsi="黑体" w:eastAsia="黑体" w:cs="黑体"/>
                <w:color w:val="auto"/>
                <w:sz w:val="21"/>
                <w:szCs w:val="22"/>
                <w:highlight w:val="none"/>
              </w:rPr>
            </w:pPr>
            <w:r>
              <w:rPr>
                <w:rFonts w:hint="eastAsia" w:ascii="黑体" w:hAnsi="黑体" w:eastAsia="黑体" w:cs="黑体"/>
                <w:color w:val="auto"/>
                <w:sz w:val="21"/>
                <w:szCs w:val="22"/>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2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r>
              <w:rPr>
                <w:rFonts w:ascii="Times New Roman" w:hAnsi="Times New Roman" w:eastAsia="仿宋_GB2312" w:cs="Times New Roman"/>
                <w:color w:val="auto"/>
                <w:sz w:val="21"/>
                <w:szCs w:val="22"/>
                <w:highlight w:val="none"/>
              </w:rPr>
              <w:t>用人单位</w:t>
            </w:r>
          </w:p>
        </w:tc>
        <w:tc>
          <w:tcPr>
            <w:tcW w:w="221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r>
              <w:rPr>
                <w:rFonts w:ascii="Times New Roman" w:hAnsi="Times New Roman" w:eastAsia="仿宋_GB2312" w:cs="Times New Roman"/>
                <w:color w:val="auto"/>
                <w:sz w:val="21"/>
                <w:szCs w:val="22"/>
                <w:highlight w:val="none"/>
              </w:rPr>
              <w:t>技术服务</w:t>
            </w:r>
          </w:p>
          <w:p>
            <w:pPr>
              <w:spacing w:line="300" w:lineRule="exact"/>
              <w:jc w:val="center"/>
              <w:rPr>
                <w:rFonts w:ascii="Times New Roman" w:hAnsi="Times New Roman" w:eastAsia="仿宋_GB2312" w:cs="Times New Roman"/>
                <w:color w:val="auto"/>
                <w:sz w:val="21"/>
                <w:szCs w:val="22"/>
                <w:highlight w:val="none"/>
              </w:rPr>
            </w:pPr>
            <w:r>
              <w:rPr>
                <w:rFonts w:ascii="Times New Roman" w:hAnsi="Times New Roman" w:eastAsia="仿宋_GB2312" w:cs="Times New Roman"/>
                <w:color w:val="auto"/>
                <w:sz w:val="21"/>
                <w:szCs w:val="22"/>
                <w:highlight w:val="none"/>
              </w:rPr>
              <w:t>机构</w:t>
            </w:r>
          </w:p>
        </w:tc>
        <w:tc>
          <w:tcPr>
            <w:tcW w:w="370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r>
              <w:rPr>
                <w:rFonts w:ascii="Times New Roman" w:hAnsi="Times New Roman" w:eastAsia="仿宋_GB2312" w:cs="Times New Roman"/>
                <w:color w:val="auto"/>
                <w:sz w:val="21"/>
                <w:szCs w:val="22"/>
                <w:highlight w:val="none"/>
              </w:rPr>
              <w:t>职业卫生</w:t>
            </w:r>
          </w:p>
        </w:tc>
        <w:tc>
          <w:tcPr>
            <w:tcW w:w="221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419"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370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r>
              <w:rPr>
                <w:rFonts w:ascii="Times New Roman" w:hAnsi="Times New Roman" w:eastAsia="仿宋_GB2312" w:cs="Times New Roman"/>
                <w:color w:val="auto"/>
                <w:sz w:val="21"/>
                <w:szCs w:val="22"/>
                <w:highlight w:val="none"/>
              </w:rPr>
              <w:t>放射卫生</w:t>
            </w:r>
          </w:p>
        </w:tc>
        <w:tc>
          <w:tcPr>
            <w:tcW w:w="221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2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r>
              <w:rPr>
                <w:rFonts w:ascii="Times New Roman" w:hAnsi="Times New Roman" w:eastAsia="仿宋_GB2312" w:cs="Times New Roman"/>
                <w:color w:val="auto"/>
                <w:sz w:val="21"/>
                <w:szCs w:val="22"/>
                <w:highlight w:val="none"/>
              </w:rPr>
              <w:t>职业健康检查机构</w:t>
            </w:r>
          </w:p>
        </w:tc>
        <w:tc>
          <w:tcPr>
            <w:tcW w:w="221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2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r>
              <w:rPr>
                <w:rFonts w:ascii="Times New Roman" w:hAnsi="Times New Roman" w:eastAsia="仿宋_GB2312" w:cs="Times New Roman"/>
                <w:color w:val="auto"/>
                <w:sz w:val="21"/>
                <w:szCs w:val="22"/>
                <w:highlight w:val="none"/>
              </w:rPr>
              <w:t>职业病诊断机构</w:t>
            </w:r>
          </w:p>
        </w:tc>
        <w:tc>
          <w:tcPr>
            <w:tcW w:w="221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26"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r>
              <w:rPr>
                <w:rFonts w:ascii="Times New Roman" w:hAnsi="Times New Roman" w:eastAsia="仿宋_GB2312" w:cs="Times New Roman"/>
                <w:color w:val="auto"/>
                <w:sz w:val="21"/>
                <w:szCs w:val="22"/>
                <w:highlight w:val="none"/>
              </w:rPr>
              <w:t>放射诊疗机构</w:t>
            </w:r>
          </w:p>
        </w:tc>
        <w:tc>
          <w:tcPr>
            <w:tcW w:w="221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52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c>
          <w:tcPr>
            <w:tcW w:w="24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ascii="Times New Roman" w:hAnsi="Times New Roman" w:eastAsia="仿宋_GB2312" w:cs="Times New Roman"/>
                <w:color w:val="auto"/>
                <w:sz w:val="21"/>
                <w:szCs w:val="22"/>
                <w:highlight w:val="none"/>
              </w:rPr>
            </w:pPr>
          </w:p>
        </w:tc>
      </w:tr>
    </w:tbl>
    <w:p>
      <w:pPr>
        <w:keepNext w:val="0"/>
        <w:keepLines w:val="0"/>
        <w:pageBreakBefore w:val="0"/>
        <w:widowControl w:val="0"/>
        <w:topLinePunct w:val="0"/>
        <w:bidi w:val="0"/>
        <w:adjustRightInd/>
        <w:snapToGrid/>
        <w:spacing w:after="0" w:afterLines="0"/>
        <w:jc w:val="left"/>
        <w:rPr>
          <w:rFonts w:hint="eastAsia"/>
          <w:color w:val="auto"/>
          <w:highlight w:val="none"/>
          <w:lang w:val="en-US" w:eastAsia="zh-CN"/>
        </w:rPr>
      </w:pPr>
      <w:bookmarkStart w:id="5" w:name="_GoBack"/>
      <w:bookmarkEnd w:id="5"/>
    </w:p>
    <w:sectPr>
      <w:headerReference r:id="rId5" w:type="default"/>
      <w:footerReference r:id="rId6" w:type="default"/>
      <w:pgSz w:w="16838" w:h="11906" w:orient="landscape"/>
      <w:pgMar w:top="1701" w:right="1417" w:bottom="1417" w:left="1417" w:header="851" w:footer="992" w:gutter="0"/>
      <w:pgBorders>
        <w:top w:val="none" w:sz="0" w:space="0"/>
        <w:left w:val="none" w:sz="0" w:space="0"/>
        <w:bottom w:val="none" w:sz="0" w:space="0"/>
        <w:right w:val="none" w:sz="0" w:space="0"/>
      </w:pgBorders>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华文新魏">
    <w:panose1 w:val="02010800040101010101"/>
    <w:charset w:val="86"/>
    <w:family w:val="auto"/>
    <w:pitch w:val="default"/>
    <w:sig w:usb0="00000001" w:usb1="080F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 w:name="方正黑体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jc w:val="center"/>
      <w:rPr>
        <w:rFonts w:ascii="Times New Roman" w:hAnsi="Times New Roman" w:cs="Times New Roman"/>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EfBJWjMAQAAeQ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19</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16"/>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文本框 12"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FgAAAGRycy9QSwECFAAUAAAACACHTuJAs0lY7tAAAAAFAQAADwAAAAAA&#10;AAABACAAAAA4AAAAZHJzL2Rvd25yZXYueG1sUEsBAhQAFAAAAAgAh07iQK+he13MAQAAewMAAA4A&#10;AAAAAAAAAQAgAAAANQEAAGRycy9lMm9Eb2MueG1sUEsFBgAAAAAGAAYAWQEAAHMFAAAAAA==&#10;">
              <v:fill on="f" focussize="0,0"/>
              <v:stroke on="f" weight="0.5pt"/>
              <v:imagedata o:title=""/>
              <o:lock v:ext="edit" aspectratio="f"/>
              <v:textbox inset="0mm,0mm,0mm,0mm" style="mso-fit-shape-to-text:t;">
                <w:txbxContent>
                  <w:p>
                    <w:pPr>
                      <w:pStyle w:val="1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85</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0"/>
      </w:pBdr>
      <w:rPr>
        <w:rFonts w:ascii="Times New Roman" w:hAnsi="Times New Roman"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HorizontalSpacing w:val="320"/>
  <w:drawingGridVerticalSpacing w:val="229"/>
  <w:displayHorizontalDrawingGridEvery w:val="1"/>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JlODg3NDJlNjE1Y2RlZmNlYjljNmRjNTY1NWY1Y2QifQ=="/>
    <w:docVar w:name="KSO_WPS_MARK_KEY" w:val="417d55db-1d4e-4a60-b21f-8f0ff0cfeac0"/>
  </w:docVars>
  <w:rsids>
    <w:rsidRoot w:val="7A9E307B"/>
    <w:rsid w:val="00037005"/>
    <w:rsid w:val="00076791"/>
    <w:rsid w:val="001C4BC7"/>
    <w:rsid w:val="00322FC6"/>
    <w:rsid w:val="00413734"/>
    <w:rsid w:val="006629EB"/>
    <w:rsid w:val="007007DA"/>
    <w:rsid w:val="008F6EB2"/>
    <w:rsid w:val="00960AD5"/>
    <w:rsid w:val="00B35A90"/>
    <w:rsid w:val="00BC3A1F"/>
    <w:rsid w:val="00BF351B"/>
    <w:rsid w:val="00C37AAA"/>
    <w:rsid w:val="00DA3EA9"/>
    <w:rsid w:val="00FC0D8D"/>
    <w:rsid w:val="0107436A"/>
    <w:rsid w:val="01232ED2"/>
    <w:rsid w:val="014B4F9B"/>
    <w:rsid w:val="014C7250"/>
    <w:rsid w:val="01BF0252"/>
    <w:rsid w:val="01C023E4"/>
    <w:rsid w:val="01C25044"/>
    <w:rsid w:val="020D30D7"/>
    <w:rsid w:val="021331B0"/>
    <w:rsid w:val="0213766F"/>
    <w:rsid w:val="023D5238"/>
    <w:rsid w:val="02DF3A87"/>
    <w:rsid w:val="030B4640"/>
    <w:rsid w:val="031E5F61"/>
    <w:rsid w:val="031F4B2A"/>
    <w:rsid w:val="032B0869"/>
    <w:rsid w:val="03365C22"/>
    <w:rsid w:val="037E6D7C"/>
    <w:rsid w:val="03854524"/>
    <w:rsid w:val="03BF1103"/>
    <w:rsid w:val="03C33A72"/>
    <w:rsid w:val="03C344B4"/>
    <w:rsid w:val="03D270B5"/>
    <w:rsid w:val="03E05A22"/>
    <w:rsid w:val="03F90FD4"/>
    <w:rsid w:val="0402799B"/>
    <w:rsid w:val="04310935"/>
    <w:rsid w:val="045722BA"/>
    <w:rsid w:val="04826D2E"/>
    <w:rsid w:val="04912ACD"/>
    <w:rsid w:val="04B35E7E"/>
    <w:rsid w:val="04C44C50"/>
    <w:rsid w:val="04C47EF4"/>
    <w:rsid w:val="04E86D8C"/>
    <w:rsid w:val="05131012"/>
    <w:rsid w:val="05283E3D"/>
    <w:rsid w:val="05481F23"/>
    <w:rsid w:val="057FB15A"/>
    <w:rsid w:val="058E0E67"/>
    <w:rsid w:val="05B641F8"/>
    <w:rsid w:val="05D92515"/>
    <w:rsid w:val="05ED31D4"/>
    <w:rsid w:val="06023C82"/>
    <w:rsid w:val="061E65E2"/>
    <w:rsid w:val="062141E3"/>
    <w:rsid w:val="06414D49"/>
    <w:rsid w:val="06452248"/>
    <w:rsid w:val="065026A6"/>
    <w:rsid w:val="065A3ABE"/>
    <w:rsid w:val="06710C58"/>
    <w:rsid w:val="06C61153"/>
    <w:rsid w:val="06DE4D34"/>
    <w:rsid w:val="06F15AA5"/>
    <w:rsid w:val="070140D4"/>
    <w:rsid w:val="07146C2B"/>
    <w:rsid w:val="071D502A"/>
    <w:rsid w:val="07382E83"/>
    <w:rsid w:val="0749580F"/>
    <w:rsid w:val="079C39AF"/>
    <w:rsid w:val="07A144AB"/>
    <w:rsid w:val="07D02061"/>
    <w:rsid w:val="07DB2682"/>
    <w:rsid w:val="08050BBA"/>
    <w:rsid w:val="086C1AB1"/>
    <w:rsid w:val="0871455E"/>
    <w:rsid w:val="08817FAB"/>
    <w:rsid w:val="0889068B"/>
    <w:rsid w:val="088A5FAE"/>
    <w:rsid w:val="08FD2989"/>
    <w:rsid w:val="090A18D2"/>
    <w:rsid w:val="090D46AC"/>
    <w:rsid w:val="094C57A0"/>
    <w:rsid w:val="0A123725"/>
    <w:rsid w:val="0A1E5AD8"/>
    <w:rsid w:val="0A2C75C4"/>
    <w:rsid w:val="0AA44133"/>
    <w:rsid w:val="0AB1211B"/>
    <w:rsid w:val="0ACF31F4"/>
    <w:rsid w:val="0AD32091"/>
    <w:rsid w:val="0B381EF4"/>
    <w:rsid w:val="0B381EFE"/>
    <w:rsid w:val="0B391B68"/>
    <w:rsid w:val="0B472137"/>
    <w:rsid w:val="0B4E5DC0"/>
    <w:rsid w:val="0B6A2B3F"/>
    <w:rsid w:val="0BD34E2A"/>
    <w:rsid w:val="0C5454F2"/>
    <w:rsid w:val="0C720D19"/>
    <w:rsid w:val="0CA41EC6"/>
    <w:rsid w:val="0CB2303D"/>
    <w:rsid w:val="0CB43A34"/>
    <w:rsid w:val="0CE73BD2"/>
    <w:rsid w:val="0D3E2250"/>
    <w:rsid w:val="0D3F045D"/>
    <w:rsid w:val="0D816FAC"/>
    <w:rsid w:val="0D890877"/>
    <w:rsid w:val="0D9D07B2"/>
    <w:rsid w:val="0DAE4E4D"/>
    <w:rsid w:val="0DDA1835"/>
    <w:rsid w:val="0DDA741C"/>
    <w:rsid w:val="0DF83B6D"/>
    <w:rsid w:val="0E0B7745"/>
    <w:rsid w:val="0E300859"/>
    <w:rsid w:val="0E3305E7"/>
    <w:rsid w:val="0E815185"/>
    <w:rsid w:val="0EAA13FB"/>
    <w:rsid w:val="0EAF24CD"/>
    <w:rsid w:val="0EB57D5D"/>
    <w:rsid w:val="0EF74B43"/>
    <w:rsid w:val="0F565BDE"/>
    <w:rsid w:val="0F64775C"/>
    <w:rsid w:val="0F682FCA"/>
    <w:rsid w:val="0FC56418"/>
    <w:rsid w:val="0FC96946"/>
    <w:rsid w:val="0FCA64FB"/>
    <w:rsid w:val="0FCFAC52"/>
    <w:rsid w:val="0FE34B24"/>
    <w:rsid w:val="102773B8"/>
    <w:rsid w:val="103D1C5F"/>
    <w:rsid w:val="109B6824"/>
    <w:rsid w:val="109E5348"/>
    <w:rsid w:val="10C10E3B"/>
    <w:rsid w:val="10C67501"/>
    <w:rsid w:val="10C7607E"/>
    <w:rsid w:val="10CA13CD"/>
    <w:rsid w:val="10E408D1"/>
    <w:rsid w:val="10F26834"/>
    <w:rsid w:val="1148766F"/>
    <w:rsid w:val="114C533A"/>
    <w:rsid w:val="11603998"/>
    <w:rsid w:val="11BB03D1"/>
    <w:rsid w:val="11E278E8"/>
    <w:rsid w:val="11E931F7"/>
    <w:rsid w:val="12255A8E"/>
    <w:rsid w:val="12391914"/>
    <w:rsid w:val="123B7BAC"/>
    <w:rsid w:val="123E4D5A"/>
    <w:rsid w:val="12416C2E"/>
    <w:rsid w:val="12655D4A"/>
    <w:rsid w:val="12786FDE"/>
    <w:rsid w:val="129B1B57"/>
    <w:rsid w:val="12BE7B44"/>
    <w:rsid w:val="12EB585F"/>
    <w:rsid w:val="130444E5"/>
    <w:rsid w:val="13201BEB"/>
    <w:rsid w:val="13290E76"/>
    <w:rsid w:val="132C4DA4"/>
    <w:rsid w:val="139B227B"/>
    <w:rsid w:val="13CE7899"/>
    <w:rsid w:val="13EA4167"/>
    <w:rsid w:val="13FB9521"/>
    <w:rsid w:val="13FE97FC"/>
    <w:rsid w:val="140E71F5"/>
    <w:rsid w:val="143B02AF"/>
    <w:rsid w:val="14403969"/>
    <w:rsid w:val="14D1055E"/>
    <w:rsid w:val="1526785B"/>
    <w:rsid w:val="152E29B0"/>
    <w:rsid w:val="153A265A"/>
    <w:rsid w:val="15FF6367"/>
    <w:rsid w:val="16005951"/>
    <w:rsid w:val="163D5591"/>
    <w:rsid w:val="168769ED"/>
    <w:rsid w:val="168F7B3B"/>
    <w:rsid w:val="16A1F19D"/>
    <w:rsid w:val="16E81975"/>
    <w:rsid w:val="16F949D0"/>
    <w:rsid w:val="17427374"/>
    <w:rsid w:val="176C0D57"/>
    <w:rsid w:val="17CC0594"/>
    <w:rsid w:val="17D007DC"/>
    <w:rsid w:val="17DC33B7"/>
    <w:rsid w:val="17FE106F"/>
    <w:rsid w:val="186C75A9"/>
    <w:rsid w:val="186E2A80"/>
    <w:rsid w:val="188854A3"/>
    <w:rsid w:val="18D53478"/>
    <w:rsid w:val="18F40EF1"/>
    <w:rsid w:val="18FA1178"/>
    <w:rsid w:val="191A155F"/>
    <w:rsid w:val="195720DF"/>
    <w:rsid w:val="19745121"/>
    <w:rsid w:val="199C4E96"/>
    <w:rsid w:val="1AE50ED5"/>
    <w:rsid w:val="1AEC1CC7"/>
    <w:rsid w:val="1AFF207B"/>
    <w:rsid w:val="1B413BC6"/>
    <w:rsid w:val="1B4635D0"/>
    <w:rsid w:val="1B707488"/>
    <w:rsid w:val="1BDFCF29"/>
    <w:rsid w:val="1BFB1F11"/>
    <w:rsid w:val="1BFF11A0"/>
    <w:rsid w:val="1C063D2C"/>
    <w:rsid w:val="1C481CEE"/>
    <w:rsid w:val="1C665FEF"/>
    <w:rsid w:val="1C7C4839"/>
    <w:rsid w:val="1CA3263F"/>
    <w:rsid w:val="1CA876F0"/>
    <w:rsid w:val="1CAA0778"/>
    <w:rsid w:val="1D061CD6"/>
    <w:rsid w:val="1D440E15"/>
    <w:rsid w:val="1D4C1367"/>
    <w:rsid w:val="1DAFC045"/>
    <w:rsid w:val="1DCB77C9"/>
    <w:rsid w:val="1E174582"/>
    <w:rsid w:val="1E5D5825"/>
    <w:rsid w:val="1EC21DA9"/>
    <w:rsid w:val="1ED23D5D"/>
    <w:rsid w:val="1F2D0720"/>
    <w:rsid w:val="1F325180"/>
    <w:rsid w:val="1F4B4494"/>
    <w:rsid w:val="1F6F2913"/>
    <w:rsid w:val="1F812955"/>
    <w:rsid w:val="1F9A0F77"/>
    <w:rsid w:val="1FD176EC"/>
    <w:rsid w:val="1FD8503F"/>
    <w:rsid w:val="1FDC028D"/>
    <w:rsid w:val="1FE701BC"/>
    <w:rsid w:val="1FF732CC"/>
    <w:rsid w:val="1FFA5441"/>
    <w:rsid w:val="1FFD08FE"/>
    <w:rsid w:val="20064EC7"/>
    <w:rsid w:val="2050620E"/>
    <w:rsid w:val="20646707"/>
    <w:rsid w:val="20FF2B62"/>
    <w:rsid w:val="2119139F"/>
    <w:rsid w:val="213167FA"/>
    <w:rsid w:val="2197576F"/>
    <w:rsid w:val="21C36564"/>
    <w:rsid w:val="21CA5B44"/>
    <w:rsid w:val="220F71D5"/>
    <w:rsid w:val="2262788E"/>
    <w:rsid w:val="22870F8B"/>
    <w:rsid w:val="22992F93"/>
    <w:rsid w:val="22A52A40"/>
    <w:rsid w:val="22B81625"/>
    <w:rsid w:val="23281FDC"/>
    <w:rsid w:val="233424CD"/>
    <w:rsid w:val="233F60BE"/>
    <w:rsid w:val="23420685"/>
    <w:rsid w:val="23502079"/>
    <w:rsid w:val="23711FEF"/>
    <w:rsid w:val="23824DCA"/>
    <w:rsid w:val="23904659"/>
    <w:rsid w:val="23A76C58"/>
    <w:rsid w:val="23B24AA0"/>
    <w:rsid w:val="23CA0447"/>
    <w:rsid w:val="23E72D7E"/>
    <w:rsid w:val="23FB5D91"/>
    <w:rsid w:val="23FC3359"/>
    <w:rsid w:val="24C602A0"/>
    <w:rsid w:val="255D4F5C"/>
    <w:rsid w:val="25A0561F"/>
    <w:rsid w:val="25AC694C"/>
    <w:rsid w:val="25AE322E"/>
    <w:rsid w:val="25CC2725"/>
    <w:rsid w:val="25F0544D"/>
    <w:rsid w:val="260B3AF2"/>
    <w:rsid w:val="26246D08"/>
    <w:rsid w:val="26273282"/>
    <w:rsid w:val="262D1F62"/>
    <w:rsid w:val="26303B37"/>
    <w:rsid w:val="2694321F"/>
    <w:rsid w:val="26970F03"/>
    <w:rsid w:val="26B41E2F"/>
    <w:rsid w:val="26C12C8A"/>
    <w:rsid w:val="26C4487C"/>
    <w:rsid w:val="27273461"/>
    <w:rsid w:val="27F82CDF"/>
    <w:rsid w:val="284978BE"/>
    <w:rsid w:val="286955CC"/>
    <w:rsid w:val="28983176"/>
    <w:rsid w:val="28C0396B"/>
    <w:rsid w:val="28D77468"/>
    <w:rsid w:val="28E47F02"/>
    <w:rsid w:val="28F36385"/>
    <w:rsid w:val="28F5382E"/>
    <w:rsid w:val="29026055"/>
    <w:rsid w:val="2903415F"/>
    <w:rsid w:val="290860F5"/>
    <w:rsid w:val="291D29FD"/>
    <w:rsid w:val="291F4276"/>
    <w:rsid w:val="292C2C40"/>
    <w:rsid w:val="29493617"/>
    <w:rsid w:val="294E5235"/>
    <w:rsid w:val="295A6416"/>
    <w:rsid w:val="29AE7AF9"/>
    <w:rsid w:val="29D809E5"/>
    <w:rsid w:val="29E41058"/>
    <w:rsid w:val="29EE4B83"/>
    <w:rsid w:val="2A07580D"/>
    <w:rsid w:val="2A0A1ECA"/>
    <w:rsid w:val="2A297180"/>
    <w:rsid w:val="2A3E757F"/>
    <w:rsid w:val="2A4C5E3C"/>
    <w:rsid w:val="2AA8279A"/>
    <w:rsid w:val="2AAE2CB7"/>
    <w:rsid w:val="2B3C2EE3"/>
    <w:rsid w:val="2BAAFBBB"/>
    <w:rsid w:val="2BB82E79"/>
    <w:rsid w:val="2BBF934D"/>
    <w:rsid w:val="2BC33457"/>
    <w:rsid w:val="2BE5875E"/>
    <w:rsid w:val="2BF93E3D"/>
    <w:rsid w:val="2C305E98"/>
    <w:rsid w:val="2D15158E"/>
    <w:rsid w:val="2D4F7D2D"/>
    <w:rsid w:val="2DB92D23"/>
    <w:rsid w:val="2DFB046F"/>
    <w:rsid w:val="2E386730"/>
    <w:rsid w:val="2E9949CD"/>
    <w:rsid w:val="2E9E35A1"/>
    <w:rsid w:val="2EA94D33"/>
    <w:rsid w:val="2EAE5344"/>
    <w:rsid w:val="2ECE02CA"/>
    <w:rsid w:val="2F1856C3"/>
    <w:rsid w:val="2F3735FB"/>
    <w:rsid w:val="2F4A02C4"/>
    <w:rsid w:val="2F6F4928"/>
    <w:rsid w:val="2FBBE4DA"/>
    <w:rsid w:val="2FFE237E"/>
    <w:rsid w:val="300B3222"/>
    <w:rsid w:val="30186C80"/>
    <w:rsid w:val="30540F0A"/>
    <w:rsid w:val="305D5DD5"/>
    <w:rsid w:val="309C0043"/>
    <w:rsid w:val="30FC4126"/>
    <w:rsid w:val="311B109C"/>
    <w:rsid w:val="311B2CAC"/>
    <w:rsid w:val="318117E5"/>
    <w:rsid w:val="318F2294"/>
    <w:rsid w:val="32437B04"/>
    <w:rsid w:val="324621D1"/>
    <w:rsid w:val="3247402B"/>
    <w:rsid w:val="3249069F"/>
    <w:rsid w:val="324F1498"/>
    <w:rsid w:val="326E06BF"/>
    <w:rsid w:val="329120BF"/>
    <w:rsid w:val="33471CC4"/>
    <w:rsid w:val="33711E22"/>
    <w:rsid w:val="339E4F38"/>
    <w:rsid w:val="33CD16F6"/>
    <w:rsid w:val="33FD4323"/>
    <w:rsid w:val="340B4AF1"/>
    <w:rsid w:val="34212DD4"/>
    <w:rsid w:val="34394463"/>
    <w:rsid w:val="345B0CBE"/>
    <w:rsid w:val="34675EDD"/>
    <w:rsid w:val="348601E9"/>
    <w:rsid w:val="34AC7E45"/>
    <w:rsid w:val="34B3484C"/>
    <w:rsid w:val="34BF5145"/>
    <w:rsid w:val="34CB741C"/>
    <w:rsid w:val="34E22DB7"/>
    <w:rsid w:val="34E56399"/>
    <w:rsid w:val="34F14F0D"/>
    <w:rsid w:val="351A59A4"/>
    <w:rsid w:val="351C625F"/>
    <w:rsid w:val="35340F1D"/>
    <w:rsid w:val="35606861"/>
    <w:rsid w:val="35775D4C"/>
    <w:rsid w:val="35890F13"/>
    <w:rsid w:val="35B4432A"/>
    <w:rsid w:val="36034E7B"/>
    <w:rsid w:val="360E1DF6"/>
    <w:rsid w:val="36140CE4"/>
    <w:rsid w:val="368F25A7"/>
    <w:rsid w:val="36B1369F"/>
    <w:rsid w:val="36F27149"/>
    <w:rsid w:val="36F77F57"/>
    <w:rsid w:val="372A3663"/>
    <w:rsid w:val="372E4027"/>
    <w:rsid w:val="374101FF"/>
    <w:rsid w:val="37443869"/>
    <w:rsid w:val="376FF2A6"/>
    <w:rsid w:val="37B04FD8"/>
    <w:rsid w:val="37F45939"/>
    <w:rsid w:val="381274A5"/>
    <w:rsid w:val="382B190D"/>
    <w:rsid w:val="3880291D"/>
    <w:rsid w:val="38C51E16"/>
    <w:rsid w:val="38E555F4"/>
    <w:rsid w:val="38E7571B"/>
    <w:rsid w:val="39131A98"/>
    <w:rsid w:val="39534219"/>
    <w:rsid w:val="3957685F"/>
    <w:rsid w:val="396E3A00"/>
    <w:rsid w:val="3983274D"/>
    <w:rsid w:val="39A3564F"/>
    <w:rsid w:val="39A47B9D"/>
    <w:rsid w:val="39B13982"/>
    <w:rsid w:val="39D90A8C"/>
    <w:rsid w:val="3A4A16EF"/>
    <w:rsid w:val="3A7C7AC5"/>
    <w:rsid w:val="3A7F5D7C"/>
    <w:rsid w:val="3A93706D"/>
    <w:rsid w:val="3ABA0584"/>
    <w:rsid w:val="3AE20277"/>
    <w:rsid w:val="3AF47B6E"/>
    <w:rsid w:val="3B9D2D39"/>
    <w:rsid w:val="3B9E333D"/>
    <w:rsid w:val="3BA0115B"/>
    <w:rsid w:val="3BDD1E65"/>
    <w:rsid w:val="3BEB0B96"/>
    <w:rsid w:val="3BFD2462"/>
    <w:rsid w:val="3BFDD9C4"/>
    <w:rsid w:val="3BFEBFDC"/>
    <w:rsid w:val="3C1B1A70"/>
    <w:rsid w:val="3C523512"/>
    <w:rsid w:val="3C5EA250"/>
    <w:rsid w:val="3CA60107"/>
    <w:rsid w:val="3CB23E4C"/>
    <w:rsid w:val="3D0D2931"/>
    <w:rsid w:val="3D0D62F8"/>
    <w:rsid w:val="3D246484"/>
    <w:rsid w:val="3D3F477C"/>
    <w:rsid w:val="3D421BAD"/>
    <w:rsid w:val="3D620EB5"/>
    <w:rsid w:val="3D74475E"/>
    <w:rsid w:val="3D804DE4"/>
    <w:rsid w:val="3D8721D0"/>
    <w:rsid w:val="3DFB97EE"/>
    <w:rsid w:val="3DFB9A63"/>
    <w:rsid w:val="3E0947E7"/>
    <w:rsid w:val="3E293C87"/>
    <w:rsid w:val="3E6D0BDB"/>
    <w:rsid w:val="3E886A99"/>
    <w:rsid w:val="3E984559"/>
    <w:rsid w:val="3EAE42B9"/>
    <w:rsid w:val="3EB43064"/>
    <w:rsid w:val="3ECD23D2"/>
    <w:rsid w:val="3ED85060"/>
    <w:rsid w:val="3EFD7973"/>
    <w:rsid w:val="3EFDD5C3"/>
    <w:rsid w:val="3F2B1D02"/>
    <w:rsid w:val="3F3BD8C8"/>
    <w:rsid w:val="3F527B4B"/>
    <w:rsid w:val="3F736C3D"/>
    <w:rsid w:val="3FB745B1"/>
    <w:rsid w:val="3FC714BD"/>
    <w:rsid w:val="3FDD7A89"/>
    <w:rsid w:val="3FDDDEB2"/>
    <w:rsid w:val="3FDE4740"/>
    <w:rsid w:val="3FEF4E20"/>
    <w:rsid w:val="3FEF5FDF"/>
    <w:rsid w:val="3FFB53BB"/>
    <w:rsid w:val="3FFB943D"/>
    <w:rsid w:val="3FFD2447"/>
    <w:rsid w:val="40251D40"/>
    <w:rsid w:val="40344FC1"/>
    <w:rsid w:val="40403BA5"/>
    <w:rsid w:val="4063585E"/>
    <w:rsid w:val="407B5953"/>
    <w:rsid w:val="40913E10"/>
    <w:rsid w:val="40A24F6F"/>
    <w:rsid w:val="40BE1071"/>
    <w:rsid w:val="40EC0CCD"/>
    <w:rsid w:val="41152D53"/>
    <w:rsid w:val="41381409"/>
    <w:rsid w:val="41653AC2"/>
    <w:rsid w:val="41917EC4"/>
    <w:rsid w:val="419D1C65"/>
    <w:rsid w:val="41C82FEA"/>
    <w:rsid w:val="41CA2B9F"/>
    <w:rsid w:val="41CD097A"/>
    <w:rsid w:val="41D746B5"/>
    <w:rsid w:val="423B661F"/>
    <w:rsid w:val="4269685C"/>
    <w:rsid w:val="42E163F2"/>
    <w:rsid w:val="42F42986"/>
    <w:rsid w:val="430D1988"/>
    <w:rsid w:val="43454BD3"/>
    <w:rsid w:val="43681637"/>
    <w:rsid w:val="436F0772"/>
    <w:rsid w:val="43755AEC"/>
    <w:rsid w:val="43D60DA1"/>
    <w:rsid w:val="43E77597"/>
    <w:rsid w:val="443D1241"/>
    <w:rsid w:val="445A6C4D"/>
    <w:rsid w:val="448C6831"/>
    <w:rsid w:val="44B1766D"/>
    <w:rsid w:val="44C21934"/>
    <w:rsid w:val="44DB4C7D"/>
    <w:rsid w:val="44F96B24"/>
    <w:rsid w:val="45292FA8"/>
    <w:rsid w:val="4540061D"/>
    <w:rsid w:val="45652525"/>
    <w:rsid w:val="456A7937"/>
    <w:rsid w:val="45AD1A24"/>
    <w:rsid w:val="45C049E4"/>
    <w:rsid w:val="461F5878"/>
    <w:rsid w:val="468805C9"/>
    <w:rsid w:val="469559DB"/>
    <w:rsid w:val="46E0510D"/>
    <w:rsid w:val="471F78E8"/>
    <w:rsid w:val="472618E4"/>
    <w:rsid w:val="475764BB"/>
    <w:rsid w:val="47782BB0"/>
    <w:rsid w:val="477A0BC3"/>
    <w:rsid w:val="477CE59E"/>
    <w:rsid w:val="477D4F05"/>
    <w:rsid w:val="47912B88"/>
    <w:rsid w:val="480034CF"/>
    <w:rsid w:val="480E2235"/>
    <w:rsid w:val="48152B19"/>
    <w:rsid w:val="48684EBF"/>
    <w:rsid w:val="48C06AA9"/>
    <w:rsid w:val="48F05C47"/>
    <w:rsid w:val="49496A9F"/>
    <w:rsid w:val="49F16046"/>
    <w:rsid w:val="49F5618D"/>
    <w:rsid w:val="4A541B9F"/>
    <w:rsid w:val="4A934476"/>
    <w:rsid w:val="4A9B157C"/>
    <w:rsid w:val="4ABA7F48"/>
    <w:rsid w:val="4ACD0DF6"/>
    <w:rsid w:val="4AFA1898"/>
    <w:rsid w:val="4AFE1AB4"/>
    <w:rsid w:val="4B181864"/>
    <w:rsid w:val="4B2366A4"/>
    <w:rsid w:val="4B8E2312"/>
    <w:rsid w:val="4C0061D0"/>
    <w:rsid w:val="4C1220FC"/>
    <w:rsid w:val="4C533238"/>
    <w:rsid w:val="4C53613A"/>
    <w:rsid w:val="4C6D0CF6"/>
    <w:rsid w:val="4C726887"/>
    <w:rsid w:val="4C78DF56"/>
    <w:rsid w:val="4C801E90"/>
    <w:rsid w:val="4C8A2ADB"/>
    <w:rsid w:val="4C8D7C8C"/>
    <w:rsid w:val="4CA57FA7"/>
    <w:rsid w:val="4CCC03DE"/>
    <w:rsid w:val="4D16138E"/>
    <w:rsid w:val="4D272310"/>
    <w:rsid w:val="4D2B0A29"/>
    <w:rsid w:val="4D4F5851"/>
    <w:rsid w:val="4D767F72"/>
    <w:rsid w:val="4DA16EA9"/>
    <w:rsid w:val="4DAD1473"/>
    <w:rsid w:val="4DAD168E"/>
    <w:rsid w:val="4DC70DA7"/>
    <w:rsid w:val="4E6FACF4"/>
    <w:rsid w:val="4EB33287"/>
    <w:rsid w:val="4EBEE41E"/>
    <w:rsid w:val="4EFFCC8E"/>
    <w:rsid w:val="4F013CEF"/>
    <w:rsid w:val="4F495A4B"/>
    <w:rsid w:val="4F4E40A1"/>
    <w:rsid w:val="4F5E7FE8"/>
    <w:rsid w:val="4FAB35A4"/>
    <w:rsid w:val="4FB70C96"/>
    <w:rsid w:val="4FEF9E91"/>
    <w:rsid w:val="4FF9569C"/>
    <w:rsid w:val="5059604B"/>
    <w:rsid w:val="50D341D6"/>
    <w:rsid w:val="511F3912"/>
    <w:rsid w:val="51644DBE"/>
    <w:rsid w:val="51953DA2"/>
    <w:rsid w:val="519E5328"/>
    <w:rsid w:val="51A26682"/>
    <w:rsid w:val="51BF0246"/>
    <w:rsid w:val="51CD781F"/>
    <w:rsid w:val="51DD691E"/>
    <w:rsid w:val="526A4C9F"/>
    <w:rsid w:val="528608AB"/>
    <w:rsid w:val="52CD24EF"/>
    <w:rsid w:val="52D26933"/>
    <w:rsid w:val="532F7387"/>
    <w:rsid w:val="533255A2"/>
    <w:rsid w:val="534F12FC"/>
    <w:rsid w:val="53BD9423"/>
    <w:rsid w:val="53D12D4D"/>
    <w:rsid w:val="53EB2EA5"/>
    <w:rsid w:val="543BC968"/>
    <w:rsid w:val="544B2247"/>
    <w:rsid w:val="54523D5D"/>
    <w:rsid w:val="54596F37"/>
    <w:rsid w:val="54611FB0"/>
    <w:rsid w:val="54622601"/>
    <w:rsid w:val="546C5749"/>
    <w:rsid w:val="54B76B0A"/>
    <w:rsid w:val="54CBCFD3"/>
    <w:rsid w:val="54CD4A28"/>
    <w:rsid w:val="54DC2EBD"/>
    <w:rsid w:val="54F72BA7"/>
    <w:rsid w:val="55532117"/>
    <w:rsid w:val="555D14AC"/>
    <w:rsid w:val="55677591"/>
    <w:rsid w:val="55D7BF88"/>
    <w:rsid w:val="55F78F7D"/>
    <w:rsid w:val="562B1124"/>
    <w:rsid w:val="565B22D5"/>
    <w:rsid w:val="566066E0"/>
    <w:rsid w:val="566079C3"/>
    <w:rsid w:val="56A56139"/>
    <w:rsid w:val="56BE0ACC"/>
    <w:rsid w:val="56E714EA"/>
    <w:rsid w:val="571B5505"/>
    <w:rsid w:val="57587649"/>
    <w:rsid w:val="575E6582"/>
    <w:rsid w:val="576017DE"/>
    <w:rsid w:val="576EED32"/>
    <w:rsid w:val="57790E97"/>
    <w:rsid w:val="578C2978"/>
    <w:rsid w:val="57B2E5C3"/>
    <w:rsid w:val="57BE4AFC"/>
    <w:rsid w:val="57DB7D21"/>
    <w:rsid w:val="58187BB3"/>
    <w:rsid w:val="586438F5"/>
    <w:rsid w:val="589907E1"/>
    <w:rsid w:val="58CC7B15"/>
    <w:rsid w:val="58D06B21"/>
    <w:rsid w:val="58EF1411"/>
    <w:rsid w:val="59423771"/>
    <w:rsid w:val="597121A4"/>
    <w:rsid w:val="59B87534"/>
    <w:rsid w:val="59DBB3D5"/>
    <w:rsid w:val="59F1DF9B"/>
    <w:rsid w:val="59FB5D7D"/>
    <w:rsid w:val="5A1C6061"/>
    <w:rsid w:val="5A207E80"/>
    <w:rsid w:val="5A312F50"/>
    <w:rsid w:val="5A36306F"/>
    <w:rsid w:val="5A367650"/>
    <w:rsid w:val="5A557999"/>
    <w:rsid w:val="5A5A6D5E"/>
    <w:rsid w:val="5AB83F3B"/>
    <w:rsid w:val="5AD023A6"/>
    <w:rsid w:val="5B0D3BCF"/>
    <w:rsid w:val="5B3902B6"/>
    <w:rsid w:val="5B493BA0"/>
    <w:rsid w:val="5B512F00"/>
    <w:rsid w:val="5B9908F7"/>
    <w:rsid w:val="5B9ADAE0"/>
    <w:rsid w:val="5BA63692"/>
    <w:rsid w:val="5BBEF17D"/>
    <w:rsid w:val="5BC63109"/>
    <w:rsid w:val="5BDB2395"/>
    <w:rsid w:val="5BED49BC"/>
    <w:rsid w:val="5BF654C6"/>
    <w:rsid w:val="5BFCBFE4"/>
    <w:rsid w:val="5BFE68D5"/>
    <w:rsid w:val="5C104C17"/>
    <w:rsid w:val="5C6F4617"/>
    <w:rsid w:val="5C720AC7"/>
    <w:rsid w:val="5C944192"/>
    <w:rsid w:val="5CAE6E60"/>
    <w:rsid w:val="5CD54390"/>
    <w:rsid w:val="5CD54A50"/>
    <w:rsid w:val="5CD61ACD"/>
    <w:rsid w:val="5CE8129B"/>
    <w:rsid w:val="5CEB0F57"/>
    <w:rsid w:val="5D150B53"/>
    <w:rsid w:val="5D2A0728"/>
    <w:rsid w:val="5D536F1A"/>
    <w:rsid w:val="5D5757D7"/>
    <w:rsid w:val="5D5E7C5B"/>
    <w:rsid w:val="5D615C82"/>
    <w:rsid w:val="5D6A3930"/>
    <w:rsid w:val="5D7FD828"/>
    <w:rsid w:val="5DBA5211"/>
    <w:rsid w:val="5DE0277F"/>
    <w:rsid w:val="5DFF1063"/>
    <w:rsid w:val="5E311551"/>
    <w:rsid w:val="5E53169C"/>
    <w:rsid w:val="5E7F67A6"/>
    <w:rsid w:val="5ED45E4A"/>
    <w:rsid w:val="5ED81B3F"/>
    <w:rsid w:val="5EDC1355"/>
    <w:rsid w:val="5EDF2F44"/>
    <w:rsid w:val="5EF693F0"/>
    <w:rsid w:val="5F3A304C"/>
    <w:rsid w:val="5F5407CD"/>
    <w:rsid w:val="5F5D2E4C"/>
    <w:rsid w:val="5F612237"/>
    <w:rsid w:val="5F6D3F17"/>
    <w:rsid w:val="5F6F795E"/>
    <w:rsid w:val="5F6F7E7E"/>
    <w:rsid w:val="5F7B5045"/>
    <w:rsid w:val="5F83980B"/>
    <w:rsid w:val="5F946409"/>
    <w:rsid w:val="5FBAC26D"/>
    <w:rsid w:val="5FBCA89C"/>
    <w:rsid w:val="5FD13E80"/>
    <w:rsid w:val="5FDBBFAC"/>
    <w:rsid w:val="5FDDFFC0"/>
    <w:rsid w:val="5FFF81E8"/>
    <w:rsid w:val="5FFF910E"/>
    <w:rsid w:val="60883DA5"/>
    <w:rsid w:val="6096496D"/>
    <w:rsid w:val="60A70F0A"/>
    <w:rsid w:val="60D97437"/>
    <w:rsid w:val="60E84ACA"/>
    <w:rsid w:val="60F01468"/>
    <w:rsid w:val="610B0216"/>
    <w:rsid w:val="611B1B89"/>
    <w:rsid w:val="61440FE8"/>
    <w:rsid w:val="616109D2"/>
    <w:rsid w:val="6190634F"/>
    <w:rsid w:val="619863BE"/>
    <w:rsid w:val="619F14FA"/>
    <w:rsid w:val="61C75926"/>
    <w:rsid w:val="61D4389A"/>
    <w:rsid w:val="61FE4BF9"/>
    <w:rsid w:val="62042DBD"/>
    <w:rsid w:val="62270630"/>
    <w:rsid w:val="626716D3"/>
    <w:rsid w:val="62724D52"/>
    <w:rsid w:val="62823CF8"/>
    <w:rsid w:val="62EF7A92"/>
    <w:rsid w:val="631D1FE6"/>
    <w:rsid w:val="63335645"/>
    <w:rsid w:val="6339041F"/>
    <w:rsid w:val="6350392A"/>
    <w:rsid w:val="635B76A3"/>
    <w:rsid w:val="63886343"/>
    <w:rsid w:val="63F65871"/>
    <w:rsid w:val="63FF20AB"/>
    <w:rsid w:val="63FFF9C9"/>
    <w:rsid w:val="64046294"/>
    <w:rsid w:val="640970FF"/>
    <w:rsid w:val="64412D3D"/>
    <w:rsid w:val="648019EC"/>
    <w:rsid w:val="648C220A"/>
    <w:rsid w:val="648D108E"/>
    <w:rsid w:val="649B244D"/>
    <w:rsid w:val="64A112F5"/>
    <w:rsid w:val="64A84855"/>
    <w:rsid w:val="64B17C89"/>
    <w:rsid w:val="64B74DA6"/>
    <w:rsid w:val="64CE1249"/>
    <w:rsid w:val="64FF14DC"/>
    <w:rsid w:val="650674E1"/>
    <w:rsid w:val="650729F6"/>
    <w:rsid w:val="653344FA"/>
    <w:rsid w:val="65423C7D"/>
    <w:rsid w:val="659615AE"/>
    <w:rsid w:val="65B71508"/>
    <w:rsid w:val="65C41279"/>
    <w:rsid w:val="65E706EF"/>
    <w:rsid w:val="65F55B8D"/>
    <w:rsid w:val="65F74D73"/>
    <w:rsid w:val="66104871"/>
    <w:rsid w:val="662785F9"/>
    <w:rsid w:val="66320B8F"/>
    <w:rsid w:val="6636541B"/>
    <w:rsid w:val="66544FA9"/>
    <w:rsid w:val="66630BC9"/>
    <w:rsid w:val="66884C53"/>
    <w:rsid w:val="6690441C"/>
    <w:rsid w:val="66AD63BC"/>
    <w:rsid w:val="66BA3DC9"/>
    <w:rsid w:val="66E32A6E"/>
    <w:rsid w:val="66EC335E"/>
    <w:rsid w:val="671C3999"/>
    <w:rsid w:val="675114E9"/>
    <w:rsid w:val="676B6497"/>
    <w:rsid w:val="67B896B3"/>
    <w:rsid w:val="67C179A4"/>
    <w:rsid w:val="67CB129B"/>
    <w:rsid w:val="67D4B528"/>
    <w:rsid w:val="67FFDD33"/>
    <w:rsid w:val="680A3F81"/>
    <w:rsid w:val="6841330B"/>
    <w:rsid w:val="68666522"/>
    <w:rsid w:val="688558EE"/>
    <w:rsid w:val="68B47A85"/>
    <w:rsid w:val="68BA3110"/>
    <w:rsid w:val="68BB3167"/>
    <w:rsid w:val="68F12474"/>
    <w:rsid w:val="69216C99"/>
    <w:rsid w:val="692639E6"/>
    <w:rsid w:val="694D29E3"/>
    <w:rsid w:val="69736462"/>
    <w:rsid w:val="69EFF74D"/>
    <w:rsid w:val="6A082AC6"/>
    <w:rsid w:val="6A1F02D9"/>
    <w:rsid w:val="6A317D99"/>
    <w:rsid w:val="6A5A4F50"/>
    <w:rsid w:val="6A75729C"/>
    <w:rsid w:val="6AA33291"/>
    <w:rsid w:val="6AA990CD"/>
    <w:rsid w:val="6AAB28A6"/>
    <w:rsid w:val="6AAF26B4"/>
    <w:rsid w:val="6AED484D"/>
    <w:rsid w:val="6AFF5CBC"/>
    <w:rsid w:val="6B105055"/>
    <w:rsid w:val="6B1A11BB"/>
    <w:rsid w:val="6B9F3971"/>
    <w:rsid w:val="6BAA11C7"/>
    <w:rsid w:val="6BBF71DE"/>
    <w:rsid w:val="6BC24763"/>
    <w:rsid w:val="6BF8C5A3"/>
    <w:rsid w:val="6C1371F4"/>
    <w:rsid w:val="6C3A69EF"/>
    <w:rsid w:val="6CD545D1"/>
    <w:rsid w:val="6D130257"/>
    <w:rsid w:val="6D1973C8"/>
    <w:rsid w:val="6D235680"/>
    <w:rsid w:val="6D4F1141"/>
    <w:rsid w:val="6D77332B"/>
    <w:rsid w:val="6D82444A"/>
    <w:rsid w:val="6DA51132"/>
    <w:rsid w:val="6DB14A8F"/>
    <w:rsid w:val="6DDF943D"/>
    <w:rsid w:val="6DEFCACD"/>
    <w:rsid w:val="6DFD0271"/>
    <w:rsid w:val="6E03026E"/>
    <w:rsid w:val="6E105C5A"/>
    <w:rsid w:val="6E2179BE"/>
    <w:rsid w:val="6E234745"/>
    <w:rsid w:val="6E55139B"/>
    <w:rsid w:val="6E6F2747"/>
    <w:rsid w:val="6E7F2DDF"/>
    <w:rsid w:val="6E8C6749"/>
    <w:rsid w:val="6EA40F52"/>
    <w:rsid w:val="6EA75094"/>
    <w:rsid w:val="6EB4260D"/>
    <w:rsid w:val="6EBE98DC"/>
    <w:rsid w:val="6ED92EBC"/>
    <w:rsid w:val="6EDA1DC4"/>
    <w:rsid w:val="6EDD2154"/>
    <w:rsid w:val="6F2C40ED"/>
    <w:rsid w:val="6F915125"/>
    <w:rsid w:val="6FA7824D"/>
    <w:rsid w:val="6FB671A3"/>
    <w:rsid w:val="6FBA5487"/>
    <w:rsid w:val="6FCB67EE"/>
    <w:rsid w:val="6FDA19CB"/>
    <w:rsid w:val="6FDF01F1"/>
    <w:rsid w:val="6FEC77D7"/>
    <w:rsid w:val="6FED5B27"/>
    <w:rsid w:val="6FFA7B9E"/>
    <w:rsid w:val="6FFBB9B9"/>
    <w:rsid w:val="6FFDE032"/>
    <w:rsid w:val="6FFF8D04"/>
    <w:rsid w:val="700102A3"/>
    <w:rsid w:val="7016029E"/>
    <w:rsid w:val="701B787F"/>
    <w:rsid w:val="703AF0CF"/>
    <w:rsid w:val="70564C8A"/>
    <w:rsid w:val="706E3A53"/>
    <w:rsid w:val="70787AE6"/>
    <w:rsid w:val="70873967"/>
    <w:rsid w:val="70A8104F"/>
    <w:rsid w:val="70C824C6"/>
    <w:rsid w:val="70D95DDC"/>
    <w:rsid w:val="711024F8"/>
    <w:rsid w:val="717E2EDA"/>
    <w:rsid w:val="71A7A129"/>
    <w:rsid w:val="71DA7020"/>
    <w:rsid w:val="71DD445C"/>
    <w:rsid w:val="71DE606F"/>
    <w:rsid w:val="71F7327E"/>
    <w:rsid w:val="723B501F"/>
    <w:rsid w:val="725236A7"/>
    <w:rsid w:val="72673B98"/>
    <w:rsid w:val="72D315CA"/>
    <w:rsid w:val="72FC67AC"/>
    <w:rsid w:val="730949D7"/>
    <w:rsid w:val="734E058F"/>
    <w:rsid w:val="73520AC2"/>
    <w:rsid w:val="7375995D"/>
    <w:rsid w:val="737B0CA9"/>
    <w:rsid w:val="737F5C31"/>
    <w:rsid w:val="73AF23E7"/>
    <w:rsid w:val="73DE5EB2"/>
    <w:rsid w:val="73DFEFBE"/>
    <w:rsid w:val="74302BC5"/>
    <w:rsid w:val="745026EB"/>
    <w:rsid w:val="746565D3"/>
    <w:rsid w:val="74D26E1C"/>
    <w:rsid w:val="74DF4D37"/>
    <w:rsid w:val="74E63867"/>
    <w:rsid w:val="74E778F3"/>
    <w:rsid w:val="74EE6765"/>
    <w:rsid w:val="751549DE"/>
    <w:rsid w:val="7539B0C0"/>
    <w:rsid w:val="757C51A1"/>
    <w:rsid w:val="757D16FB"/>
    <w:rsid w:val="758331B5"/>
    <w:rsid w:val="75A63493"/>
    <w:rsid w:val="75AB6C03"/>
    <w:rsid w:val="75BD1D70"/>
    <w:rsid w:val="75CF86BC"/>
    <w:rsid w:val="75D61DE7"/>
    <w:rsid w:val="75DE7A95"/>
    <w:rsid w:val="75F15A80"/>
    <w:rsid w:val="75F5C0AE"/>
    <w:rsid w:val="75F60007"/>
    <w:rsid w:val="76176484"/>
    <w:rsid w:val="76245F1B"/>
    <w:rsid w:val="76355172"/>
    <w:rsid w:val="764F753B"/>
    <w:rsid w:val="766A7ED1"/>
    <w:rsid w:val="76A05B5D"/>
    <w:rsid w:val="76DE83B6"/>
    <w:rsid w:val="76EF09A6"/>
    <w:rsid w:val="76FF4ABD"/>
    <w:rsid w:val="771642A4"/>
    <w:rsid w:val="77283E6A"/>
    <w:rsid w:val="773F1F1D"/>
    <w:rsid w:val="774A3E75"/>
    <w:rsid w:val="774F7409"/>
    <w:rsid w:val="776E5EC4"/>
    <w:rsid w:val="7777050A"/>
    <w:rsid w:val="777F6B41"/>
    <w:rsid w:val="779D3A59"/>
    <w:rsid w:val="77A022D7"/>
    <w:rsid w:val="77AF360D"/>
    <w:rsid w:val="77BF691E"/>
    <w:rsid w:val="77BFDF20"/>
    <w:rsid w:val="77C90C27"/>
    <w:rsid w:val="77CE623E"/>
    <w:rsid w:val="77DB1B15"/>
    <w:rsid w:val="77E05892"/>
    <w:rsid w:val="77E14BB6"/>
    <w:rsid w:val="77EFC367"/>
    <w:rsid w:val="77F7BE58"/>
    <w:rsid w:val="77F7F230"/>
    <w:rsid w:val="77FE2AEC"/>
    <w:rsid w:val="77FE4844"/>
    <w:rsid w:val="77FEF23F"/>
    <w:rsid w:val="77FF1123"/>
    <w:rsid w:val="77FFA311"/>
    <w:rsid w:val="781F3285"/>
    <w:rsid w:val="783562BD"/>
    <w:rsid w:val="784C6D92"/>
    <w:rsid w:val="787FD0F5"/>
    <w:rsid w:val="78DB5C48"/>
    <w:rsid w:val="78E7666F"/>
    <w:rsid w:val="7906628F"/>
    <w:rsid w:val="791365FE"/>
    <w:rsid w:val="79214F20"/>
    <w:rsid w:val="79635F2A"/>
    <w:rsid w:val="79ABFAC8"/>
    <w:rsid w:val="79BAC30F"/>
    <w:rsid w:val="79DD09BA"/>
    <w:rsid w:val="79FA77BE"/>
    <w:rsid w:val="79FBB54E"/>
    <w:rsid w:val="79FF5271"/>
    <w:rsid w:val="7A205FB4"/>
    <w:rsid w:val="7A303D11"/>
    <w:rsid w:val="7A615D54"/>
    <w:rsid w:val="7A901A50"/>
    <w:rsid w:val="7A9E307B"/>
    <w:rsid w:val="7AA455AF"/>
    <w:rsid w:val="7ABD5F79"/>
    <w:rsid w:val="7ADFC640"/>
    <w:rsid w:val="7AED47E1"/>
    <w:rsid w:val="7AFB12DC"/>
    <w:rsid w:val="7B0D02A2"/>
    <w:rsid w:val="7B0E342F"/>
    <w:rsid w:val="7B3B5A61"/>
    <w:rsid w:val="7B4F7EE8"/>
    <w:rsid w:val="7B642F14"/>
    <w:rsid w:val="7B7C320F"/>
    <w:rsid w:val="7BB7179E"/>
    <w:rsid w:val="7BCFB4C5"/>
    <w:rsid w:val="7BD800F0"/>
    <w:rsid w:val="7BE53BDE"/>
    <w:rsid w:val="7BE77841"/>
    <w:rsid w:val="7BF71FFD"/>
    <w:rsid w:val="7BF7F513"/>
    <w:rsid w:val="7BF92888"/>
    <w:rsid w:val="7BFDD959"/>
    <w:rsid w:val="7BFFBD1D"/>
    <w:rsid w:val="7C03247D"/>
    <w:rsid w:val="7C227E30"/>
    <w:rsid w:val="7C294AF4"/>
    <w:rsid w:val="7C37736A"/>
    <w:rsid w:val="7C3F6017"/>
    <w:rsid w:val="7C677F80"/>
    <w:rsid w:val="7C7E5EF4"/>
    <w:rsid w:val="7C9C690A"/>
    <w:rsid w:val="7CA62F97"/>
    <w:rsid w:val="7CA75F9C"/>
    <w:rsid w:val="7CBE7C28"/>
    <w:rsid w:val="7CDA3581"/>
    <w:rsid w:val="7CED5368"/>
    <w:rsid w:val="7CFDDEF2"/>
    <w:rsid w:val="7D066FE1"/>
    <w:rsid w:val="7D265784"/>
    <w:rsid w:val="7D48368D"/>
    <w:rsid w:val="7D5C7354"/>
    <w:rsid w:val="7D616B8A"/>
    <w:rsid w:val="7D6769F5"/>
    <w:rsid w:val="7D6DBC44"/>
    <w:rsid w:val="7D8555F0"/>
    <w:rsid w:val="7DBD8E91"/>
    <w:rsid w:val="7DBF0CBC"/>
    <w:rsid w:val="7DC56212"/>
    <w:rsid w:val="7DCD66DD"/>
    <w:rsid w:val="7DD50DC3"/>
    <w:rsid w:val="7DF58F4C"/>
    <w:rsid w:val="7DF76594"/>
    <w:rsid w:val="7DF7AC8A"/>
    <w:rsid w:val="7DFD4E30"/>
    <w:rsid w:val="7DFF149F"/>
    <w:rsid w:val="7E0E0C95"/>
    <w:rsid w:val="7E142B18"/>
    <w:rsid w:val="7E303789"/>
    <w:rsid w:val="7E355A3A"/>
    <w:rsid w:val="7E3E411D"/>
    <w:rsid w:val="7E5FFE79"/>
    <w:rsid w:val="7E6379FA"/>
    <w:rsid w:val="7E843729"/>
    <w:rsid w:val="7EA111FA"/>
    <w:rsid w:val="7EBE473A"/>
    <w:rsid w:val="7EBFE5FF"/>
    <w:rsid w:val="7ED95DC6"/>
    <w:rsid w:val="7EE49CA5"/>
    <w:rsid w:val="7EF0118F"/>
    <w:rsid w:val="7EF7A483"/>
    <w:rsid w:val="7EF7A9AB"/>
    <w:rsid w:val="7EFD6F2F"/>
    <w:rsid w:val="7EFFAF85"/>
    <w:rsid w:val="7EFFC6A2"/>
    <w:rsid w:val="7F1FF27E"/>
    <w:rsid w:val="7F2A22C7"/>
    <w:rsid w:val="7F453289"/>
    <w:rsid w:val="7F597FCB"/>
    <w:rsid w:val="7F7A1548"/>
    <w:rsid w:val="7F7B81D0"/>
    <w:rsid w:val="7F7B8327"/>
    <w:rsid w:val="7F7CEF84"/>
    <w:rsid w:val="7F7DAE2B"/>
    <w:rsid w:val="7F938DEC"/>
    <w:rsid w:val="7F9F0131"/>
    <w:rsid w:val="7FAF3DF1"/>
    <w:rsid w:val="7FAFA38F"/>
    <w:rsid w:val="7FB23D9B"/>
    <w:rsid w:val="7FB49CA1"/>
    <w:rsid w:val="7FBFB138"/>
    <w:rsid w:val="7FC1462A"/>
    <w:rsid w:val="7FCBB8A0"/>
    <w:rsid w:val="7FDDC609"/>
    <w:rsid w:val="7FDE8920"/>
    <w:rsid w:val="7FDF8A78"/>
    <w:rsid w:val="7FE04A56"/>
    <w:rsid w:val="7FE7A901"/>
    <w:rsid w:val="7FE9AD08"/>
    <w:rsid w:val="7FEBA1EF"/>
    <w:rsid w:val="7FED64C0"/>
    <w:rsid w:val="7FEF2693"/>
    <w:rsid w:val="7FEF43B2"/>
    <w:rsid w:val="7FF34BB6"/>
    <w:rsid w:val="7FFAB84F"/>
    <w:rsid w:val="7FFB15D7"/>
    <w:rsid w:val="7FFB2886"/>
    <w:rsid w:val="7FFE78C1"/>
    <w:rsid w:val="7FFF0082"/>
    <w:rsid w:val="7FFF6B23"/>
    <w:rsid w:val="7FFF9A3B"/>
    <w:rsid w:val="7FFFCEB6"/>
    <w:rsid w:val="7FFFDBF8"/>
    <w:rsid w:val="86D50299"/>
    <w:rsid w:val="8A7FF231"/>
    <w:rsid w:val="8E6F25EF"/>
    <w:rsid w:val="8EF78354"/>
    <w:rsid w:val="8FB78212"/>
    <w:rsid w:val="977F6950"/>
    <w:rsid w:val="97FF638D"/>
    <w:rsid w:val="99F6E19E"/>
    <w:rsid w:val="9AFDDEF2"/>
    <w:rsid w:val="9EBFC47F"/>
    <w:rsid w:val="9F2F26D5"/>
    <w:rsid w:val="9F5E04D2"/>
    <w:rsid w:val="9FCC10AF"/>
    <w:rsid w:val="9FDB422D"/>
    <w:rsid w:val="9FF00E50"/>
    <w:rsid w:val="A3E3FE08"/>
    <w:rsid w:val="A7BFE855"/>
    <w:rsid w:val="A9FF14F1"/>
    <w:rsid w:val="AAC73A4C"/>
    <w:rsid w:val="ABBF29E4"/>
    <w:rsid w:val="ABFD6B73"/>
    <w:rsid w:val="AD7F4768"/>
    <w:rsid w:val="AF3DC8E7"/>
    <w:rsid w:val="AFCF943E"/>
    <w:rsid w:val="AFF721DB"/>
    <w:rsid w:val="AFF96B31"/>
    <w:rsid w:val="B2EFDD7F"/>
    <w:rsid w:val="B3BF9FC6"/>
    <w:rsid w:val="B5773FD6"/>
    <w:rsid w:val="B67E6F26"/>
    <w:rsid w:val="B7670A24"/>
    <w:rsid w:val="B7F7AD60"/>
    <w:rsid w:val="B7FB777B"/>
    <w:rsid w:val="B96771CD"/>
    <w:rsid w:val="BABEBDBF"/>
    <w:rsid w:val="BB57DD1F"/>
    <w:rsid w:val="BB9F36A0"/>
    <w:rsid w:val="BBBF6518"/>
    <w:rsid w:val="BBC78F07"/>
    <w:rsid w:val="BBCD67C5"/>
    <w:rsid w:val="BBD710C9"/>
    <w:rsid w:val="BD57AD6B"/>
    <w:rsid w:val="BD57D82D"/>
    <w:rsid w:val="BD91E5FA"/>
    <w:rsid w:val="BD9E87AF"/>
    <w:rsid w:val="BDE3ED2C"/>
    <w:rsid w:val="BDFA6A65"/>
    <w:rsid w:val="BDFFF0E6"/>
    <w:rsid w:val="BE75B86A"/>
    <w:rsid w:val="BE7D50F0"/>
    <w:rsid w:val="BE8D3955"/>
    <w:rsid w:val="BEFE2F7F"/>
    <w:rsid w:val="BEFE4EFC"/>
    <w:rsid w:val="BF278655"/>
    <w:rsid w:val="BF5F061A"/>
    <w:rsid w:val="BFBC4282"/>
    <w:rsid w:val="BFBEA38A"/>
    <w:rsid w:val="BFC3783B"/>
    <w:rsid w:val="BFD61EEB"/>
    <w:rsid w:val="BFEBF4E4"/>
    <w:rsid w:val="BFEDB2B9"/>
    <w:rsid w:val="BFF74944"/>
    <w:rsid w:val="BFFAA273"/>
    <w:rsid w:val="BFFF3368"/>
    <w:rsid w:val="BFFFF7A4"/>
    <w:rsid w:val="C1F1E53E"/>
    <w:rsid w:val="C24BF84A"/>
    <w:rsid w:val="C5DB9786"/>
    <w:rsid w:val="C7DFD6BC"/>
    <w:rsid w:val="C9708267"/>
    <w:rsid w:val="CBF3C23A"/>
    <w:rsid w:val="CCED95F6"/>
    <w:rsid w:val="CCEE95BE"/>
    <w:rsid w:val="CE1F3DC7"/>
    <w:rsid w:val="CEE571AE"/>
    <w:rsid w:val="CFAF4F19"/>
    <w:rsid w:val="CFEE583A"/>
    <w:rsid w:val="D3AEB619"/>
    <w:rsid w:val="D3FC6F0F"/>
    <w:rsid w:val="D5FFD95D"/>
    <w:rsid w:val="D6C78084"/>
    <w:rsid w:val="D6EFFD0B"/>
    <w:rsid w:val="D6FF3849"/>
    <w:rsid w:val="D6FF4793"/>
    <w:rsid w:val="D77E9FF5"/>
    <w:rsid w:val="D77F81E1"/>
    <w:rsid w:val="D78FFBDD"/>
    <w:rsid w:val="D79FA8BC"/>
    <w:rsid w:val="D7CC1AD8"/>
    <w:rsid w:val="D7F73E8C"/>
    <w:rsid w:val="D97F6705"/>
    <w:rsid w:val="D9DD3B99"/>
    <w:rsid w:val="DAC3FE19"/>
    <w:rsid w:val="DB37A43F"/>
    <w:rsid w:val="DB5E9872"/>
    <w:rsid w:val="DB63AA3A"/>
    <w:rsid w:val="DBB70168"/>
    <w:rsid w:val="DBFFE779"/>
    <w:rsid w:val="DCC724F8"/>
    <w:rsid w:val="DD5FE409"/>
    <w:rsid w:val="DD6655DA"/>
    <w:rsid w:val="DDF3D616"/>
    <w:rsid w:val="DDF537BF"/>
    <w:rsid w:val="DDFDED0B"/>
    <w:rsid w:val="DF2AB4AF"/>
    <w:rsid w:val="DF3FE8EB"/>
    <w:rsid w:val="DF6BE145"/>
    <w:rsid w:val="DF71F37D"/>
    <w:rsid w:val="DF7BC5A5"/>
    <w:rsid w:val="DF9D6A20"/>
    <w:rsid w:val="DF9F55E4"/>
    <w:rsid w:val="DFBEEDA0"/>
    <w:rsid w:val="DFBF2432"/>
    <w:rsid w:val="DFDB988D"/>
    <w:rsid w:val="DFDFEAF6"/>
    <w:rsid w:val="DFF3FEEB"/>
    <w:rsid w:val="DFFA23C5"/>
    <w:rsid w:val="DFFCA176"/>
    <w:rsid w:val="DFFDD3E5"/>
    <w:rsid w:val="DFFE8941"/>
    <w:rsid w:val="E0DD8AD1"/>
    <w:rsid w:val="E1CD5C45"/>
    <w:rsid w:val="E2FFB58C"/>
    <w:rsid w:val="E3ED803E"/>
    <w:rsid w:val="E5738982"/>
    <w:rsid w:val="E57486BB"/>
    <w:rsid w:val="E5EF8D77"/>
    <w:rsid w:val="E5F609F3"/>
    <w:rsid w:val="E7BF9B60"/>
    <w:rsid w:val="E7EBB7C4"/>
    <w:rsid w:val="E96FFB16"/>
    <w:rsid w:val="E9FFE637"/>
    <w:rsid w:val="EA5ABF7C"/>
    <w:rsid w:val="EACD8FB6"/>
    <w:rsid w:val="EAEE0E97"/>
    <w:rsid w:val="EAEF89D9"/>
    <w:rsid w:val="EBE75A20"/>
    <w:rsid w:val="EBEED54D"/>
    <w:rsid w:val="EBF846DB"/>
    <w:rsid w:val="EBFE0E4D"/>
    <w:rsid w:val="ECBEADE7"/>
    <w:rsid w:val="ECDFA34F"/>
    <w:rsid w:val="ECFF89B4"/>
    <w:rsid w:val="EDDFD9DC"/>
    <w:rsid w:val="EE71F9B5"/>
    <w:rsid w:val="EEC2EFA1"/>
    <w:rsid w:val="EF1F4E29"/>
    <w:rsid w:val="EF335150"/>
    <w:rsid w:val="EF3F21DD"/>
    <w:rsid w:val="EF5EB022"/>
    <w:rsid w:val="EF630F8F"/>
    <w:rsid w:val="EF7F791E"/>
    <w:rsid w:val="EF7FB2BF"/>
    <w:rsid w:val="EF8FA695"/>
    <w:rsid w:val="EFF5A753"/>
    <w:rsid w:val="EFF62881"/>
    <w:rsid w:val="EFF71B67"/>
    <w:rsid w:val="EFF7757D"/>
    <w:rsid w:val="EFF7C3DD"/>
    <w:rsid w:val="EFFB63A5"/>
    <w:rsid w:val="EFFD0E30"/>
    <w:rsid w:val="EFFDA76C"/>
    <w:rsid w:val="EFFFAA3A"/>
    <w:rsid w:val="F3AB9B7E"/>
    <w:rsid w:val="F3DE73F8"/>
    <w:rsid w:val="F3FA5ED2"/>
    <w:rsid w:val="F55ED6C9"/>
    <w:rsid w:val="F5B57DF8"/>
    <w:rsid w:val="F5EB016B"/>
    <w:rsid w:val="F5EB71D0"/>
    <w:rsid w:val="F5F27755"/>
    <w:rsid w:val="F6D7247F"/>
    <w:rsid w:val="F6DF8652"/>
    <w:rsid w:val="F6EF137E"/>
    <w:rsid w:val="F76C1A98"/>
    <w:rsid w:val="F77B13CA"/>
    <w:rsid w:val="F7C25997"/>
    <w:rsid w:val="F7E25CAC"/>
    <w:rsid w:val="F87DFCED"/>
    <w:rsid w:val="F94E534C"/>
    <w:rsid w:val="FABB4DA9"/>
    <w:rsid w:val="FAFDB144"/>
    <w:rsid w:val="FB193390"/>
    <w:rsid w:val="FB2A6736"/>
    <w:rsid w:val="FB3FA5ED"/>
    <w:rsid w:val="FB66202C"/>
    <w:rsid w:val="FBBBC2EA"/>
    <w:rsid w:val="FBE5CFAE"/>
    <w:rsid w:val="FBE6C2A6"/>
    <w:rsid w:val="FBEB2D31"/>
    <w:rsid w:val="FBF5F3A3"/>
    <w:rsid w:val="FBF7B923"/>
    <w:rsid w:val="FBF9995C"/>
    <w:rsid w:val="FBFD22B3"/>
    <w:rsid w:val="FBFD430E"/>
    <w:rsid w:val="FCDEB1AB"/>
    <w:rsid w:val="FCE3FE27"/>
    <w:rsid w:val="FCF3467E"/>
    <w:rsid w:val="FCF3FA88"/>
    <w:rsid w:val="FCFDA392"/>
    <w:rsid w:val="FCFF7DFB"/>
    <w:rsid w:val="FCFFCD72"/>
    <w:rsid w:val="FD3F8B54"/>
    <w:rsid w:val="FD67DAC6"/>
    <w:rsid w:val="FD69609E"/>
    <w:rsid w:val="FD74D726"/>
    <w:rsid w:val="FD757632"/>
    <w:rsid w:val="FDAD69A6"/>
    <w:rsid w:val="FDBFE32D"/>
    <w:rsid w:val="FDC72C14"/>
    <w:rsid w:val="FDEEAF27"/>
    <w:rsid w:val="FE3B7F8B"/>
    <w:rsid w:val="FE5CD5E8"/>
    <w:rsid w:val="FE63EC7F"/>
    <w:rsid w:val="FE7B5FA1"/>
    <w:rsid w:val="FEB5083B"/>
    <w:rsid w:val="FEB7199E"/>
    <w:rsid w:val="FEB74012"/>
    <w:rsid w:val="FEB7CD98"/>
    <w:rsid w:val="FEBF14F9"/>
    <w:rsid w:val="FEBFC9DD"/>
    <w:rsid w:val="FEDD8083"/>
    <w:rsid w:val="FEE2CE28"/>
    <w:rsid w:val="FEE75E0F"/>
    <w:rsid w:val="FEE9DA39"/>
    <w:rsid w:val="FEF17C01"/>
    <w:rsid w:val="FEF715FB"/>
    <w:rsid w:val="FEFDC9B1"/>
    <w:rsid w:val="FEFF59BE"/>
    <w:rsid w:val="FEFFB622"/>
    <w:rsid w:val="FF1F8FF6"/>
    <w:rsid w:val="FF36667E"/>
    <w:rsid w:val="FF3B0663"/>
    <w:rsid w:val="FF3F8F65"/>
    <w:rsid w:val="FF6D303F"/>
    <w:rsid w:val="FF6FA4A8"/>
    <w:rsid w:val="FF7F1F81"/>
    <w:rsid w:val="FF7F56C7"/>
    <w:rsid w:val="FF7FDCC6"/>
    <w:rsid w:val="FF8EDF40"/>
    <w:rsid w:val="FF9E3CFC"/>
    <w:rsid w:val="FFAF398D"/>
    <w:rsid w:val="FFB79D46"/>
    <w:rsid w:val="FFBDD9F4"/>
    <w:rsid w:val="FFBE394B"/>
    <w:rsid w:val="FFBFF868"/>
    <w:rsid w:val="FFC7FBB2"/>
    <w:rsid w:val="FFD90618"/>
    <w:rsid w:val="FFE74C96"/>
    <w:rsid w:val="FFEE42A6"/>
    <w:rsid w:val="FFEFD044"/>
    <w:rsid w:val="FFF1256B"/>
    <w:rsid w:val="FFF37D02"/>
    <w:rsid w:val="FFF67BE3"/>
    <w:rsid w:val="FFF773F5"/>
    <w:rsid w:val="FFF7D3A0"/>
    <w:rsid w:val="FFF7F8F2"/>
    <w:rsid w:val="FFFB49C2"/>
    <w:rsid w:val="FFFB4DB6"/>
    <w:rsid w:val="FFFB7748"/>
    <w:rsid w:val="FFFD121F"/>
    <w:rsid w:val="FFFD232B"/>
    <w:rsid w:val="FFFDC9E0"/>
    <w:rsid w:val="FFFECE28"/>
    <w:rsid w:val="FFFEF60C"/>
    <w:rsid w:val="FFFF4EC0"/>
    <w:rsid w:val="FFFF4EFE"/>
    <w:rsid w:val="FFFFA4B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5">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6">
    <w:name w:val="heading 2"/>
    <w:basedOn w:val="1"/>
    <w:next w:val="1"/>
    <w:link w:val="25"/>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7">
    <w:name w:val="heading 3"/>
    <w:next w:val="1"/>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8">
    <w:name w:val="heading 4"/>
    <w:next w:val="1"/>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9">
    <w:name w:val="heading 5"/>
    <w:next w:val="1"/>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10">
    <w:name w:val="heading 6"/>
    <w:basedOn w:val="1"/>
    <w:next w:val="1"/>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11">
    <w:name w:val="heading 7"/>
    <w:next w:val="1"/>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12">
    <w:name w:val="heading 8"/>
    <w:next w:val="1"/>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3">
    <w:name w:val="heading 9"/>
    <w:next w:val="1"/>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2">
    <w:name w:val="Default Paragraph Font"/>
    <w:semiHidden/>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3"/>
    <w:qFormat/>
    <w:uiPriority w:val="0"/>
    <w:pPr>
      <w:widowControl w:val="0"/>
      <w:spacing w:after="120"/>
      <w:ind w:firstLine="420" w:firstLineChars="200"/>
      <w:jc w:val="both"/>
    </w:pPr>
    <w:rPr>
      <w:rFonts w:hint="eastAsia" w:ascii="Calibri" w:hAnsi="Calibri" w:eastAsia="仿宋_GB2312" w:cs="Times New Roman"/>
      <w:kern w:val="2"/>
      <w:sz w:val="32"/>
      <w:szCs w:val="22"/>
      <w:lang w:val="en-US" w:eastAsia="zh-CN" w:bidi="ar-SA"/>
    </w:rPr>
  </w:style>
  <w:style w:type="paragraph" w:styleId="3">
    <w:name w:val="Body Text"/>
    <w:basedOn w:val="1"/>
    <w:next w:val="4"/>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4">
    <w:name w:val="Title"/>
    <w:basedOn w:val="1"/>
    <w:next w:val="1"/>
    <w:qFormat/>
    <w:uiPriority w:val="0"/>
    <w:pPr>
      <w:spacing w:line="720" w:lineRule="exact"/>
      <w:jc w:val="center"/>
      <w:outlineLvl w:val="9"/>
    </w:pPr>
    <w:rPr>
      <w:rFonts w:ascii="方正小标宋简体" w:hAnsi="方正小标宋简体" w:eastAsia="方正小标宋简体" w:cs="方正小标宋简体"/>
      <w:sz w:val="44"/>
      <w:szCs w:val="44"/>
    </w:rPr>
  </w:style>
  <w:style w:type="paragraph" w:styleId="14">
    <w:name w:val="annotation text"/>
    <w:basedOn w:val="1"/>
    <w:qFormat/>
    <w:uiPriority w:val="0"/>
    <w:pPr>
      <w:jc w:val="left"/>
    </w:pPr>
  </w:style>
  <w:style w:type="paragraph" w:styleId="15">
    <w:name w:val="Body Text Indent"/>
    <w:basedOn w:val="1"/>
    <w:next w:val="1"/>
    <w:qFormat/>
    <w:uiPriority w:val="0"/>
    <w:pPr>
      <w:spacing w:after="120"/>
      <w:ind w:left="200" w:leftChars="200"/>
    </w:pPr>
    <w:rPr>
      <w:rFonts w:ascii="Times New Roman" w:hAnsi="Times New Roman" w:eastAsia="宋体" w:cs="Times New Roman"/>
      <w:sz w:val="21"/>
      <w:szCs w:val="21"/>
    </w:rPr>
  </w:style>
  <w:style w:type="paragraph" w:styleId="16">
    <w:name w:val="footer"/>
    <w:basedOn w:val="1"/>
    <w:qFormat/>
    <w:uiPriority w:val="99"/>
    <w:pPr>
      <w:tabs>
        <w:tab w:val="center" w:pos="4153"/>
        <w:tab w:val="right" w:pos="8306"/>
      </w:tabs>
      <w:snapToGrid w:val="0"/>
      <w:jc w:val="left"/>
    </w:pPr>
    <w:rPr>
      <w:sz w:val="18"/>
    </w:rPr>
  </w:style>
  <w:style w:type="paragraph" w:styleId="17">
    <w:name w:val="header"/>
    <w:basedOn w:val="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8">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9">
    <w:name w:val="Normal (Web)"/>
    <w:basedOn w:val="1"/>
    <w:qFormat/>
    <w:uiPriority w:val="0"/>
    <w:pPr>
      <w:widowControl w:val="0"/>
      <w:spacing w:before="100" w:beforeAutospacing="1" w:after="100" w:afterAutospacing="1"/>
      <w:ind w:left="0" w:right="0"/>
      <w:jc w:val="left"/>
    </w:pPr>
    <w:rPr>
      <w:rFonts w:ascii="Times New Roman" w:hAnsi="Times New Roman" w:eastAsia="仿宋_GB2312" w:cs="Times New Roman"/>
      <w:kern w:val="0"/>
      <w:sz w:val="24"/>
      <w:szCs w:val="32"/>
      <w:lang w:val="en-US" w:eastAsia="zh-CN" w:bidi="ar"/>
    </w:rPr>
  </w:style>
  <w:style w:type="table" w:styleId="21">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basedOn w:val="22"/>
    <w:qFormat/>
    <w:uiPriority w:val="0"/>
    <w:rPr>
      <w:rFonts w:ascii="Times New Roman" w:hAnsi="Times New Roman" w:eastAsia="宋体" w:cs="Times New Roman"/>
      <w:b/>
    </w:rPr>
  </w:style>
  <w:style w:type="character" w:styleId="24">
    <w:name w:val="Hyperlink"/>
    <w:qFormat/>
    <w:uiPriority w:val="0"/>
    <w:rPr>
      <w:rFonts w:ascii="Times New Roman" w:hAnsi="Times New Roman" w:eastAsia="宋体" w:cs="Times New Roman"/>
      <w:color w:val="0000FF"/>
      <w:u w:val="single"/>
    </w:rPr>
  </w:style>
  <w:style w:type="character" w:customStyle="1" w:styleId="25">
    <w:name w:val="标题 2 Char"/>
    <w:link w:val="6"/>
    <w:qFormat/>
    <w:uiPriority w:val="0"/>
    <w:rPr>
      <w:rFonts w:ascii="Times New Roman" w:hAnsi="Times New Roman" w:eastAsia="楷体_GB2312" w:cs="楷体_GB2312"/>
      <w:sz w:val="32"/>
      <w:szCs w:val="32"/>
    </w:rPr>
  </w:style>
  <w:style w:type="paragraph" w:customStyle="1" w:styleId="26">
    <w:name w:val="主送对象"/>
    <w:next w:val="1"/>
    <w:qFormat/>
    <w:uiPriority w:val="0"/>
    <w:pPr>
      <w:spacing w:line="560" w:lineRule="exact"/>
    </w:pPr>
    <w:rPr>
      <w:rFonts w:ascii="Times New Roman" w:hAnsi="Times New Roman" w:eastAsia="仿宋_GB2312" w:cs="仿宋_GB2312"/>
      <w:sz w:val="32"/>
      <w:szCs w:val="32"/>
    </w:rPr>
  </w:style>
  <w:style w:type="character" w:customStyle="1" w:styleId="27">
    <w:name w:val="font21"/>
    <w:qFormat/>
    <w:uiPriority w:val="0"/>
    <w:rPr>
      <w:rFonts w:hint="eastAsia" w:ascii="宋体" w:hAnsi="宋体" w:eastAsia="宋体" w:cs="宋体"/>
      <w:color w:val="000000"/>
      <w:sz w:val="15"/>
      <w:szCs w:val="15"/>
      <w:u w:val="none"/>
    </w:rPr>
  </w:style>
  <w:style w:type="character" w:customStyle="1" w:styleId="28">
    <w:name w:val="NormalCharacter"/>
    <w:qFormat/>
    <w:uiPriority w:val="0"/>
    <w:rPr>
      <w:rFonts w:ascii="Times New Roman" w:hAnsi="Times New Roman" w:eastAsia="华文新魏" w:cs="Times New Roman"/>
      <w:lang w:bidi="ar-SA"/>
    </w:rPr>
  </w:style>
  <w:style w:type="character" w:customStyle="1" w:styleId="29">
    <w:name w:val="font01"/>
    <w:basedOn w:val="22"/>
    <w:qFormat/>
    <w:uiPriority w:val="0"/>
    <w:rPr>
      <w:rFonts w:hint="default" w:ascii="Times New Roman" w:hAnsi="Times New Roman" w:eastAsia="宋体" w:cs="Times New Roman"/>
      <w:color w:val="000000"/>
      <w:sz w:val="15"/>
      <w:szCs w:val="15"/>
      <w:u w:val="none"/>
    </w:rPr>
  </w:style>
  <w:style w:type="paragraph" w:customStyle="1" w:styleId="30">
    <w:name w:val="Default"/>
    <w:unhideWhenUsed/>
    <w:qFormat/>
    <w:uiPriority w:val="0"/>
    <w:pPr>
      <w:widowControl w:val="0"/>
      <w:autoSpaceDE w:val="0"/>
      <w:autoSpaceDN w:val="0"/>
      <w:adjustRightInd w:val="0"/>
    </w:pPr>
    <w:rPr>
      <w:rFonts w:hint="eastAsia" w:ascii="方正小标宋_GBK" w:hAnsi="方正小标宋_GBK" w:eastAsia="方正小标宋_GBK" w:cs="Times New Roman"/>
      <w:color w:val="000000"/>
      <w:sz w:val="24"/>
      <w:szCs w:val="22"/>
      <w:lang w:val="en-US" w:eastAsia="zh-CN" w:bidi="ar-SA"/>
    </w:rPr>
  </w:style>
  <w:style w:type="paragraph" w:customStyle="1" w:styleId="31">
    <w:name w:val="Table Text"/>
    <w:basedOn w:val="1"/>
    <w:semiHidden/>
    <w:qFormat/>
    <w:uiPriority w:val="0"/>
    <w:rPr>
      <w:rFonts w:ascii="Arial" w:hAnsi="Arial" w:eastAsia="Arial" w:cs="Arial"/>
      <w:sz w:val="21"/>
      <w:szCs w:val="21"/>
      <w:lang w:val="en-US" w:eastAsia="en-US" w:bidi="ar-SA"/>
    </w:rPr>
  </w:style>
  <w:style w:type="paragraph" w:styleId="32">
    <w:name w:val="List Paragraph"/>
    <w:basedOn w:val="1"/>
    <w:qFormat/>
    <w:uiPriority w:val="99"/>
    <w:pPr>
      <w:ind w:firstLine="420" w:firstLineChars="200"/>
    </w:pPr>
    <w:rPr>
      <w:rFonts w:ascii="Calibri" w:hAnsi="Calibri" w:eastAsia="宋体" w:cs="Calibri"/>
      <w:sz w:val="21"/>
      <w:szCs w:val="21"/>
    </w:rPr>
  </w:style>
  <w:style w:type="paragraph" w:customStyle="1" w:styleId="33">
    <w:name w:val="Body text|2"/>
    <w:basedOn w:val="1"/>
    <w:qFormat/>
    <w:uiPriority w:val="0"/>
    <w:pPr>
      <w:widowControl w:val="0"/>
      <w:shd w:val="clear" w:color="auto" w:fill="auto"/>
      <w:spacing w:line="515" w:lineRule="exact"/>
      <w:ind w:firstLine="660"/>
    </w:pPr>
    <w:rPr>
      <w:rFonts w:ascii="宋体" w:hAnsi="宋体" w:eastAsia="宋体" w:cs="宋体"/>
      <w:color w:val="292C32"/>
      <w:sz w:val="30"/>
      <w:szCs w:val="30"/>
      <w:u w:val="none"/>
      <w:shd w:val="clear" w:color="auto" w:fill="auto"/>
      <w:lang w:val="zh-TW" w:eastAsia="zh-TW" w:bidi="zh-TW"/>
    </w:rPr>
  </w:style>
  <w:style w:type="paragraph" w:customStyle="1" w:styleId="34">
    <w:name w:val="Table Paragraph"/>
    <w:unhideWhenUsed/>
    <w:qFormat/>
    <w:uiPriority w:val="1"/>
    <w:pPr>
      <w:widowControl w:val="0"/>
      <w:jc w:val="both"/>
    </w:pPr>
    <w:rPr>
      <w:rFonts w:ascii="Times New Roman" w:hAnsi="Times New Roman" w:eastAsia="宋体" w:cs="Times New Roman"/>
      <w:kern w:val="2"/>
      <w:sz w:val="24"/>
      <w:szCs w:val="24"/>
      <w:lang w:val="en-US" w:eastAsia="zh-CN" w:bidi="ar-SA"/>
    </w:rPr>
  </w:style>
  <w:style w:type="table" w:customStyle="1" w:styleId="35">
    <w:name w:val="Table Normal"/>
    <w:unhideWhenUsed/>
    <w:qFormat/>
    <w:uiPriority w:val="0"/>
    <w:tblPr>
      <w:tblCellMar>
        <w:top w:w="0" w:type="dxa"/>
        <w:left w:w="0" w:type="dxa"/>
        <w:bottom w:w="0" w:type="dxa"/>
        <w:right w:w="0" w:type="dxa"/>
      </w:tblCellMar>
    </w:tblPr>
  </w:style>
  <w:style w:type="character" w:customStyle="1" w:styleId="36">
    <w:name w:val="font71"/>
    <w:basedOn w:val="22"/>
    <w:qFormat/>
    <w:uiPriority w:val="0"/>
    <w:rPr>
      <w:rFonts w:hint="eastAsia" w:ascii="仿宋_GB2312" w:eastAsia="仿宋_GB2312" w:cs="仿宋_GB2312"/>
      <w:color w:val="000000"/>
      <w:sz w:val="16"/>
      <w:szCs w:val="16"/>
      <w:u w:val="none"/>
      <w:vertAlign w:val="superscript"/>
    </w:rPr>
  </w:style>
  <w:style w:type="character" w:customStyle="1" w:styleId="37">
    <w:name w:val="font31"/>
    <w:basedOn w:val="22"/>
    <w:qFormat/>
    <w:uiPriority w:val="0"/>
    <w:rPr>
      <w:rFonts w:hint="eastAsia" w:ascii="宋体" w:hAnsi="宋体" w:eastAsia="宋体" w:cs="宋体"/>
      <w:b/>
      <w:bCs/>
      <w:color w:val="FF0000"/>
      <w:sz w:val="16"/>
      <w:szCs w:val="16"/>
      <w:u w:val="single"/>
    </w:rPr>
  </w:style>
  <w:style w:type="character" w:customStyle="1" w:styleId="38">
    <w:name w:val="font61"/>
    <w:basedOn w:val="22"/>
    <w:qFormat/>
    <w:uiPriority w:val="0"/>
    <w:rPr>
      <w:rFonts w:hint="eastAsia" w:ascii="宋体" w:hAnsi="宋体" w:eastAsia="宋体" w:cs="宋体"/>
      <w:color w:val="000000"/>
      <w:sz w:val="16"/>
      <w:szCs w:val="16"/>
      <w:u w:val="none"/>
    </w:rPr>
  </w:style>
  <w:style w:type="character" w:customStyle="1" w:styleId="39">
    <w:name w:val="font11"/>
    <w:basedOn w:val="22"/>
    <w:qFormat/>
    <w:uiPriority w:val="0"/>
    <w:rPr>
      <w:rFonts w:hint="eastAsia" w:ascii="宋体" w:hAnsi="宋体" w:eastAsia="宋体" w:cs="宋体"/>
      <w:color w:val="FF0000"/>
      <w:sz w:val="16"/>
      <w:szCs w:val="16"/>
      <w:u w:val="none"/>
    </w:rPr>
  </w:style>
  <w:style w:type="character" w:customStyle="1" w:styleId="40">
    <w:name w:val="font51"/>
    <w:basedOn w:val="22"/>
    <w:qFormat/>
    <w:uiPriority w:val="0"/>
    <w:rPr>
      <w:rFonts w:hint="eastAsia" w:ascii="仿宋_GB2312" w:eastAsia="仿宋_GB2312" w:cs="仿宋_GB2312"/>
      <w:color w:val="000000"/>
      <w:sz w:val="16"/>
      <w:szCs w:val="16"/>
      <w:u w:val="none"/>
    </w:rPr>
  </w:style>
  <w:style w:type="character" w:customStyle="1" w:styleId="41">
    <w:name w:val="font41"/>
    <w:basedOn w:val="22"/>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86</Pages>
  <Words>7364</Words>
  <Characters>7906</Characters>
  <Lines>0</Lines>
  <Paragraphs>0</Paragraphs>
  <TotalTime>39</TotalTime>
  <ScaleCrop>false</ScaleCrop>
  <LinksUpToDate>false</LinksUpToDate>
  <CharactersWithSpaces>7932</CharactersWithSpaces>
  <Application>WPS Office_11.8.2.10624_F1E327BC-269C-435d-A152-05C5408002CA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2025-05-19T17:38:00Z</dcterms:created>
  <dc:creator>DELL</dc:creator>
  <cp:lastModifiedBy>gxxc</cp:lastModifiedBy>
  <cp:lastPrinted>2026-04-30T17:09:00Z</cp:lastPrinted>
  <dcterms:modified xsi:type="dcterms:W3CDTF">2026-04-30T17:01:27Z</dcterms:modified>
  <dc:title>2026年乡镇集中式供水单位</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2052-11.8.2.10624</vt:lpwstr>
  </property>
  <property fmtid="{D5CDD505-2E9C-101B-9397-08002B2CF9AE}" pid="3" name="ICV">
    <vt:lpwstr>A39465236C2D42029C72A8ADD8F55753_13</vt:lpwstr>
  </property>
  <property fmtid="{D5CDD505-2E9C-101B-9397-08002B2CF9AE}" pid="4" name="KSOTemplateDocerSaveRecord">
    <vt:lpwstr>eyJoZGlkIjoiYWUwNzBlZDA5YjBkZWVmY2UzZjk4OTJlMzliYTA0NmUiLCJ1c2VySWQiOiI1ODExMDkyMDIifQ==</vt:lpwstr>
  </property>
  <property fmtid="{D5CDD505-2E9C-101B-9397-08002B2CF9AE}" pid="5" name="附件说明_1">
    <vt:lpwstr>附件：1.2026年广西实施公共卫生国家随机监督抽查计划2.2026年广西实施职业卫生和放射卫生国家随机监督抽查计划3.2026年广西实施医疗卫生机构传染病防治国家随机监督抽查计划4.2026年广西实施消毒产品国家随机监督抽查计划5.2026年广西实施医疗卫生国家随机监督抽查计划6.2026年广西实施血液国家随机监督抽查计划7.2026年消毒产品广西随机监督抽查计划8.2026年乡镇集中式供水单位广西随机监督抽查计划9.2026年人类辅助生殖技术机构广西随机监督抽查计划10.2026年血液透析中心和医学检验实验室（中心）传染病防治广西随机监督抽查计划</vt:lpwstr>
  </property>
</Properties>
</file>