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D3607">
      <w:pPr>
        <w:pStyle w:val="6"/>
        <w:keepNext w:val="0"/>
        <w:keepLines w:val="0"/>
        <w:pageBreakBefore w:val="0"/>
        <w:widowControl w:val="0"/>
        <w:kinsoku/>
        <w:wordWrap/>
        <w:overflowPunct/>
        <w:topLinePunct w:val="0"/>
        <w:autoSpaceDE/>
        <w:autoSpaceDN/>
        <w:bidi w:val="0"/>
        <w:adjustRightInd/>
        <w:snapToGrid/>
        <w:spacing w:line="560" w:lineRule="exact"/>
        <w:ind w:left="1920" w:hanging="1920" w:hangingChars="600"/>
        <w:textAlignment w:val="auto"/>
        <w:rPr>
          <w:rFonts w:hint="eastAsia" w:ascii="方正黑体_GBK" w:hAnsi="方正黑体_GBK" w:eastAsia="方正黑体_GBK" w:cs="方正黑体_GBK"/>
          <w:sz w:val="32"/>
          <w:szCs w:val="24"/>
          <w:lang w:val="en-US" w:eastAsia="zh-CN"/>
        </w:rPr>
      </w:pPr>
      <w:r>
        <w:rPr>
          <w:rFonts w:hint="eastAsia" w:ascii="方正黑体_GBK" w:hAnsi="方正黑体_GBK" w:eastAsia="方正黑体_GBK" w:cs="方正黑体_GBK"/>
          <w:sz w:val="32"/>
          <w:szCs w:val="24"/>
          <w:lang w:eastAsia="zh-CN"/>
        </w:rPr>
        <w:t>附件</w:t>
      </w:r>
      <w:r>
        <w:rPr>
          <w:rFonts w:hint="eastAsia" w:ascii="方正黑体_GBK" w:hAnsi="方正黑体_GBK" w:eastAsia="方正黑体_GBK" w:cs="方正黑体_GBK"/>
          <w:sz w:val="32"/>
          <w:szCs w:val="24"/>
          <w:lang w:val="en-US" w:eastAsia="zh-CN"/>
        </w:rPr>
        <w:t>1</w:t>
      </w:r>
    </w:p>
    <w:p w14:paraId="3364BB95">
      <w:pPr>
        <w:pStyle w:val="10"/>
        <w:spacing w:beforeLines="0" w:afterLines="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color w:val="000000"/>
          <w:kern w:val="0"/>
          <w:sz w:val="44"/>
          <w:szCs w:val="44"/>
        </w:rPr>
        <w:t>开展快检任务批次数量</w:t>
      </w:r>
      <w:r>
        <w:rPr>
          <w:rFonts w:hint="eastAsia" w:ascii="方正小标宋_GBK" w:hAnsi="方正小标宋_GBK" w:eastAsia="方正小标宋_GBK" w:cs="方正小标宋_GBK"/>
          <w:color w:val="000000"/>
          <w:kern w:val="0"/>
          <w:sz w:val="44"/>
          <w:szCs w:val="44"/>
          <w:lang w:eastAsia="zh-CN"/>
        </w:rPr>
        <w:t>表</w:t>
      </w:r>
    </w:p>
    <w:tbl>
      <w:tblPr>
        <w:tblStyle w:val="8"/>
        <w:tblW w:w="85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1194"/>
        <w:gridCol w:w="1379"/>
        <w:gridCol w:w="1379"/>
        <w:gridCol w:w="1379"/>
        <w:gridCol w:w="1379"/>
        <w:gridCol w:w="1379"/>
      </w:tblGrid>
      <w:tr w14:paraId="7C2C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9511B2">
            <w:pPr>
              <w:jc w:val="center"/>
              <w:rPr>
                <w:rFonts w:hint="eastAsia" w:ascii="CESI宋体-GB13000" w:hAnsi="CESI宋体-GB13000" w:eastAsia="CESI宋体-GB13000"/>
                <w:b/>
                <w:sz w:val="24"/>
                <w:szCs w:val="24"/>
                <w:lang w:eastAsia="zh-CN"/>
              </w:rPr>
            </w:pPr>
            <w:r>
              <w:rPr>
                <w:rFonts w:hint="eastAsia" w:ascii="CESI宋体-GB13000" w:hAnsi="CESI宋体-GB13000" w:eastAsia="CESI宋体-GB13000"/>
                <w:b/>
                <w:sz w:val="24"/>
                <w:szCs w:val="24"/>
                <w:lang w:eastAsia="zh-CN"/>
              </w:rPr>
              <w:t>序</w:t>
            </w:r>
          </w:p>
          <w:p w14:paraId="35799E53">
            <w:pPr>
              <w:jc w:val="center"/>
              <w:rPr>
                <w:rFonts w:hint="eastAsia" w:ascii="CESI宋体-GB13000" w:hAnsi="CESI宋体-GB13000" w:eastAsia="CESI宋体-GB13000"/>
                <w:b/>
                <w:sz w:val="24"/>
                <w:szCs w:val="24"/>
                <w:lang w:eastAsia="zh-CN"/>
              </w:rPr>
            </w:pPr>
            <w:r>
              <w:rPr>
                <w:rFonts w:hint="eastAsia" w:ascii="CESI宋体-GB13000" w:hAnsi="CESI宋体-GB13000" w:eastAsia="CESI宋体-GB13000"/>
                <w:b/>
                <w:sz w:val="24"/>
                <w:szCs w:val="24"/>
                <w:lang w:eastAsia="zh-CN"/>
              </w:rPr>
              <w:t>号</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8862FC">
            <w:pPr>
              <w:jc w:val="center"/>
              <w:rPr>
                <w:rFonts w:hint="eastAsia" w:ascii="CESI宋体-GB13000" w:hAnsi="CESI宋体-GB13000" w:eastAsia="CESI宋体-GB13000"/>
                <w:b/>
                <w:sz w:val="24"/>
                <w:szCs w:val="24"/>
                <w:lang w:eastAsia="zh-CN"/>
              </w:rPr>
            </w:pPr>
            <w:r>
              <w:rPr>
                <w:rFonts w:hint="eastAsia" w:ascii="CESI宋体-GB13000" w:hAnsi="CESI宋体-GB13000" w:eastAsia="CESI宋体-GB13000"/>
                <w:b/>
                <w:sz w:val="24"/>
                <w:szCs w:val="24"/>
                <w:lang w:eastAsia="zh-CN"/>
              </w:rPr>
              <w:t>行政区划</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40033C">
            <w:pPr>
              <w:jc w:val="center"/>
              <w:rPr>
                <w:rFonts w:hint="eastAsia" w:ascii="CESI宋体-GB13000" w:hAnsi="CESI宋体-GB13000" w:eastAsia="CESI宋体-GB13000"/>
                <w:b/>
                <w:sz w:val="24"/>
                <w:szCs w:val="24"/>
                <w:lang w:eastAsia="zh-CN"/>
              </w:rPr>
            </w:pPr>
            <w:r>
              <w:rPr>
                <w:rFonts w:hint="eastAsia" w:ascii="CESI宋体-GB13000" w:hAnsi="CESI宋体-GB13000" w:eastAsia="CESI宋体-GB13000"/>
                <w:b/>
                <w:sz w:val="24"/>
                <w:szCs w:val="24"/>
                <w:lang w:eastAsia="zh-CN"/>
              </w:rPr>
              <w:t>农批市场</w:t>
            </w:r>
          </w:p>
          <w:p w14:paraId="10AD4E0C">
            <w:pPr>
              <w:jc w:val="center"/>
              <w:rPr>
                <w:rFonts w:hint="eastAsia" w:ascii="CESI宋体-GB13000" w:hAnsi="CESI宋体-GB13000" w:eastAsia="CESI宋体-GB13000"/>
                <w:b/>
                <w:sz w:val="24"/>
                <w:szCs w:val="24"/>
                <w:lang w:eastAsia="zh-CN"/>
              </w:rPr>
            </w:pPr>
            <w:r>
              <w:rPr>
                <w:rFonts w:hint="eastAsia" w:ascii="CESI宋体-GB13000" w:hAnsi="CESI宋体-GB13000" w:eastAsia="CESI宋体-GB13000"/>
                <w:b/>
                <w:sz w:val="24"/>
                <w:szCs w:val="24"/>
                <w:lang w:eastAsia="zh-CN"/>
              </w:rPr>
              <w:t>数量</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BECE6E">
            <w:pPr>
              <w:jc w:val="center"/>
              <w:rPr>
                <w:rFonts w:hint="eastAsia" w:ascii="CESI宋体-GB13000" w:hAnsi="CESI宋体-GB13000" w:eastAsia="CESI宋体-GB13000"/>
                <w:b/>
                <w:sz w:val="24"/>
                <w:szCs w:val="24"/>
                <w:lang w:eastAsia="zh-CN"/>
              </w:rPr>
            </w:pPr>
            <w:r>
              <w:rPr>
                <w:rFonts w:hint="eastAsia" w:ascii="CESI宋体-GB13000" w:hAnsi="CESI宋体-GB13000" w:eastAsia="CESI宋体-GB13000"/>
                <w:b/>
                <w:sz w:val="24"/>
                <w:szCs w:val="24"/>
                <w:lang w:eastAsia="zh-CN"/>
              </w:rPr>
              <w:t>入场销售者数量</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BA8E7C">
            <w:pPr>
              <w:jc w:val="center"/>
              <w:rPr>
                <w:rFonts w:hint="eastAsia" w:ascii="CESI宋体-GB13000" w:hAnsi="CESI宋体-GB13000" w:eastAsia="CESI宋体-GB13000"/>
                <w:b/>
                <w:sz w:val="24"/>
                <w:szCs w:val="24"/>
                <w:lang w:eastAsia="zh-CN"/>
              </w:rPr>
            </w:pPr>
            <w:r>
              <w:rPr>
                <w:rFonts w:hint="eastAsia" w:ascii="CESI宋体-GB13000" w:hAnsi="CESI宋体-GB13000" w:eastAsia="CESI宋体-GB13000"/>
                <w:b/>
                <w:sz w:val="24"/>
                <w:szCs w:val="24"/>
                <w:lang w:eastAsia="zh-CN"/>
              </w:rPr>
              <w:t>各市快检任务批次（万）</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BFA6B3">
            <w:pPr>
              <w:jc w:val="center"/>
              <w:rPr>
                <w:rFonts w:hint="eastAsia" w:ascii="CESI宋体-GB13000" w:hAnsi="CESI宋体-GB13000" w:eastAsia="CESI宋体-GB13000"/>
                <w:b/>
                <w:sz w:val="24"/>
                <w:szCs w:val="24"/>
                <w:lang w:eastAsia="zh-CN"/>
              </w:rPr>
            </w:pPr>
            <w:r>
              <w:rPr>
                <w:rFonts w:hint="eastAsia" w:ascii="CESI宋体-GB13000" w:hAnsi="CESI宋体-GB13000" w:eastAsia="CESI宋体-GB13000"/>
                <w:b/>
                <w:sz w:val="24"/>
                <w:szCs w:val="24"/>
                <w:lang w:eastAsia="zh-CN"/>
              </w:rPr>
              <w:t>省局抽查检测任务批次（万）</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EC97F5">
            <w:pPr>
              <w:jc w:val="center"/>
              <w:rPr>
                <w:rFonts w:hint="eastAsia" w:ascii="CESI宋体-GB13000" w:hAnsi="CESI宋体-GB13000" w:eastAsia="CESI宋体-GB13000"/>
                <w:b/>
                <w:sz w:val="24"/>
                <w:szCs w:val="24"/>
                <w:lang w:eastAsia="zh-CN"/>
              </w:rPr>
            </w:pPr>
            <w:r>
              <w:rPr>
                <w:rFonts w:hint="eastAsia" w:ascii="CESI宋体-GB13000" w:hAnsi="CESI宋体-GB13000" w:eastAsia="CESI宋体-GB13000"/>
                <w:b/>
                <w:sz w:val="24"/>
                <w:szCs w:val="24"/>
                <w:lang w:eastAsia="zh-CN"/>
              </w:rPr>
              <w:t>全年总体任务批次（万）</w:t>
            </w:r>
          </w:p>
        </w:tc>
      </w:tr>
      <w:tr w14:paraId="1ECA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088B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1</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A0DA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太原市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D621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7</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444B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1651</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329AC1">
            <w:pPr>
              <w:pStyle w:val="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CESI仿宋-GB2312" w:hAnsi="CESI仿宋-GB2312" w:eastAsia="CESI仿宋-GB2312" w:cs="Times New Roman"/>
                <w:color w:val="auto"/>
                <w:kern w:val="2"/>
                <w:sz w:val="24"/>
                <w:szCs w:val="24"/>
                <w:lang w:val="en-US" w:eastAsia="zh-CN" w:bidi="ar-SA"/>
              </w:rPr>
            </w:pPr>
            <w:r>
              <w:rPr>
                <w:rFonts w:hint="eastAsia" w:ascii="CESI仿宋-GB2312" w:hAnsi="CESI仿宋-GB2312" w:eastAsia="CESI仿宋-GB2312" w:cs="Times New Roman"/>
                <w:color w:val="auto"/>
                <w:kern w:val="2"/>
                <w:sz w:val="24"/>
                <w:szCs w:val="24"/>
                <w:lang w:val="en-US" w:eastAsia="zh-CN" w:bidi="ar-SA"/>
              </w:rPr>
              <w:t>15.7</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2766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s="Times New Roman"/>
                <w:color w:val="auto"/>
                <w:kern w:val="2"/>
                <w:sz w:val="24"/>
                <w:szCs w:val="24"/>
                <w:lang w:val="en-US" w:eastAsia="zh-CN" w:bidi="ar-SA"/>
              </w:rPr>
            </w:pPr>
            <w:r>
              <w:rPr>
                <w:rFonts w:hint="eastAsia" w:ascii="CESI仿宋-GB2312" w:hAnsi="CESI仿宋-GB2312" w:eastAsia="CESI仿宋-GB2312" w:cs="Times New Roman"/>
                <w:color w:val="auto"/>
                <w:kern w:val="2"/>
                <w:sz w:val="24"/>
                <w:szCs w:val="24"/>
                <w:lang w:val="en-US" w:eastAsia="zh-CN" w:bidi="ar-SA"/>
              </w:rPr>
              <w:t>5.7</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3A7450">
            <w:pPr>
              <w:keepNext w:val="0"/>
              <w:keepLines w:val="0"/>
              <w:widowControl/>
              <w:suppressLineNumbers w:val="0"/>
              <w:jc w:val="center"/>
              <w:textAlignment w:val="center"/>
              <w:rPr>
                <w:rFonts w:hint="default" w:ascii="CESI仿宋-GB2312" w:hAnsi="CESI仿宋-GB2312" w:eastAsia="CESI仿宋-GB2312" w:cs="Times New Roman"/>
                <w:color w:val="auto"/>
                <w:kern w:val="2"/>
                <w:sz w:val="24"/>
                <w:szCs w:val="24"/>
                <w:lang w:val="en-US" w:eastAsia="zh-CN" w:bidi="ar-SA"/>
              </w:rPr>
            </w:pPr>
            <w:r>
              <w:rPr>
                <w:rFonts w:hint="eastAsia" w:ascii="CESI仿宋-GB2312" w:hAnsi="CESI仿宋-GB2312" w:eastAsia="CESI仿宋-GB2312" w:cs="Times New Roman"/>
                <w:color w:val="auto"/>
                <w:kern w:val="2"/>
                <w:sz w:val="24"/>
                <w:szCs w:val="24"/>
                <w:lang w:val="en-US" w:eastAsia="zh-CN" w:bidi="ar-SA"/>
              </w:rPr>
              <w:t>21.4</w:t>
            </w:r>
          </w:p>
        </w:tc>
      </w:tr>
      <w:tr w14:paraId="776B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424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2</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30F3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大同市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1E58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6</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78CD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1066</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51F076">
            <w:pPr>
              <w:pStyle w:val="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8</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D3D6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3.6</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05CBC2">
            <w:pPr>
              <w:keepNext w:val="0"/>
              <w:keepLines w:val="0"/>
              <w:widowControl/>
              <w:suppressLineNumbers w:val="0"/>
              <w:jc w:val="center"/>
              <w:textAlignment w:val="center"/>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11.6</w:t>
            </w:r>
          </w:p>
        </w:tc>
      </w:tr>
      <w:tr w14:paraId="33EA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0E07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3</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E080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朔州市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6E94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41B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227</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687C9C">
            <w:pPr>
              <w:pStyle w:val="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1.8</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6EF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0.7</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E95383">
            <w:pPr>
              <w:keepNext w:val="0"/>
              <w:keepLines w:val="0"/>
              <w:widowControl/>
              <w:suppressLineNumbers w:val="0"/>
              <w:jc w:val="center"/>
              <w:textAlignment w:val="center"/>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2.5</w:t>
            </w:r>
          </w:p>
        </w:tc>
      </w:tr>
      <w:tr w14:paraId="5B14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E204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4</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26C1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忻州市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F4A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5</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4AAA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406</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A83904">
            <w:pPr>
              <w:pStyle w:val="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3.1</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0C27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1.4</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AE4C4B">
            <w:pPr>
              <w:keepNext w:val="0"/>
              <w:keepLines w:val="0"/>
              <w:widowControl/>
              <w:suppressLineNumbers w:val="0"/>
              <w:jc w:val="center"/>
              <w:textAlignment w:val="center"/>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4.5</w:t>
            </w:r>
          </w:p>
        </w:tc>
      </w:tr>
      <w:tr w14:paraId="2420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201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5</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FEE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吕梁市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8965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4</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C75C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235</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0032FA">
            <w:pPr>
              <w:pStyle w:val="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1.8</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1A27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0.8</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059E1A">
            <w:pPr>
              <w:keepNext w:val="0"/>
              <w:keepLines w:val="0"/>
              <w:widowControl/>
              <w:suppressLineNumbers w:val="0"/>
              <w:jc w:val="center"/>
              <w:textAlignment w:val="center"/>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2.6</w:t>
            </w:r>
          </w:p>
        </w:tc>
      </w:tr>
      <w:tr w14:paraId="7E7E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C926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6</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67B9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阳泉市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243E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5</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7AFB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534</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B910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4.1</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FEF6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1.8</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72F6E">
            <w:pPr>
              <w:keepNext w:val="0"/>
              <w:keepLines w:val="0"/>
              <w:widowControl/>
              <w:suppressLineNumbers w:val="0"/>
              <w:jc w:val="center"/>
              <w:textAlignment w:val="center"/>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5.9</w:t>
            </w:r>
          </w:p>
        </w:tc>
      </w:tr>
      <w:tr w14:paraId="4C97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3E3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7</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48C3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晋中市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927E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12</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EFFF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1128</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A93F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8.7</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18A7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4</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8BA293">
            <w:pPr>
              <w:keepNext w:val="0"/>
              <w:keepLines w:val="0"/>
              <w:widowControl/>
              <w:suppressLineNumbers w:val="0"/>
              <w:jc w:val="center"/>
              <w:textAlignment w:val="center"/>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12.7</w:t>
            </w:r>
          </w:p>
        </w:tc>
      </w:tr>
      <w:tr w14:paraId="3002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46AA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8</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66DE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长治市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2C34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4</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D88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769</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A57E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6.0</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9967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2.7</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83AF07">
            <w:pPr>
              <w:keepNext w:val="0"/>
              <w:keepLines w:val="0"/>
              <w:widowControl/>
              <w:suppressLineNumbers w:val="0"/>
              <w:jc w:val="center"/>
              <w:textAlignment w:val="center"/>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8.7</w:t>
            </w:r>
          </w:p>
        </w:tc>
      </w:tr>
      <w:tr w14:paraId="678A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E923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9</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5F0C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晋城市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0891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3</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9B7C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374</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5725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3</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00EA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1.3</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D3BAC1">
            <w:pPr>
              <w:keepNext w:val="0"/>
              <w:keepLines w:val="0"/>
              <w:widowControl/>
              <w:suppressLineNumbers w:val="0"/>
              <w:jc w:val="center"/>
              <w:textAlignment w:val="center"/>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4.3</w:t>
            </w:r>
          </w:p>
        </w:tc>
      </w:tr>
      <w:tr w14:paraId="5C34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8D0A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10</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47AF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临汾市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8641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8</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E3A5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961</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9E7E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7.5</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AA88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3.3</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7C619B">
            <w:pPr>
              <w:keepNext w:val="0"/>
              <w:keepLines w:val="0"/>
              <w:widowControl/>
              <w:suppressLineNumbers w:val="0"/>
              <w:jc w:val="center"/>
              <w:textAlignment w:val="center"/>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10.8</w:t>
            </w:r>
          </w:p>
        </w:tc>
      </w:tr>
      <w:tr w14:paraId="6070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F13B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val="en-US" w:eastAsia="zh-CN"/>
              </w:rPr>
            </w:pPr>
            <w:r>
              <w:rPr>
                <w:rFonts w:hint="eastAsia" w:ascii="CESI仿宋-GB2312" w:hAnsi="CESI仿宋-GB2312" w:eastAsia="CESI仿宋-GB2312" w:cs="CESI仿宋-GB2312"/>
                <w:b/>
                <w:color w:val="auto"/>
                <w:sz w:val="24"/>
                <w:szCs w:val="24"/>
                <w:lang w:val="en-US" w:eastAsia="zh-CN"/>
              </w:rPr>
              <w:t>11</w:t>
            </w: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0D28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s="CESI仿宋-GB2312"/>
                <w:b/>
                <w:color w:val="auto"/>
                <w:sz w:val="24"/>
                <w:szCs w:val="24"/>
                <w:lang w:eastAsia="zh-CN"/>
              </w:rPr>
            </w:pPr>
            <w:r>
              <w:rPr>
                <w:rFonts w:hint="eastAsia" w:ascii="CESI仿宋-GB2312" w:hAnsi="CESI仿宋-GB2312" w:eastAsia="CESI仿宋-GB2312" w:cs="CESI仿宋-GB2312"/>
                <w:b/>
                <w:color w:val="auto"/>
                <w:sz w:val="24"/>
                <w:szCs w:val="24"/>
                <w:lang w:eastAsia="zh-CN"/>
              </w:rPr>
              <w:t>运城市</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6A14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8</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7B19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1339</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C975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10.3</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2C2E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4.7</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B11BC0">
            <w:pPr>
              <w:keepNext w:val="0"/>
              <w:keepLines w:val="0"/>
              <w:widowControl/>
              <w:suppressLineNumbers w:val="0"/>
              <w:jc w:val="center"/>
              <w:textAlignment w:val="center"/>
              <w:rPr>
                <w:rFonts w:hint="default" w:ascii="CESI仿宋-GB2312" w:hAnsi="CESI仿宋-GB2312" w:eastAsia="CESI仿宋-GB2312"/>
                <w:color w:val="auto"/>
                <w:sz w:val="24"/>
                <w:szCs w:val="24"/>
                <w:lang w:val="en-US" w:eastAsia="zh-CN"/>
              </w:rPr>
            </w:pPr>
            <w:r>
              <w:rPr>
                <w:rFonts w:hint="eastAsia" w:ascii="CESI仿宋-GB2312" w:hAnsi="CESI仿宋-GB2312" w:eastAsia="CESI仿宋-GB2312"/>
                <w:color w:val="auto"/>
                <w:sz w:val="24"/>
                <w:szCs w:val="24"/>
                <w:lang w:val="en-US" w:eastAsia="zh-CN"/>
              </w:rPr>
              <w:t>15</w:t>
            </w:r>
          </w:p>
        </w:tc>
      </w:tr>
      <w:tr w14:paraId="2641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66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8E5DF0A">
            <w:pPr>
              <w:spacing w:line="360" w:lineRule="auto"/>
              <w:jc w:val="center"/>
              <w:rPr>
                <w:rFonts w:hint="default" w:ascii="FangSong_GB2312" w:hAnsi="FangSong_GB2312" w:eastAsia="FangSong_GB2312"/>
                <w:b/>
                <w:color w:val="auto"/>
                <w:sz w:val="24"/>
                <w:szCs w:val="24"/>
              </w:rPr>
            </w:pPr>
            <w:r>
              <w:rPr>
                <w:rFonts w:hint="default" w:ascii="FangSong_GB2312" w:hAnsi="FangSong_GB2312" w:eastAsia="FangSong_GB2312"/>
                <w:b/>
                <w:color w:val="auto"/>
                <w:sz w:val="24"/>
                <w:szCs w:val="24"/>
                <w:lang w:eastAsia="zh-CN"/>
              </w:rPr>
              <w:t>全省合计</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872009">
            <w:pPr>
              <w:spacing w:line="240" w:lineRule="auto"/>
              <w:jc w:val="center"/>
              <w:rPr>
                <w:rFonts w:hint="eastAsia" w:ascii="CESI仿宋-GB2312" w:hAnsi="CESI仿宋-GB2312" w:eastAsia="CESI仿宋-GB2312"/>
                <w:b/>
                <w:color w:val="auto"/>
                <w:sz w:val="24"/>
                <w:szCs w:val="24"/>
                <w:lang w:val="en-US" w:eastAsia="zh-CN"/>
              </w:rPr>
            </w:pPr>
            <w:r>
              <w:rPr>
                <w:rFonts w:hint="eastAsia" w:ascii="CESI仿宋-GB2312" w:hAnsi="CESI仿宋-GB2312" w:eastAsia="CESI仿宋-GB2312"/>
                <w:b/>
                <w:color w:val="auto"/>
                <w:sz w:val="24"/>
                <w:szCs w:val="24"/>
                <w:lang w:val="en-US" w:eastAsia="zh-CN"/>
              </w:rPr>
              <w:t>63</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7DEF05">
            <w:pPr>
              <w:spacing w:line="240" w:lineRule="auto"/>
              <w:jc w:val="center"/>
              <w:rPr>
                <w:rFonts w:hint="eastAsia" w:ascii="CESI仿宋-GB2312" w:hAnsi="CESI仿宋-GB2312" w:eastAsia="CESI仿宋-GB2312"/>
                <w:b/>
                <w:color w:val="auto"/>
                <w:sz w:val="24"/>
                <w:szCs w:val="24"/>
                <w:lang w:val="en-US" w:eastAsia="zh-CN"/>
              </w:rPr>
            </w:pPr>
            <w:r>
              <w:rPr>
                <w:rFonts w:hint="eastAsia" w:ascii="CESI仿宋-GB2312" w:hAnsi="CESI仿宋-GB2312" w:eastAsia="CESI仿宋-GB2312"/>
                <w:b/>
                <w:color w:val="auto"/>
                <w:sz w:val="24"/>
                <w:szCs w:val="24"/>
                <w:lang w:val="en-US" w:eastAsia="zh-CN"/>
              </w:rPr>
              <w:t>8690</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4F0328">
            <w:pPr>
              <w:spacing w:line="240" w:lineRule="auto"/>
              <w:jc w:val="center"/>
              <w:rPr>
                <w:rFonts w:hint="default" w:ascii="CESI仿宋-GB2312" w:hAnsi="CESI仿宋-GB2312" w:eastAsia="CESI仿宋-GB2312"/>
                <w:b/>
                <w:color w:val="auto"/>
                <w:sz w:val="24"/>
                <w:szCs w:val="24"/>
                <w:lang w:val="en-US" w:eastAsia="zh-CN"/>
              </w:rPr>
            </w:pPr>
            <w:r>
              <w:rPr>
                <w:rFonts w:hint="eastAsia" w:ascii="CESI仿宋-GB2312" w:hAnsi="CESI仿宋-GB2312" w:eastAsia="CESI仿宋-GB2312"/>
                <w:b/>
                <w:color w:val="auto"/>
                <w:sz w:val="24"/>
                <w:szCs w:val="24"/>
                <w:lang w:val="en-US" w:eastAsia="zh-CN"/>
              </w:rPr>
              <w:t>70</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FD6C7B">
            <w:pPr>
              <w:spacing w:line="240" w:lineRule="auto"/>
              <w:jc w:val="center"/>
              <w:rPr>
                <w:rFonts w:hint="default" w:ascii="CESI仿宋-GB2312" w:hAnsi="CESI仿宋-GB2312" w:eastAsia="CESI仿宋-GB2312"/>
                <w:b/>
                <w:color w:val="auto"/>
                <w:sz w:val="24"/>
                <w:szCs w:val="24"/>
                <w:lang w:val="en-US" w:eastAsia="zh-CN"/>
              </w:rPr>
            </w:pPr>
            <w:r>
              <w:rPr>
                <w:rFonts w:hint="eastAsia" w:ascii="CESI仿宋-GB2312" w:hAnsi="CESI仿宋-GB2312" w:eastAsia="CESI仿宋-GB2312"/>
                <w:b/>
                <w:color w:val="auto"/>
                <w:sz w:val="24"/>
                <w:szCs w:val="24"/>
                <w:lang w:val="en-US" w:eastAsia="zh-CN"/>
              </w:rPr>
              <w:t>30</w:t>
            </w:r>
          </w:p>
        </w:tc>
        <w:tc>
          <w:tcPr>
            <w:tcW w:w="13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0A4D70">
            <w:pPr>
              <w:spacing w:line="240" w:lineRule="auto"/>
              <w:jc w:val="center"/>
              <w:rPr>
                <w:rFonts w:hint="default" w:ascii="CESI仿宋-GB2312" w:hAnsi="CESI仿宋-GB2312" w:eastAsia="CESI仿宋-GB2312"/>
                <w:b/>
                <w:color w:val="auto"/>
                <w:sz w:val="24"/>
                <w:szCs w:val="24"/>
                <w:lang w:val="en-US" w:eastAsia="zh-CN"/>
              </w:rPr>
            </w:pPr>
            <w:r>
              <w:rPr>
                <w:rFonts w:hint="eastAsia" w:ascii="CESI仿宋-GB2312" w:hAnsi="CESI仿宋-GB2312" w:eastAsia="CESI仿宋-GB2312"/>
                <w:b/>
                <w:color w:val="auto"/>
                <w:sz w:val="24"/>
                <w:szCs w:val="24"/>
                <w:lang w:val="en-US" w:eastAsia="zh-CN"/>
              </w:rPr>
              <w:t>100</w:t>
            </w:r>
          </w:p>
        </w:tc>
      </w:tr>
    </w:tbl>
    <w:p w14:paraId="267F3C93">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方正小标宋简体" w:hAnsi="方正小标宋简体" w:eastAsia="方正小标宋简体" w:cs="方正小标宋简体"/>
          <w:spacing w:val="0"/>
          <w:kern w:val="2"/>
          <w:sz w:val="44"/>
          <w:szCs w:val="44"/>
          <w:highlight w:val="none"/>
          <w:lang w:val="en-US" w:eastAsia="zh-CN" w:bidi="ar-SA"/>
        </w:rPr>
      </w:pPr>
    </w:p>
    <w:p w14:paraId="7D5BB5AA">
      <w:pPr>
        <w:pStyle w:val="11"/>
        <w:spacing w:beforeLines="0" w:afterLines="0" w:line="240" w:lineRule="auto"/>
        <w:rPr>
          <w:rFonts w:hint="default" w:ascii="CESI黑体-GB2312" w:hAnsi="CESI黑体-GB2312" w:eastAsia="CESI黑体-GB2312"/>
          <w:sz w:val="32"/>
          <w:szCs w:val="24"/>
          <w:lang w:val="en-US" w:eastAsia="zh-CN"/>
        </w:rPr>
      </w:pPr>
      <w:r>
        <w:rPr>
          <w:rFonts w:hint="eastAsia" w:ascii="CESI黑体-GB2312" w:hAnsi="CESI黑体-GB2312" w:eastAsia="CESI黑体-GB2312"/>
          <w:sz w:val="32"/>
          <w:szCs w:val="24"/>
          <w:lang w:eastAsia="zh-CN"/>
        </w:rPr>
        <w:t>附件</w:t>
      </w:r>
      <w:r>
        <w:rPr>
          <w:rFonts w:hint="eastAsia" w:ascii="CESI黑体-GB2312" w:hAnsi="CESI黑体-GB2312" w:eastAsia="CESI黑体-GB2312"/>
          <w:sz w:val="32"/>
          <w:szCs w:val="24"/>
          <w:lang w:val="en-US" w:eastAsia="zh-CN"/>
        </w:rPr>
        <w:t>2</w:t>
      </w:r>
    </w:p>
    <w:p w14:paraId="61145BB1">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lang w:eastAsia="zh-CN"/>
        </w:rPr>
      </w:pPr>
      <w:r>
        <w:rPr>
          <w:rFonts w:hint="eastAsia" w:ascii="方正小标宋简体" w:hAnsi="方正小标宋简体" w:eastAsia="方正小标宋简体" w:cs="方正小标宋简体"/>
          <w:spacing w:val="0"/>
          <w:kern w:val="2"/>
          <w:sz w:val="44"/>
          <w:szCs w:val="44"/>
          <w:highlight w:val="none"/>
          <w:lang w:val="en-US" w:eastAsia="zh-CN" w:bidi="ar-SA"/>
        </w:rPr>
        <w:t>食用农产品快检重点品种和重点项目清单</w:t>
      </w:r>
    </w:p>
    <w:tbl>
      <w:tblPr>
        <w:tblStyle w:val="12"/>
        <w:tblW w:w="9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2"/>
        <w:gridCol w:w="585"/>
        <w:gridCol w:w="941"/>
        <w:gridCol w:w="1491"/>
        <w:gridCol w:w="1255"/>
        <w:gridCol w:w="2763"/>
        <w:gridCol w:w="1305"/>
        <w:gridCol w:w="322"/>
        <w:gridCol w:w="812"/>
      </w:tblGrid>
      <w:tr w14:paraId="59E4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8" w:hRule="atLeast"/>
          <w:jc w:val="center"/>
        </w:trPr>
        <w:tc>
          <w:tcPr>
            <w:tcW w:w="502" w:type="dxa"/>
            <w:noWrap w:val="0"/>
            <w:vAlign w:val="center"/>
          </w:tcPr>
          <w:p w14:paraId="45641B3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黑体" w:hAnsi="黑体" w:eastAsia="黑体" w:cs="黑体"/>
                <w:snapToGrid w:val="0"/>
                <w:color w:val="000000"/>
                <w:sz w:val="21"/>
                <w:szCs w:val="21"/>
              </w:rPr>
            </w:pPr>
            <w:r>
              <w:rPr>
                <w:rFonts w:ascii="黑体" w:hAnsi="黑体" w:eastAsia="黑体" w:cs="黑体"/>
                <w:snapToGrid w:val="0"/>
                <w:color w:val="000000"/>
                <w:spacing w:val="3"/>
                <w:sz w:val="21"/>
                <w:szCs w:val="21"/>
              </w:rPr>
              <w:t>序号</w:t>
            </w:r>
          </w:p>
        </w:tc>
        <w:tc>
          <w:tcPr>
            <w:tcW w:w="585" w:type="dxa"/>
            <w:noWrap w:val="0"/>
            <w:vAlign w:val="center"/>
          </w:tcPr>
          <w:p w14:paraId="5C6CD88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黑体" w:hAnsi="黑体" w:eastAsia="黑体" w:cs="黑体"/>
                <w:snapToGrid w:val="0"/>
                <w:color w:val="000000"/>
                <w:spacing w:val="-2"/>
                <w:sz w:val="21"/>
                <w:szCs w:val="21"/>
              </w:rPr>
            </w:pPr>
            <w:r>
              <w:rPr>
                <w:rFonts w:ascii="黑体" w:hAnsi="黑体" w:eastAsia="黑体" w:cs="黑体"/>
                <w:snapToGrid w:val="0"/>
                <w:color w:val="000000"/>
                <w:spacing w:val="-2"/>
                <w:sz w:val="21"/>
                <w:szCs w:val="21"/>
              </w:rPr>
              <w:t>大类</w:t>
            </w:r>
          </w:p>
        </w:tc>
        <w:tc>
          <w:tcPr>
            <w:tcW w:w="941" w:type="dxa"/>
            <w:noWrap w:val="0"/>
            <w:vAlign w:val="center"/>
          </w:tcPr>
          <w:p w14:paraId="138ED3C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napToGrid w:val="0"/>
                <w:color w:val="000000"/>
                <w:spacing w:val="-2"/>
                <w:sz w:val="21"/>
                <w:szCs w:val="21"/>
              </w:rPr>
            </w:pPr>
            <w:r>
              <w:rPr>
                <w:rFonts w:ascii="黑体" w:hAnsi="黑体" w:eastAsia="黑体" w:cs="黑体"/>
                <w:snapToGrid w:val="0"/>
                <w:color w:val="000000"/>
                <w:spacing w:val="-2"/>
                <w:sz w:val="21"/>
                <w:szCs w:val="21"/>
              </w:rPr>
              <w:t>重点食品</w:t>
            </w:r>
          </w:p>
          <w:p w14:paraId="0644938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黑体" w:hAnsi="黑体" w:eastAsia="黑体" w:cs="黑体"/>
                <w:snapToGrid w:val="0"/>
                <w:color w:val="000000"/>
                <w:spacing w:val="-2"/>
                <w:sz w:val="21"/>
                <w:szCs w:val="21"/>
              </w:rPr>
            </w:pPr>
            <w:r>
              <w:rPr>
                <w:rFonts w:ascii="黑体" w:hAnsi="黑体" w:eastAsia="黑体" w:cs="黑体"/>
                <w:snapToGrid w:val="0"/>
                <w:color w:val="000000"/>
                <w:spacing w:val="-2"/>
                <w:sz w:val="21"/>
                <w:szCs w:val="21"/>
              </w:rPr>
              <w:t>品种名称</w:t>
            </w:r>
          </w:p>
        </w:tc>
        <w:tc>
          <w:tcPr>
            <w:tcW w:w="1491" w:type="dxa"/>
            <w:noWrap w:val="0"/>
            <w:vAlign w:val="center"/>
          </w:tcPr>
          <w:p w14:paraId="5FC57AF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黑体" w:hAnsi="黑体" w:eastAsia="黑体" w:cs="黑体"/>
                <w:snapToGrid w:val="0"/>
                <w:color w:val="000000"/>
                <w:spacing w:val="-2"/>
                <w:sz w:val="21"/>
                <w:szCs w:val="21"/>
              </w:rPr>
            </w:pPr>
            <w:r>
              <w:rPr>
                <w:rFonts w:ascii="黑体" w:hAnsi="黑体" w:eastAsia="黑体" w:cs="黑体"/>
                <w:snapToGrid w:val="0"/>
                <w:color w:val="000000"/>
                <w:spacing w:val="-2"/>
                <w:sz w:val="21"/>
                <w:szCs w:val="21"/>
              </w:rPr>
              <w:t>检测项目</w:t>
            </w:r>
          </w:p>
        </w:tc>
        <w:tc>
          <w:tcPr>
            <w:tcW w:w="1255" w:type="dxa"/>
            <w:noWrap w:val="0"/>
            <w:vAlign w:val="center"/>
          </w:tcPr>
          <w:p w14:paraId="64B9F0F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napToGrid w:val="0"/>
                <w:color w:val="000000"/>
                <w:spacing w:val="-2"/>
                <w:sz w:val="21"/>
                <w:szCs w:val="21"/>
              </w:rPr>
            </w:pPr>
            <w:r>
              <w:rPr>
                <w:rFonts w:ascii="黑体" w:hAnsi="黑体" w:eastAsia="黑体" w:cs="黑体"/>
                <w:snapToGrid w:val="0"/>
                <w:color w:val="000000"/>
                <w:spacing w:val="-2"/>
                <w:sz w:val="21"/>
                <w:szCs w:val="21"/>
              </w:rPr>
              <w:t>检测方法</w:t>
            </w:r>
          </w:p>
          <w:p w14:paraId="11FACA2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黑体" w:hAnsi="黑体" w:eastAsia="黑体" w:cs="黑体"/>
                <w:snapToGrid w:val="0"/>
                <w:color w:val="000000"/>
                <w:spacing w:val="-2"/>
                <w:sz w:val="21"/>
                <w:szCs w:val="21"/>
              </w:rPr>
            </w:pPr>
            <w:r>
              <w:rPr>
                <w:rFonts w:ascii="黑体" w:hAnsi="黑体" w:eastAsia="黑体" w:cs="黑体"/>
                <w:snapToGrid w:val="0"/>
                <w:color w:val="000000"/>
                <w:spacing w:val="-2"/>
                <w:sz w:val="21"/>
                <w:szCs w:val="21"/>
              </w:rPr>
              <w:t>标准</w:t>
            </w:r>
          </w:p>
        </w:tc>
        <w:tc>
          <w:tcPr>
            <w:tcW w:w="2763" w:type="dxa"/>
            <w:noWrap w:val="0"/>
            <w:vAlign w:val="center"/>
          </w:tcPr>
          <w:p w14:paraId="650A290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黑体" w:hAnsi="黑体" w:eastAsia="黑体" w:cs="黑体"/>
                <w:snapToGrid w:val="0"/>
                <w:color w:val="000000"/>
                <w:spacing w:val="-2"/>
                <w:sz w:val="21"/>
                <w:szCs w:val="21"/>
              </w:rPr>
            </w:pPr>
            <w:r>
              <w:rPr>
                <w:rFonts w:ascii="黑体" w:hAnsi="黑体" w:eastAsia="黑体" w:cs="黑体"/>
                <w:snapToGrid w:val="0"/>
                <w:color w:val="000000"/>
                <w:spacing w:val="-2"/>
                <w:sz w:val="21"/>
                <w:szCs w:val="21"/>
              </w:rPr>
              <w:t>方法名称</w:t>
            </w:r>
          </w:p>
        </w:tc>
        <w:tc>
          <w:tcPr>
            <w:tcW w:w="1305" w:type="dxa"/>
            <w:noWrap w:val="0"/>
            <w:vAlign w:val="center"/>
          </w:tcPr>
          <w:p w14:paraId="7AB75497">
            <w:pPr>
              <w:keepNext w:val="0"/>
              <w:keepLines w:val="0"/>
              <w:pageBreakBefore w:val="0"/>
              <w:widowControl w:val="0"/>
              <w:tabs>
                <w:tab w:val="left" w:pos="224"/>
              </w:tabs>
              <w:kinsoku/>
              <w:wordWrap/>
              <w:overflowPunct/>
              <w:topLinePunct w:val="0"/>
              <w:autoSpaceDE/>
              <w:autoSpaceDN/>
              <w:bidi w:val="0"/>
              <w:adjustRightInd/>
              <w:snapToGrid/>
              <w:spacing w:line="240" w:lineRule="auto"/>
              <w:ind w:left="0" w:right="0" w:firstLine="0"/>
              <w:jc w:val="center"/>
              <w:textAlignment w:val="auto"/>
              <w:rPr>
                <w:rFonts w:hint="eastAsia" w:ascii="黑体" w:hAnsi="黑体" w:eastAsia="黑体" w:cs="黑体"/>
                <w:snapToGrid w:val="0"/>
                <w:color w:val="000000"/>
                <w:spacing w:val="-2"/>
                <w:sz w:val="21"/>
                <w:szCs w:val="21"/>
                <w:lang w:val="en-US" w:eastAsia="zh-CN"/>
              </w:rPr>
            </w:pPr>
            <w:r>
              <w:rPr>
                <w:rFonts w:hint="eastAsia" w:ascii="黑体" w:hAnsi="黑体" w:eastAsia="黑体" w:cs="黑体"/>
                <w:snapToGrid w:val="0"/>
                <w:color w:val="000000"/>
                <w:spacing w:val="-2"/>
                <w:sz w:val="21"/>
                <w:szCs w:val="21"/>
                <w:lang w:val="en-US" w:eastAsia="zh-CN"/>
              </w:rPr>
              <w:t>检测限</w:t>
            </w:r>
          </w:p>
          <w:p w14:paraId="54D30DA3">
            <w:pPr>
              <w:keepNext w:val="0"/>
              <w:keepLines w:val="0"/>
              <w:pageBreakBefore w:val="0"/>
              <w:widowControl w:val="0"/>
              <w:tabs>
                <w:tab w:val="left" w:pos="224"/>
              </w:tabs>
              <w:kinsoku/>
              <w:wordWrap/>
              <w:overflowPunct/>
              <w:topLinePunct w:val="0"/>
              <w:autoSpaceDE/>
              <w:autoSpaceDN/>
              <w:bidi w:val="0"/>
              <w:adjustRightInd/>
              <w:snapToGrid/>
              <w:spacing w:line="240" w:lineRule="auto"/>
              <w:ind w:left="0" w:right="0" w:firstLine="0"/>
              <w:jc w:val="center"/>
              <w:textAlignment w:val="auto"/>
              <w:rPr>
                <w:rFonts w:hint="default" w:ascii="黑体" w:hAnsi="黑体" w:eastAsia="黑体" w:cs="黑体"/>
                <w:snapToGrid w:val="0"/>
                <w:color w:val="000000"/>
                <w:spacing w:val="-2"/>
                <w:sz w:val="21"/>
                <w:szCs w:val="21"/>
                <w:lang w:val="en-US" w:eastAsia="zh-CN"/>
              </w:rPr>
            </w:pPr>
            <w:r>
              <w:rPr>
                <w:rFonts w:hint="eastAsia" w:ascii="黑体" w:hAnsi="黑体" w:eastAsia="黑体" w:cs="黑体"/>
                <w:snapToGrid w:val="0"/>
                <w:color w:val="000000"/>
                <w:spacing w:val="-2"/>
                <w:sz w:val="21"/>
                <w:szCs w:val="21"/>
                <w:lang w:val="en-US" w:eastAsia="zh-CN"/>
              </w:rPr>
              <w:t>要求</w:t>
            </w:r>
          </w:p>
        </w:tc>
        <w:tc>
          <w:tcPr>
            <w:tcW w:w="322" w:type="dxa"/>
            <w:noWrap w:val="0"/>
            <w:vAlign w:val="center"/>
          </w:tcPr>
          <w:p w14:paraId="517C615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napToGrid w:val="0"/>
                <w:color w:val="000000"/>
                <w:spacing w:val="-2"/>
                <w:sz w:val="21"/>
                <w:szCs w:val="21"/>
              </w:rPr>
            </w:pPr>
            <w:r>
              <w:rPr>
                <w:rFonts w:ascii="黑体" w:hAnsi="黑体" w:eastAsia="黑体" w:cs="黑体"/>
                <w:snapToGrid w:val="0"/>
                <w:color w:val="000000"/>
                <w:spacing w:val="-2"/>
                <w:sz w:val="21"/>
                <w:szCs w:val="21"/>
              </w:rPr>
              <w:t>备</w:t>
            </w:r>
          </w:p>
          <w:p w14:paraId="0B9448E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黑体" w:hAnsi="黑体" w:eastAsia="黑体" w:cs="黑体"/>
                <w:snapToGrid w:val="0"/>
                <w:color w:val="000000"/>
                <w:spacing w:val="-2"/>
                <w:sz w:val="21"/>
                <w:szCs w:val="21"/>
              </w:rPr>
            </w:pPr>
            <w:r>
              <w:rPr>
                <w:rFonts w:ascii="黑体" w:hAnsi="黑体" w:eastAsia="黑体" w:cs="黑体"/>
                <w:snapToGrid w:val="0"/>
                <w:color w:val="000000"/>
                <w:spacing w:val="-2"/>
                <w:sz w:val="21"/>
                <w:szCs w:val="21"/>
              </w:rPr>
              <w:t>注</w:t>
            </w:r>
          </w:p>
        </w:tc>
        <w:tc>
          <w:tcPr>
            <w:tcW w:w="812" w:type="dxa"/>
            <w:noWrap w:val="0"/>
            <w:vAlign w:val="center"/>
          </w:tcPr>
          <w:p w14:paraId="5553FD1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napToGrid w:val="0"/>
                <w:color w:val="000000"/>
                <w:spacing w:val="-2"/>
                <w:sz w:val="21"/>
                <w:szCs w:val="21"/>
                <w:lang w:eastAsia="zh-CN"/>
              </w:rPr>
            </w:pPr>
            <w:r>
              <w:rPr>
                <w:rFonts w:ascii="黑体" w:hAnsi="黑体" w:eastAsia="黑体" w:cs="黑体"/>
                <w:snapToGrid w:val="0"/>
                <w:color w:val="000000"/>
                <w:spacing w:val="-2"/>
                <w:sz w:val="21"/>
                <w:szCs w:val="21"/>
                <w:lang w:eastAsia="zh-CN"/>
              </w:rPr>
              <w:t>推荐等级</w:t>
            </w:r>
          </w:p>
          <w:p w14:paraId="09F7EB4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黑体" w:hAnsi="黑体" w:eastAsia="黑体" w:cs="黑体"/>
                <w:snapToGrid w:val="0"/>
                <w:color w:val="000000"/>
                <w:spacing w:val="-2"/>
                <w:sz w:val="21"/>
                <w:szCs w:val="21"/>
                <w:lang w:eastAsia="zh-CN"/>
              </w:rPr>
            </w:pPr>
            <w:r>
              <w:rPr>
                <w:rFonts w:ascii="黑体" w:hAnsi="黑体" w:eastAsia="黑体" w:cs="黑体"/>
                <w:snapToGrid w:val="0"/>
                <w:color w:val="000000"/>
                <w:spacing w:val="-2"/>
                <w:sz w:val="21"/>
                <w:szCs w:val="21"/>
                <w:lang w:eastAsia="zh-CN"/>
              </w:rPr>
              <w:t>（A必检B选检）</w:t>
            </w:r>
          </w:p>
        </w:tc>
      </w:tr>
      <w:tr w14:paraId="4806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restart"/>
            <w:noWrap w:val="0"/>
            <w:vAlign w:val="center"/>
          </w:tcPr>
          <w:p w14:paraId="26FC053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1</w:t>
            </w:r>
          </w:p>
        </w:tc>
        <w:tc>
          <w:tcPr>
            <w:tcW w:w="585" w:type="dxa"/>
            <w:vMerge w:val="restart"/>
            <w:noWrap w:val="0"/>
            <w:vAlign w:val="center"/>
          </w:tcPr>
          <w:p w14:paraId="79362B4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蔬菜</w:t>
            </w:r>
          </w:p>
        </w:tc>
        <w:tc>
          <w:tcPr>
            <w:tcW w:w="941" w:type="dxa"/>
            <w:vMerge w:val="restart"/>
            <w:noWrap w:val="0"/>
            <w:vAlign w:val="center"/>
          </w:tcPr>
          <w:p w14:paraId="7C04BD3E">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9"/>
                <w:sz w:val="18"/>
                <w:szCs w:val="18"/>
              </w:rPr>
              <w:t>豇豆</w:t>
            </w:r>
          </w:p>
        </w:tc>
        <w:tc>
          <w:tcPr>
            <w:tcW w:w="1491" w:type="dxa"/>
            <w:noWrap w:val="0"/>
            <w:vAlign w:val="center"/>
          </w:tcPr>
          <w:p w14:paraId="1EE62627">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132F371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3CB00170">
            <w:pPr>
              <w:keepNext w:val="0"/>
              <w:keepLines w:val="0"/>
              <w:pageBreakBefore w:val="0"/>
              <w:widowControl w:val="0"/>
              <w:tabs>
                <w:tab w:val="left" w:pos="2655"/>
              </w:tabs>
              <w:kinsoku/>
              <w:wordWrap/>
              <w:overflowPunct/>
              <w:topLinePunct w:val="0"/>
              <w:autoSpaceDE/>
              <w:autoSpaceDN/>
              <w:bidi w:val="0"/>
              <w:adjustRightInd/>
              <w:snapToGrid/>
              <w:spacing w:line="240" w:lineRule="exact"/>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3271C4F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7017CC2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44E829F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40244A2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A</w:t>
            </w:r>
          </w:p>
        </w:tc>
      </w:tr>
      <w:tr w14:paraId="7E77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14A9250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5705019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691E15A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6883D595">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7"/>
                <w:sz w:val="18"/>
                <w:szCs w:val="18"/>
              </w:rPr>
              <w:t>灭蝇胺</w:t>
            </w:r>
          </w:p>
        </w:tc>
        <w:tc>
          <w:tcPr>
            <w:tcW w:w="1255" w:type="dxa"/>
            <w:noWrap w:val="0"/>
            <w:vAlign w:val="center"/>
          </w:tcPr>
          <w:p w14:paraId="6A0DF6A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KJ202210</w:t>
            </w:r>
          </w:p>
        </w:tc>
        <w:tc>
          <w:tcPr>
            <w:tcW w:w="2763" w:type="dxa"/>
            <w:noWrap w:val="0"/>
            <w:vAlign w:val="center"/>
          </w:tcPr>
          <w:p w14:paraId="199CD411">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sz w:val="18"/>
                <w:szCs w:val="18"/>
                <w:lang w:eastAsia="zh-CN"/>
              </w:rPr>
              <w:t>蔬菜水果中灭蝇胺的快</w:t>
            </w:r>
            <w:r>
              <w:rPr>
                <w:rFonts w:hint="eastAsia" w:ascii="CESI仿宋-GB2312" w:hAnsi="CESI仿宋-GB2312" w:eastAsia="CESI仿宋-GB2312" w:cs="CESI仿宋-GB2312"/>
                <w:snapToGrid w:val="0"/>
                <w:color w:val="000000"/>
                <w:spacing w:val="-1"/>
                <w:sz w:val="18"/>
                <w:szCs w:val="18"/>
                <w:lang w:eastAsia="zh-CN"/>
              </w:rPr>
              <w:t>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胶体金免疫层</w:t>
            </w:r>
            <w:r>
              <w:rPr>
                <w:rFonts w:hint="eastAsia" w:ascii="CESI仿宋-GB2312" w:hAnsi="CESI仿宋-GB2312" w:eastAsia="CESI仿宋-GB2312" w:cs="CESI仿宋-GB2312"/>
                <w:snapToGrid w:val="0"/>
                <w:color w:val="000000"/>
                <w:spacing w:val="-8"/>
                <w:sz w:val="18"/>
                <w:szCs w:val="18"/>
                <w:lang w:eastAsia="zh-CN"/>
              </w:rPr>
              <w:t>析法</w:t>
            </w:r>
          </w:p>
        </w:tc>
        <w:tc>
          <w:tcPr>
            <w:tcW w:w="1305" w:type="dxa"/>
            <w:noWrap w:val="0"/>
            <w:vAlign w:val="center"/>
          </w:tcPr>
          <w:p w14:paraId="695B418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126810D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002F7DA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176EF6F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57E0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73F14B3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0E2C8DC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414E100C">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8"/>
                <w:sz w:val="18"/>
                <w:szCs w:val="18"/>
              </w:rPr>
              <w:t>辣椒</w:t>
            </w:r>
          </w:p>
        </w:tc>
        <w:tc>
          <w:tcPr>
            <w:tcW w:w="1491" w:type="dxa"/>
            <w:noWrap w:val="0"/>
            <w:vAlign w:val="center"/>
          </w:tcPr>
          <w:p w14:paraId="0310DAC8">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4E4B925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28F525F7">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1C1B87A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5D479A7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42A71D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0D891EE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A</w:t>
            </w:r>
          </w:p>
        </w:tc>
      </w:tr>
      <w:tr w14:paraId="2753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05D8564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5C8D758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3159D738">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8"/>
                <w:sz w:val="18"/>
                <w:szCs w:val="18"/>
              </w:rPr>
            </w:pPr>
          </w:p>
        </w:tc>
        <w:tc>
          <w:tcPr>
            <w:tcW w:w="1491" w:type="dxa"/>
            <w:noWrap w:val="0"/>
            <w:vAlign w:val="center"/>
          </w:tcPr>
          <w:p w14:paraId="415CB25C">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噻虫胺</w:t>
            </w:r>
          </w:p>
        </w:tc>
        <w:tc>
          <w:tcPr>
            <w:tcW w:w="1255" w:type="dxa"/>
            <w:noWrap w:val="0"/>
            <w:vAlign w:val="center"/>
          </w:tcPr>
          <w:p w14:paraId="294DD64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300B6D2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06E76B2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符合GB2763-2021</w:t>
            </w:r>
          </w:p>
          <w:p w14:paraId="5C52448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 xml:space="preserve"> 限量要求</w:t>
            </w:r>
          </w:p>
        </w:tc>
        <w:tc>
          <w:tcPr>
            <w:tcW w:w="322" w:type="dxa"/>
            <w:noWrap w:val="0"/>
            <w:vAlign w:val="center"/>
          </w:tcPr>
          <w:p w14:paraId="729A6E2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320A3F1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4AC4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7330A83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3A421D9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259869F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2"/>
                <w:sz w:val="18"/>
                <w:szCs w:val="18"/>
              </w:rPr>
              <w:t>韭菜</w:t>
            </w:r>
          </w:p>
        </w:tc>
        <w:tc>
          <w:tcPr>
            <w:tcW w:w="1491" w:type="dxa"/>
            <w:noWrap w:val="0"/>
            <w:vAlign w:val="center"/>
          </w:tcPr>
          <w:p w14:paraId="64F59539">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5"/>
                <w:sz w:val="18"/>
                <w:szCs w:val="18"/>
              </w:rPr>
              <w:t>腐霉利</w:t>
            </w:r>
          </w:p>
        </w:tc>
        <w:tc>
          <w:tcPr>
            <w:tcW w:w="1255" w:type="dxa"/>
            <w:noWrap w:val="0"/>
            <w:vAlign w:val="center"/>
          </w:tcPr>
          <w:p w14:paraId="4DB32A8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KJ202209</w:t>
            </w:r>
          </w:p>
        </w:tc>
        <w:tc>
          <w:tcPr>
            <w:tcW w:w="2763" w:type="dxa"/>
            <w:noWrap w:val="0"/>
            <w:vAlign w:val="center"/>
          </w:tcPr>
          <w:p w14:paraId="77B58F1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sz w:val="18"/>
                <w:szCs w:val="18"/>
                <w:lang w:eastAsia="zh-CN"/>
              </w:rPr>
              <w:t>蔬菜水果中腐霉利的快</w:t>
            </w:r>
            <w:r>
              <w:rPr>
                <w:rFonts w:hint="eastAsia" w:ascii="CESI仿宋-GB2312" w:hAnsi="CESI仿宋-GB2312" w:eastAsia="CESI仿宋-GB2312" w:cs="CESI仿宋-GB2312"/>
                <w:snapToGrid w:val="0"/>
                <w:color w:val="000000"/>
                <w:spacing w:val="-1"/>
                <w:sz w:val="18"/>
                <w:szCs w:val="18"/>
                <w:lang w:eastAsia="zh-CN"/>
              </w:rPr>
              <w:t>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胶体金免疫层</w:t>
            </w:r>
            <w:r>
              <w:rPr>
                <w:rFonts w:hint="eastAsia" w:ascii="CESI仿宋-GB2312" w:hAnsi="CESI仿宋-GB2312" w:eastAsia="CESI仿宋-GB2312" w:cs="CESI仿宋-GB2312"/>
                <w:snapToGrid w:val="0"/>
                <w:color w:val="000000"/>
                <w:spacing w:val="-8"/>
                <w:sz w:val="18"/>
                <w:szCs w:val="18"/>
                <w:lang w:eastAsia="zh-CN"/>
              </w:rPr>
              <w:t>析法</w:t>
            </w:r>
          </w:p>
        </w:tc>
        <w:tc>
          <w:tcPr>
            <w:tcW w:w="1305" w:type="dxa"/>
            <w:noWrap w:val="0"/>
            <w:vAlign w:val="center"/>
          </w:tcPr>
          <w:p w14:paraId="34F700D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符合GB2763.1-2022 限量要求</w:t>
            </w:r>
          </w:p>
        </w:tc>
        <w:tc>
          <w:tcPr>
            <w:tcW w:w="322" w:type="dxa"/>
            <w:noWrap w:val="0"/>
            <w:vAlign w:val="center"/>
          </w:tcPr>
          <w:p w14:paraId="7755C6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570D7AC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02DF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2701AC5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4AF0C27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7E48C5E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7589426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5CA0E2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550A746B">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57DD570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符合GB2763-2021</w:t>
            </w:r>
          </w:p>
          <w:p w14:paraId="0ABDF24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 xml:space="preserve"> 限量要求</w:t>
            </w:r>
          </w:p>
        </w:tc>
        <w:tc>
          <w:tcPr>
            <w:tcW w:w="322" w:type="dxa"/>
            <w:noWrap w:val="0"/>
            <w:vAlign w:val="center"/>
          </w:tcPr>
          <w:p w14:paraId="2B7A20B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38FC20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A</w:t>
            </w:r>
          </w:p>
        </w:tc>
      </w:tr>
      <w:tr w14:paraId="05B5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49DBCBF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62987B0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4F4BEC4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生姜</w:t>
            </w:r>
          </w:p>
        </w:tc>
        <w:tc>
          <w:tcPr>
            <w:tcW w:w="1491" w:type="dxa"/>
            <w:noWrap w:val="0"/>
            <w:vAlign w:val="center"/>
          </w:tcPr>
          <w:p w14:paraId="38844EB9">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7177B9B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7BFAF580">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3DC3019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符合GB2763-2021</w:t>
            </w:r>
          </w:p>
          <w:p w14:paraId="5492756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 xml:space="preserve"> 限量要求</w:t>
            </w:r>
          </w:p>
        </w:tc>
        <w:tc>
          <w:tcPr>
            <w:tcW w:w="322" w:type="dxa"/>
            <w:noWrap w:val="0"/>
            <w:vAlign w:val="center"/>
          </w:tcPr>
          <w:p w14:paraId="6122790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F1A151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5E0B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502" w:type="dxa"/>
            <w:vMerge w:val="continue"/>
            <w:noWrap w:val="0"/>
            <w:vAlign w:val="center"/>
          </w:tcPr>
          <w:p w14:paraId="638C8F9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3FCF5EB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74F2886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2F771493">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噻虫胺</w:t>
            </w:r>
          </w:p>
        </w:tc>
        <w:tc>
          <w:tcPr>
            <w:tcW w:w="1255" w:type="dxa"/>
            <w:noWrap w:val="0"/>
            <w:vAlign w:val="center"/>
          </w:tcPr>
          <w:p w14:paraId="1805422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0953E44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174F734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0293AE1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668CDF6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034140C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1DE5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100773E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1D26205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0DBF6D7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7FEB841A">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毒死蜱</w:t>
            </w:r>
          </w:p>
        </w:tc>
        <w:tc>
          <w:tcPr>
            <w:tcW w:w="1255" w:type="dxa"/>
            <w:noWrap w:val="0"/>
            <w:vAlign w:val="center"/>
          </w:tcPr>
          <w:p w14:paraId="7BD1B51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05D6785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5446D81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3A4DB49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58F3D1A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2C136D5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B</w:t>
            </w:r>
          </w:p>
        </w:tc>
      </w:tr>
      <w:tr w14:paraId="4EBA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6A069E9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7466AD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1DA9010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芹菜</w:t>
            </w:r>
          </w:p>
        </w:tc>
        <w:tc>
          <w:tcPr>
            <w:tcW w:w="1491" w:type="dxa"/>
            <w:noWrap w:val="0"/>
            <w:vAlign w:val="center"/>
          </w:tcPr>
          <w:p w14:paraId="259B783C">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11C28D0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5DEDFA5E">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49997CC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符合GB2763-2021</w:t>
            </w:r>
          </w:p>
          <w:p w14:paraId="44A3A2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 xml:space="preserve"> 限量要求</w:t>
            </w:r>
          </w:p>
        </w:tc>
        <w:tc>
          <w:tcPr>
            <w:tcW w:w="322" w:type="dxa"/>
            <w:noWrap w:val="0"/>
            <w:vAlign w:val="center"/>
          </w:tcPr>
          <w:p w14:paraId="732C1E1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5ACCD82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038D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5A6333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60ED406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62EBDD9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170CFFBD">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毒死蜱</w:t>
            </w:r>
          </w:p>
        </w:tc>
        <w:tc>
          <w:tcPr>
            <w:tcW w:w="1255" w:type="dxa"/>
            <w:noWrap w:val="0"/>
            <w:vAlign w:val="center"/>
          </w:tcPr>
          <w:p w14:paraId="1B0E2D9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4B2A449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3B389EC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7B3176E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72CD3A5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2650871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09EA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4E3422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3780E74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34D2E03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油麦菜</w:t>
            </w:r>
          </w:p>
        </w:tc>
        <w:tc>
          <w:tcPr>
            <w:tcW w:w="1491" w:type="dxa"/>
            <w:noWrap w:val="0"/>
            <w:vAlign w:val="center"/>
          </w:tcPr>
          <w:p w14:paraId="40A0997D">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70A777F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23E3C07F">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5BCA427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796EF26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0AB2B2E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0915A43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339B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35DF301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36DDC3A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14DD767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4382DDEB">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阿维菌素</w:t>
            </w:r>
          </w:p>
        </w:tc>
        <w:tc>
          <w:tcPr>
            <w:tcW w:w="1255" w:type="dxa"/>
            <w:noWrap w:val="0"/>
            <w:vAlign w:val="center"/>
          </w:tcPr>
          <w:p w14:paraId="44CBA27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7B4683F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4657CDC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2172141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0A5B6CF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15116F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3181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213BB7F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008D8FC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79F6FD0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菠菜</w:t>
            </w:r>
          </w:p>
        </w:tc>
        <w:tc>
          <w:tcPr>
            <w:tcW w:w="1491" w:type="dxa"/>
            <w:noWrap w:val="0"/>
            <w:vAlign w:val="center"/>
          </w:tcPr>
          <w:p w14:paraId="3B4EE2B5">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3D3420B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3EE37989">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6CE3D57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5255BE5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018E8D2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4A21634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6114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0150C70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71641FD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5BDC4C8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p>
        </w:tc>
        <w:tc>
          <w:tcPr>
            <w:tcW w:w="1491" w:type="dxa"/>
            <w:noWrap w:val="0"/>
            <w:vAlign w:val="center"/>
          </w:tcPr>
          <w:p w14:paraId="1AFAA7C4">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val="en-US" w:eastAsia="zh-CN"/>
              </w:rPr>
              <w:t>毒死蜱</w:t>
            </w:r>
          </w:p>
        </w:tc>
        <w:tc>
          <w:tcPr>
            <w:tcW w:w="1255" w:type="dxa"/>
            <w:noWrap w:val="0"/>
            <w:vAlign w:val="center"/>
          </w:tcPr>
          <w:p w14:paraId="1539D30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1AAA603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0A41C8A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2172C43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608E671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2C7F874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B</w:t>
            </w:r>
          </w:p>
        </w:tc>
      </w:tr>
      <w:tr w14:paraId="128D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6C62BED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601F9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29C2B3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白菜</w:t>
            </w:r>
          </w:p>
        </w:tc>
        <w:tc>
          <w:tcPr>
            <w:tcW w:w="1491" w:type="dxa"/>
            <w:noWrap w:val="0"/>
            <w:vAlign w:val="center"/>
          </w:tcPr>
          <w:p w14:paraId="2FFE9B62">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5A447C6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72D359CA">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6CF1A77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4F19DEA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23AD5E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782673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07F4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412C6D4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0CB0EDC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5EEF71F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黄瓜</w:t>
            </w:r>
          </w:p>
        </w:tc>
        <w:tc>
          <w:tcPr>
            <w:tcW w:w="1491" w:type="dxa"/>
            <w:noWrap w:val="0"/>
            <w:vAlign w:val="center"/>
          </w:tcPr>
          <w:p w14:paraId="69C479E1">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22DD3C1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7C564846">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542DED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194B541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07B6674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7B44E4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2BDA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0132B5A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0797CD2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6A502B5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西葫芦</w:t>
            </w:r>
          </w:p>
        </w:tc>
        <w:tc>
          <w:tcPr>
            <w:tcW w:w="1491" w:type="dxa"/>
            <w:noWrap w:val="0"/>
            <w:vAlign w:val="center"/>
          </w:tcPr>
          <w:p w14:paraId="29D5080E">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6E1785A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2DD3127B">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123D6ED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536035D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1DC359D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33392D9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17FB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21CB4DD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361F724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4183E75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西红柿</w:t>
            </w:r>
          </w:p>
        </w:tc>
        <w:tc>
          <w:tcPr>
            <w:tcW w:w="1491" w:type="dxa"/>
            <w:noWrap w:val="0"/>
            <w:vAlign w:val="center"/>
          </w:tcPr>
          <w:p w14:paraId="03F7336E">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14C6A5F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rPr>
            </w:pPr>
            <w:r>
              <w:rPr>
                <w:rFonts w:hint="eastAsia" w:ascii="CESI仿宋-GB2312" w:hAnsi="CESI仿宋-GB2312" w:eastAsia="CESI仿宋-GB2312" w:cs="CESI仿宋-GB2312"/>
                <w:snapToGrid w:val="0"/>
                <w:color w:val="000000"/>
                <w:spacing w:val="-1"/>
                <w:sz w:val="18"/>
                <w:szCs w:val="18"/>
              </w:rPr>
              <w:t>KJ201710</w:t>
            </w:r>
          </w:p>
        </w:tc>
        <w:tc>
          <w:tcPr>
            <w:tcW w:w="2763" w:type="dxa"/>
            <w:noWrap w:val="0"/>
            <w:vAlign w:val="center"/>
          </w:tcPr>
          <w:p w14:paraId="6C160586">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2"/>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769589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43CE3ED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7A25BD3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54E2712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66E7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502" w:type="dxa"/>
            <w:vMerge w:val="continue"/>
            <w:noWrap w:val="0"/>
            <w:vAlign w:val="center"/>
          </w:tcPr>
          <w:p w14:paraId="11A34FA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68A79B0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28806F9D">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4"/>
                <w:sz w:val="18"/>
                <w:szCs w:val="18"/>
              </w:rPr>
              <w:t>豆芽</w:t>
            </w:r>
          </w:p>
        </w:tc>
        <w:tc>
          <w:tcPr>
            <w:tcW w:w="1491" w:type="dxa"/>
            <w:noWrap w:val="0"/>
            <w:vAlign w:val="center"/>
          </w:tcPr>
          <w:p w14:paraId="473F0613">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喹诺酮类药物</w:t>
            </w:r>
          </w:p>
        </w:tc>
        <w:tc>
          <w:tcPr>
            <w:tcW w:w="1255" w:type="dxa"/>
            <w:noWrap w:val="0"/>
            <w:vAlign w:val="center"/>
          </w:tcPr>
          <w:p w14:paraId="1B566958">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KJ202305</w:t>
            </w:r>
          </w:p>
          <w:p w14:paraId="77949C6D">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CESI仿宋-GB2312" w:hAnsi="CESI仿宋-GB2312" w:eastAsia="CESI仿宋-GB2312" w:cs="CESI仿宋-GB2312"/>
                <w:snapToGrid w:val="0"/>
                <w:color w:val="000000"/>
                <w:spacing w:val="-6"/>
                <w:sz w:val="18"/>
                <w:szCs w:val="18"/>
                <w:lang w:val="en" w:eastAsia="zh-CN"/>
              </w:rPr>
            </w:pPr>
          </w:p>
        </w:tc>
        <w:tc>
          <w:tcPr>
            <w:tcW w:w="2763" w:type="dxa"/>
            <w:noWrap w:val="0"/>
            <w:vAlign w:val="center"/>
          </w:tcPr>
          <w:p w14:paraId="6FBDD464">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豆芽中喹诺酮类药物的快速检测</w:t>
            </w:r>
          </w:p>
          <w:p w14:paraId="0F2002B5">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val="en-US" w:eastAsia="zh-CN"/>
              </w:rPr>
            </w:pPr>
          </w:p>
        </w:tc>
        <w:tc>
          <w:tcPr>
            <w:tcW w:w="1305" w:type="dxa"/>
            <w:noWrap w:val="0"/>
            <w:vAlign w:val="center"/>
          </w:tcPr>
          <w:p w14:paraId="7568DA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6E833D7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4FE8D97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0A0FC82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37A9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502" w:type="dxa"/>
            <w:vMerge w:val="continue"/>
            <w:noWrap w:val="0"/>
            <w:vAlign w:val="center"/>
          </w:tcPr>
          <w:p w14:paraId="27ADAF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4EAD806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16DFF78C">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14"/>
                <w:sz w:val="18"/>
                <w:szCs w:val="18"/>
              </w:rPr>
            </w:pPr>
          </w:p>
        </w:tc>
        <w:tc>
          <w:tcPr>
            <w:tcW w:w="1491" w:type="dxa"/>
            <w:noWrap w:val="0"/>
            <w:vAlign w:val="center"/>
          </w:tcPr>
          <w:p w14:paraId="13320A88">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甲硝唑</w:t>
            </w:r>
          </w:p>
        </w:tc>
        <w:tc>
          <w:tcPr>
            <w:tcW w:w="1255" w:type="dxa"/>
            <w:noWrap w:val="0"/>
            <w:vAlign w:val="center"/>
          </w:tcPr>
          <w:p w14:paraId="60AEC1CD">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CESI仿宋-GB2312" w:hAnsi="CESI仿宋-GB2312" w:eastAsia="CESI仿宋-GB2312" w:cs="CESI仿宋-GB2312"/>
                <w:snapToGrid w:val="0"/>
                <w:color w:val="000000"/>
                <w:spacing w:val="-6"/>
                <w:sz w:val="18"/>
                <w:szCs w:val="18"/>
                <w:lang w:val="en" w:eastAsia="zh-CN"/>
              </w:rPr>
            </w:pPr>
            <w:r>
              <w:rPr>
                <w:rFonts w:hint="eastAsia" w:ascii="CESI仿宋-GB2312" w:hAnsi="CESI仿宋-GB2312" w:eastAsia="CESI仿宋-GB2312" w:cs="CESI仿宋-GB2312"/>
                <w:snapToGrid w:val="0"/>
                <w:color w:val="000000"/>
                <w:spacing w:val="-6"/>
                <w:sz w:val="18"/>
                <w:szCs w:val="18"/>
                <w:lang w:val="en-US" w:eastAsia="zh-CN"/>
              </w:rPr>
              <w:t>KJ202202</w:t>
            </w:r>
          </w:p>
        </w:tc>
        <w:tc>
          <w:tcPr>
            <w:tcW w:w="2763" w:type="dxa"/>
            <w:noWrap w:val="0"/>
            <w:vAlign w:val="center"/>
          </w:tcPr>
          <w:p w14:paraId="360E229E">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豆芽中甲硝唑的快速检测 胶体金免疫层析法</w:t>
            </w:r>
          </w:p>
        </w:tc>
        <w:tc>
          <w:tcPr>
            <w:tcW w:w="1305" w:type="dxa"/>
            <w:noWrap w:val="0"/>
            <w:vAlign w:val="center"/>
          </w:tcPr>
          <w:p w14:paraId="3926C72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0160D5F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3B1D22C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p>
        </w:tc>
        <w:tc>
          <w:tcPr>
            <w:tcW w:w="812" w:type="dxa"/>
            <w:noWrap w:val="0"/>
            <w:vAlign w:val="center"/>
          </w:tcPr>
          <w:p w14:paraId="51E012E2">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z w:val="18"/>
                <w:szCs w:val="18"/>
              </w:rPr>
              <w:t>A</w:t>
            </w:r>
          </w:p>
        </w:tc>
      </w:tr>
      <w:tr w14:paraId="0ADB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603511A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5711540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14E89FB4">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葱</w:t>
            </w:r>
          </w:p>
        </w:tc>
        <w:tc>
          <w:tcPr>
            <w:tcW w:w="1491" w:type="dxa"/>
            <w:noWrap w:val="0"/>
            <w:vAlign w:val="center"/>
          </w:tcPr>
          <w:p w14:paraId="01426498">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3"/>
                <w:sz w:val="18"/>
                <w:szCs w:val="18"/>
              </w:rPr>
              <w:t>水胺硫磷</w:t>
            </w:r>
          </w:p>
        </w:tc>
        <w:tc>
          <w:tcPr>
            <w:tcW w:w="1255" w:type="dxa"/>
            <w:noWrap w:val="0"/>
            <w:vAlign w:val="center"/>
          </w:tcPr>
          <w:p w14:paraId="4A82576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KJ202204</w:t>
            </w:r>
          </w:p>
        </w:tc>
        <w:tc>
          <w:tcPr>
            <w:tcW w:w="2763" w:type="dxa"/>
            <w:noWrap w:val="0"/>
            <w:vAlign w:val="center"/>
          </w:tcPr>
          <w:p w14:paraId="32167FDA">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sz w:val="18"/>
                <w:szCs w:val="18"/>
                <w:lang w:eastAsia="zh-CN"/>
              </w:rPr>
              <w:t>蔬菜水果中水胺硫磷的快速检测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胶体金免疫</w:t>
            </w:r>
            <w:r>
              <w:rPr>
                <w:rFonts w:hint="eastAsia" w:ascii="CESI仿宋-GB2312" w:hAnsi="CESI仿宋-GB2312" w:eastAsia="CESI仿宋-GB2312" w:cs="CESI仿宋-GB2312"/>
                <w:snapToGrid w:val="0"/>
                <w:color w:val="000000"/>
                <w:spacing w:val="-6"/>
                <w:sz w:val="18"/>
                <w:szCs w:val="18"/>
                <w:lang w:eastAsia="zh-CN"/>
              </w:rPr>
              <w:t>层析法</w:t>
            </w:r>
          </w:p>
        </w:tc>
        <w:tc>
          <w:tcPr>
            <w:tcW w:w="1305" w:type="dxa"/>
            <w:noWrap w:val="0"/>
            <w:vAlign w:val="center"/>
          </w:tcPr>
          <w:p w14:paraId="65DBAB9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52DCEF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14DB1B6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3BB4EC3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4540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7101939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48AEFA7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5E25406E">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7"/>
                <w:sz w:val="18"/>
                <w:szCs w:val="18"/>
              </w:rPr>
              <w:t>茄子</w:t>
            </w:r>
          </w:p>
        </w:tc>
        <w:tc>
          <w:tcPr>
            <w:tcW w:w="1491" w:type="dxa"/>
            <w:noWrap w:val="0"/>
            <w:vAlign w:val="center"/>
          </w:tcPr>
          <w:p w14:paraId="7AC0C73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4B5AD9C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shd w:val="clear" w:color="auto" w:fill="auto"/>
              </w:rPr>
              <w:t>KJ201710</w:t>
            </w:r>
          </w:p>
        </w:tc>
        <w:tc>
          <w:tcPr>
            <w:tcW w:w="2763" w:type="dxa"/>
            <w:noWrap w:val="0"/>
            <w:vAlign w:val="center"/>
          </w:tcPr>
          <w:p w14:paraId="1D2BBC6D">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2A21FA4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3C663C7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5C7478D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4216112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A</w:t>
            </w:r>
          </w:p>
        </w:tc>
      </w:tr>
      <w:tr w14:paraId="6F7D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5A0FFBF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2386B5E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4DB24475">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4"/>
                <w:sz w:val="18"/>
                <w:szCs w:val="18"/>
              </w:rPr>
              <w:t>菜豆</w:t>
            </w:r>
          </w:p>
        </w:tc>
        <w:tc>
          <w:tcPr>
            <w:tcW w:w="1491" w:type="dxa"/>
            <w:noWrap w:val="0"/>
            <w:vAlign w:val="center"/>
          </w:tcPr>
          <w:p w14:paraId="23BFEA3E">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8"/>
                <w:sz w:val="18"/>
                <w:szCs w:val="18"/>
              </w:rPr>
              <w:t>多菌灵</w:t>
            </w:r>
          </w:p>
        </w:tc>
        <w:tc>
          <w:tcPr>
            <w:tcW w:w="1255" w:type="dxa"/>
            <w:noWrap w:val="0"/>
            <w:vAlign w:val="center"/>
          </w:tcPr>
          <w:p w14:paraId="6CFF2D7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KJ202205</w:t>
            </w:r>
          </w:p>
        </w:tc>
        <w:tc>
          <w:tcPr>
            <w:tcW w:w="2763" w:type="dxa"/>
            <w:noWrap w:val="0"/>
            <w:vAlign w:val="center"/>
          </w:tcPr>
          <w:p w14:paraId="24AE3EFB">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sz w:val="18"/>
                <w:szCs w:val="18"/>
                <w:lang w:eastAsia="zh-CN"/>
              </w:rPr>
              <w:t>蔬菜水果中多菌灵的快</w:t>
            </w:r>
            <w:r>
              <w:rPr>
                <w:rFonts w:hint="eastAsia" w:ascii="CESI仿宋-GB2312" w:hAnsi="CESI仿宋-GB2312" w:eastAsia="CESI仿宋-GB2312" w:cs="CESI仿宋-GB2312"/>
                <w:snapToGrid w:val="0"/>
                <w:color w:val="000000"/>
                <w:spacing w:val="-1"/>
                <w:sz w:val="18"/>
                <w:szCs w:val="18"/>
                <w:lang w:eastAsia="zh-CN"/>
              </w:rPr>
              <w:t>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胶体金免疫层</w:t>
            </w:r>
            <w:r>
              <w:rPr>
                <w:rFonts w:hint="eastAsia" w:ascii="CESI仿宋-GB2312" w:hAnsi="CESI仿宋-GB2312" w:eastAsia="CESI仿宋-GB2312" w:cs="CESI仿宋-GB2312"/>
                <w:snapToGrid w:val="0"/>
                <w:color w:val="000000"/>
                <w:spacing w:val="-8"/>
                <w:sz w:val="18"/>
                <w:szCs w:val="18"/>
                <w:lang w:eastAsia="zh-CN"/>
              </w:rPr>
              <w:t>析法</w:t>
            </w:r>
          </w:p>
        </w:tc>
        <w:tc>
          <w:tcPr>
            <w:tcW w:w="1305" w:type="dxa"/>
            <w:noWrap w:val="0"/>
            <w:vAlign w:val="center"/>
          </w:tcPr>
          <w:p w14:paraId="530510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25634D9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7543AA2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26C64E6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66C7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47AA7FC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top"/>
          </w:tcPr>
          <w:p w14:paraId="192149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top"/>
          </w:tcPr>
          <w:p w14:paraId="4BBD437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0CD9E49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2B83715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shd w:val="clear" w:color="auto" w:fill="auto"/>
              </w:rPr>
              <w:t>KJ201710</w:t>
            </w:r>
          </w:p>
        </w:tc>
        <w:tc>
          <w:tcPr>
            <w:tcW w:w="2763" w:type="dxa"/>
            <w:noWrap w:val="0"/>
            <w:vAlign w:val="center"/>
          </w:tcPr>
          <w:p w14:paraId="323DE94D">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67CDFC2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418FECA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2F10605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439D015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A</w:t>
            </w:r>
          </w:p>
        </w:tc>
      </w:tr>
      <w:tr w14:paraId="05F1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restart"/>
            <w:noWrap w:val="0"/>
            <w:vAlign w:val="center"/>
          </w:tcPr>
          <w:p w14:paraId="2EFF8D4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2</w:t>
            </w:r>
          </w:p>
        </w:tc>
        <w:tc>
          <w:tcPr>
            <w:tcW w:w="585" w:type="dxa"/>
            <w:vMerge w:val="restart"/>
            <w:noWrap w:val="0"/>
            <w:vAlign w:val="center"/>
          </w:tcPr>
          <w:p w14:paraId="742E3D3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水果</w:t>
            </w:r>
          </w:p>
        </w:tc>
        <w:tc>
          <w:tcPr>
            <w:tcW w:w="941" w:type="dxa"/>
            <w:vMerge w:val="restart"/>
            <w:noWrap w:val="0"/>
            <w:vAlign w:val="center"/>
          </w:tcPr>
          <w:p w14:paraId="4B1EA86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28"/>
                <w:sz w:val="18"/>
                <w:szCs w:val="18"/>
              </w:rPr>
              <w:t>柑、橙、</w:t>
            </w:r>
            <w:r>
              <w:rPr>
                <w:rFonts w:hint="eastAsia" w:ascii="CESI仿宋-GB2312" w:hAnsi="CESI仿宋-GB2312" w:eastAsia="CESI仿宋-GB2312" w:cs="CESI仿宋-GB2312"/>
                <w:snapToGrid w:val="0"/>
                <w:color w:val="000000"/>
                <w:sz w:val="18"/>
                <w:szCs w:val="18"/>
              </w:rPr>
              <w:t>橘</w:t>
            </w:r>
          </w:p>
        </w:tc>
        <w:tc>
          <w:tcPr>
            <w:tcW w:w="1491" w:type="dxa"/>
            <w:noWrap w:val="0"/>
            <w:vAlign w:val="center"/>
          </w:tcPr>
          <w:p w14:paraId="5882FC1D">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06D5940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6C8BB458">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7CF950F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4F2F14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757B622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2E4CF20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A</w:t>
            </w:r>
          </w:p>
        </w:tc>
      </w:tr>
      <w:tr w14:paraId="2CD8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07C887E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614D51C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2D68A18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4D89B4FC">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7"/>
                <w:sz w:val="18"/>
                <w:szCs w:val="18"/>
              </w:rPr>
              <w:t>丙溴磷</w:t>
            </w:r>
          </w:p>
        </w:tc>
        <w:tc>
          <w:tcPr>
            <w:tcW w:w="1255" w:type="dxa"/>
            <w:noWrap w:val="0"/>
            <w:vAlign w:val="center"/>
          </w:tcPr>
          <w:p w14:paraId="70A5ECD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KJ202208</w:t>
            </w:r>
          </w:p>
        </w:tc>
        <w:tc>
          <w:tcPr>
            <w:tcW w:w="2763" w:type="dxa"/>
            <w:noWrap w:val="0"/>
            <w:vAlign w:val="center"/>
          </w:tcPr>
          <w:p w14:paraId="30C7611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sz w:val="18"/>
                <w:szCs w:val="18"/>
                <w:lang w:eastAsia="zh-CN"/>
              </w:rPr>
              <w:t>蔬菜水果中丙溴磷的快</w:t>
            </w:r>
            <w:r>
              <w:rPr>
                <w:rFonts w:hint="eastAsia" w:ascii="CESI仿宋-GB2312" w:hAnsi="CESI仿宋-GB2312" w:eastAsia="CESI仿宋-GB2312" w:cs="CESI仿宋-GB2312"/>
                <w:snapToGrid w:val="0"/>
                <w:color w:val="000000"/>
                <w:spacing w:val="-1"/>
                <w:sz w:val="18"/>
                <w:szCs w:val="18"/>
                <w:lang w:eastAsia="zh-CN"/>
              </w:rPr>
              <w:t>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胶体金免疫层</w:t>
            </w:r>
            <w:r>
              <w:rPr>
                <w:rFonts w:hint="eastAsia" w:ascii="CESI仿宋-GB2312" w:hAnsi="CESI仿宋-GB2312" w:eastAsia="CESI仿宋-GB2312" w:cs="CESI仿宋-GB2312"/>
                <w:snapToGrid w:val="0"/>
                <w:color w:val="000000"/>
                <w:spacing w:val="-8"/>
                <w:sz w:val="18"/>
                <w:szCs w:val="18"/>
                <w:lang w:eastAsia="zh-CN"/>
              </w:rPr>
              <w:t>析法</w:t>
            </w:r>
          </w:p>
        </w:tc>
        <w:tc>
          <w:tcPr>
            <w:tcW w:w="1305" w:type="dxa"/>
            <w:noWrap w:val="0"/>
            <w:vAlign w:val="center"/>
          </w:tcPr>
          <w:p w14:paraId="4867D0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60A899D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0DC075E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4C99F82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49E0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5A2C9E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2062A28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70385363">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梨</w:t>
            </w:r>
          </w:p>
        </w:tc>
        <w:tc>
          <w:tcPr>
            <w:tcW w:w="1491" w:type="dxa"/>
            <w:noWrap w:val="0"/>
            <w:vAlign w:val="center"/>
          </w:tcPr>
          <w:p w14:paraId="002BA12D">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3DBB95B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33DBF92C">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6A20C75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3DD68B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0800AAF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1D7FB13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A</w:t>
            </w:r>
          </w:p>
        </w:tc>
      </w:tr>
      <w:tr w14:paraId="53BF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41196B4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44CE62C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19DC8DA7">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8"/>
                <w:sz w:val="18"/>
                <w:szCs w:val="18"/>
              </w:rPr>
              <w:t>苹果</w:t>
            </w:r>
          </w:p>
        </w:tc>
        <w:tc>
          <w:tcPr>
            <w:tcW w:w="1491" w:type="dxa"/>
            <w:noWrap w:val="0"/>
            <w:vAlign w:val="center"/>
          </w:tcPr>
          <w:p w14:paraId="1AC0DA4C">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070BC2E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1DA17B1B">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6479E86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438C8B4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3DBB8A1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4A3F4BB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
              </w:rPr>
            </w:pPr>
            <w:r>
              <w:rPr>
                <w:rFonts w:hint="default" w:ascii="CESI仿宋-GB2312" w:hAnsi="CESI仿宋-GB2312" w:eastAsia="CESI仿宋-GB2312" w:cs="CESI仿宋-GB2312"/>
                <w:snapToGrid w:val="0"/>
                <w:color w:val="000000"/>
                <w:sz w:val="18"/>
                <w:szCs w:val="18"/>
                <w:lang w:val="en"/>
              </w:rPr>
              <w:t>A</w:t>
            </w:r>
          </w:p>
        </w:tc>
      </w:tr>
      <w:tr w14:paraId="6EE5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3D660A4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593097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561BFF48">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8"/>
                <w:sz w:val="18"/>
                <w:szCs w:val="18"/>
                <w:lang w:eastAsia="zh-CN"/>
              </w:rPr>
            </w:pPr>
            <w:r>
              <w:rPr>
                <w:rFonts w:hint="eastAsia" w:ascii="CESI仿宋-GB2312" w:hAnsi="CESI仿宋-GB2312" w:eastAsia="CESI仿宋-GB2312" w:cs="CESI仿宋-GB2312"/>
                <w:snapToGrid w:val="0"/>
                <w:color w:val="000000"/>
                <w:spacing w:val="-8"/>
                <w:sz w:val="18"/>
                <w:szCs w:val="18"/>
                <w:lang w:eastAsia="zh-CN"/>
              </w:rPr>
              <w:t>香蕉</w:t>
            </w:r>
          </w:p>
        </w:tc>
        <w:tc>
          <w:tcPr>
            <w:tcW w:w="1491" w:type="dxa"/>
            <w:noWrap w:val="0"/>
            <w:vAlign w:val="center"/>
          </w:tcPr>
          <w:p w14:paraId="67B209A1">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pacing w:val="-7"/>
                <w:sz w:val="18"/>
                <w:szCs w:val="18"/>
              </w:rPr>
              <w:t>噻虫嗪</w:t>
            </w:r>
          </w:p>
        </w:tc>
        <w:tc>
          <w:tcPr>
            <w:tcW w:w="1255" w:type="dxa"/>
            <w:noWrap w:val="0"/>
            <w:vAlign w:val="center"/>
          </w:tcPr>
          <w:p w14:paraId="741F926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CESI仿宋-GB2312" w:hAnsi="CESI仿宋-GB2312" w:eastAsia="CESI仿宋-GB2312" w:cs="CESI仿宋-GB2312"/>
                <w:snapToGrid w:val="0"/>
                <w:color w:val="000000"/>
                <w:spacing w:val="-1"/>
                <w:kern w:val="2"/>
                <w:sz w:val="18"/>
                <w:szCs w:val="18"/>
                <w:lang w:val="en-US" w:eastAsia="zh-CN" w:bidi="ar-SA"/>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19847B3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7"/>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0A9351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498EC3E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4914366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p>
        </w:tc>
        <w:tc>
          <w:tcPr>
            <w:tcW w:w="812" w:type="dxa"/>
            <w:noWrap w:val="0"/>
            <w:vAlign w:val="center"/>
          </w:tcPr>
          <w:p w14:paraId="6591575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z w:val="18"/>
                <w:szCs w:val="18"/>
                <w:lang w:val="en-US" w:eastAsia="zh-CN"/>
              </w:rPr>
              <w:t>A</w:t>
            </w:r>
          </w:p>
        </w:tc>
      </w:tr>
      <w:tr w14:paraId="677D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138E73F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2DF6E1D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086553F3">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8"/>
                <w:sz w:val="18"/>
                <w:szCs w:val="18"/>
                <w:lang w:eastAsia="zh-CN"/>
              </w:rPr>
            </w:pPr>
          </w:p>
        </w:tc>
        <w:tc>
          <w:tcPr>
            <w:tcW w:w="1491" w:type="dxa"/>
            <w:noWrap w:val="0"/>
            <w:vAlign w:val="center"/>
          </w:tcPr>
          <w:p w14:paraId="7B02BD90">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pacing w:val="-7"/>
                <w:sz w:val="18"/>
                <w:szCs w:val="18"/>
              </w:rPr>
              <w:t>噻虫胺</w:t>
            </w:r>
          </w:p>
        </w:tc>
        <w:tc>
          <w:tcPr>
            <w:tcW w:w="1255" w:type="dxa"/>
            <w:noWrap w:val="0"/>
            <w:vAlign w:val="center"/>
          </w:tcPr>
          <w:p w14:paraId="30269C6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kern w:val="2"/>
                <w:sz w:val="18"/>
                <w:szCs w:val="18"/>
                <w:lang w:val="en-US" w:eastAsia="zh-CN" w:bidi="ar-SA"/>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58B947B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7"/>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2064392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09C108D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57D8A8E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p>
        </w:tc>
        <w:tc>
          <w:tcPr>
            <w:tcW w:w="812" w:type="dxa"/>
            <w:noWrap w:val="0"/>
            <w:vAlign w:val="center"/>
          </w:tcPr>
          <w:p w14:paraId="7B1DAE2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z w:val="18"/>
                <w:szCs w:val="18"/>
                <w:lang w:val="en-US" w:eastAsia="zh-CN"/>
              </w:rPr>
              <w:t>A</w:t>
            </w:r>
          </w:p>
        </w:tc>
      </w:tr>
      <w:tr w14:paraId="5783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502" w:type="dxa"/>
            <w:vMerge w:val="continue"/>
            <w:noWrap w:val="0"/>
            <w:vAlign w:val="center"/>
          </w:tcPr>
          <w:p w14:paraId="2CFEE93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7ED738C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0E956827">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8"/>
                <w:sz w:val="18"/>
                <w:szCs w:val="18"/>
                <w:lang w:eastAsia="zh-CN"/>
              </w:rPr>
            </w:pPr>
          </w:p>
        </w:tc>
        <w:tc>
          <w:tcPr>
            <w:tcW w:w="1491" w:type="dxa"/>
            <w:noWrap w:val="0"/>
            <w:vAlign w:val="center"/>
          </w:tcPr>
          <w:p w14:paraId="1BA3A6FA">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pacing w:val="-8"/>
                <w:sz w:val="18"/>
                <w:szCs w:val="18"/>
              </w:rPr>
              <w:t>吡虫啉</w:t>
            </w:r>
          </w:p>
        </w:tc>
        <w:tc>
          <w:tcPr>
            <w:tcW w:w="1255" w:type="dxa"/>
            <w:noWrap w:val="0"/>
            <w:vAlign w:val="center"/>
          </w:tcPr>
          <w:p w14:paraId="294F53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kern w:val="2"/>
                <w:sz w:val="18"/>
                <w:szCs w:val="18"/>
                <w:lang w:val="en-US" w:eastAsia="zh-CN" w:bidi="ar-SA"/>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7A3AAFF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7"/>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4D20C91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0B3C17F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6F0E10B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p>
        </w:tc>
        <w:tc>
          <w:tcPr>
            <w:tcW w:w="812" w:type="dxa"/>
            <w:noWrap w:val="0"/>
            <w:vAlign w:val="center"/>
          </w:tcPr>
          <w:p w14:paraId="260B875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z w:val="18"/>
                <w:szCs w:val="18"/>
                <w:lang w:val="en-US" w:eastAsia="zh-CN"/>
              </w:rPr>
              <w:t>B</w:t>
            </w:r>
          </w:p>
        </w:tc>
      </w:tr>
      <w:tr w14:paraId="63FD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16A15A5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35B2C5D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5624D50F">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8"/>
                <w:sz w:val="18"/>
                <w:szCs w:val="18"/>
                <w:lang w:val="en-US" w:eastAsia="zh-CN"/>
              </w:rPr>
            </w:pPr>
            <w:r>
              <w:rPr>
                <w:rFonts w:hint="eastAsia" w:ascii="CESI仿宋-GB2312" w:hAnsi="CESI仿宋-GB2312" w:eastAsia="CESI仿宋-GB2312" w:cs="CESI仿宋-GB2312"/>
                <w:snapToGrid w:val="0"/>
                <w:color w:val="000000"/>
                <w:spacing w:val="-8"/>
                <w:sz w:val="18"/>
                <w:szCs w:val="18"/>
                <w:lang w:val="en-US" w:eastAsia="zh-CN"/>
              </w:rPr>
              <w:t>草莓</w:t>
            </w:r>
          </w:p>
        </w:tc>
        <w:tc>
          <w:tcPr>
            <w:tcW w:w="1491" w:type="dxa"/>
            <w:noWrap w:val="0"/>
            <w:vAlign w:val="center"/>
          </w:tcPr>
          <w:p w14:paraId="51897006">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4"/>
                <w:sz w:val="18"/>
                <w:szCs w:val="18"/>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360F28D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lang w:val="en-US" w:eastAsia="zh-CN"/>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5A549943">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7"/>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7201B0B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007F46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03E9291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7FD9D27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default" w:ascii="CESI仿宋-GB2312" w:hAnsi="CESI仿宋-GB2312" w:eastAsia="CESI仿宋-GB2312" w:cs="CESI仿宋-GB2312"/>
                <w:snapToGrid w:val="0"/>
                <w:color w:val="000000"/>
                <w:sz w:val="18"/>
                <w:szCs w:val="18"/>
                <w:lang w:val="en"/>
              </w:rPr>
              <w:t>A</w:t>
            </w:r>
          </w:p>
        </w:tc>
      </w:tr>
      <w:tr w14:paraId="36BF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502" w:type="dxa"/>
            <w:vMerge w:val="continue"/>
            <w:noWrap w:val="0"/>
            <w:vAlign w:val="center"/>
          </w:tcPr>
          <w:p w14:paraId="060B175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31AFF30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1BE65BE3">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8"/>
                <w:sz w:val="18"/>
                <w:szCs w:val="18"/>
                <w:lang w:val="en-US" w:eastAsia="zh-CN"/>
              </w:rPr>
            </w:pPr>
          </w:p>
        </w:tc>
        <w:tc>
          <w:tcPr>
            <w:tcW w:w="1491" w:type="dxa"/>
            <w:noWrap w:val="0"/>
            <w:vAlign w:val="center"/>
          </w:tcPr>
          <w:p w14:paraId="5F976AE8">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firstLine="0"/>
              <w:jc w:val="center"/>
              <w:textAlignment w:val="auto"/>
              <w:rPr>
                <w:rFonts w:hint="eastAsia" w:ascii="CESI仿宋-GB2312" w:hAnsi="CESI仿宋-GB2312" w:eastAsia="CESI仿宋-GB2312" w:cs="CESI仿宋-GB2312"/>
                <w:snapToGrid w:val="0"/>
                <w:color w:val="000000"/>
                <w:spacing w:val="-4"/>
                <w:sz w:val="18"/>
                <w:szCs w:val="18"/>
              </w:rPr>
            </w:pPr>
            <w:r>
              <w:rPr>
                <w:rFonts w:hint="eastAsia" w:ascii="CESI仿宋-GB2312" w:hAnsi="CESI仿宋-GB2312" w:eastAsia="CESI仿宋-GB2312" w:cs="CESI仿宋-GB2312"/>
                <w:snapToGrid w:val="0"/>
                <w:color w:val="000000"/>
                <w:spacing w:val="-4"/>
                <w:sz w:val="18"/>
                <w:szCs w:val="18"/>
              </w:rPr>
              <w:t>烯酰吗啉</w:t>
            </w:r>
          </w:p>
        </w:tc>
        <w:tc>
          <w:tcPr>
            <w:tcW w:w="1255" w:type="dxa"/>
            <w:noWrap w:val="0"/>
            <w:vAlign w:val="center"/>
          </w:tcPr>
          <w:p w14:paraId="3DE6967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lang w:val="en-US" w:eastAsia="zh-CN"/>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1CE6A46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7"/>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79CFE14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符合GB2763-2021 限量要求</w:t>
            </w:r>
          </w:p>
        </w:tc>
        <w:tc>
          <w:tcPr>
            <w:tcW w:w="322" w:type="dxa"/>
            <w:noWrap w:val="0"/>
            <w:vAlign w:val="center"/>
          </w:tcPr>
          <w:p w14:paraId="69DFA10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7D06B13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B</w:t>
            </w:r>
          </w:p>
        </w:tc>
      </w:tr>
      <w:tr w14:paraId="6003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3B4FF9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38D64C0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5AE02359">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8"/>
                <w:sz w:val="18"/>
                <w:szCs w:val="18"/>
                <w:lang w:val="en-US" w:eastAsia="zh-CN"/>
              </w:rPr>
            </w:pPr>
            <w:r>
              <w:rPr>
                <w:rFonts w:hint="eastAsia" w:ascii="CESI仿宋-GB2312" w:hAnsi="CESI仿宋-GB2312" w:eastAsia="CESI仿宋-GB2312" w:cs="CESI仿宋-GB2312"/>
                <w:snapToGrid w:val="0"/>
                <w:color w:val="000000"/>
                <w:spacing w:val="-8"/>
                <w:sz w:val="18"/>
                <w:szCs w:val="18"/>
                <w:lang w:val="en-US" w:eastAsia="zh-CN"/>
              </w:rPr>
              <w:t>芒果</w:t>
            </w:r>
          </w:p>
        </w:tc>
        <w:tc>
          <w:tcPr>
            <w:tcW w:w="1491" w:type="dxa"/>
            <w:noWrap w:val="0"/>
            <w:vAlign w:val="center"/>
          </w:tcPr>
          <w:p w14:paraId="2C8B1439">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4"/>
                <w:sz w:val="18"/>
                <w:szCs w:val="18"/>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30BD1F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lang w:val="en-US" w:eastAsia="zh-CN"/>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6BAA465B">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7"/>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48A8EB5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符合GB2763-2021 、限量要求</w:t>
            </w:r>
          </w:p>
        </w:tc>
        <w:tc>
          <w:tcPr>
            <w:tcW w:w="322" w:type="dxa"/>
            <w:noWrap w:val="0"/>
            <w:vAlign w:val="center"/>
          </w:tcPr>
          <w:p w14:paraId="7CEBB35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5A1A4B0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default" w:ascii="CESI仿宋-GB2312" w:hAnsi="CESI仿宋-GB2312" w:eastAsia="CESI仿宋-GB2312" w:cs="CESI仿宋-GB2312"/>
                <w:snapToGrid w:val="0"/>
                <w:color w:val="000000"/>
                <w:sz w:val="18"/>
                <w:szCs w:val="18"/>
                <w:lang w:val="en"/>
              </w:rPr>
              <w:t>A</w:t>
            </w:r>
          </w:p>
        </w:tc>
      </w:tr>
      <w:tr w14:paraId="0ED0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304D676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240850C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2F81239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8"/>
                <w:sz w:val="18"/>
                <w:szCs w:val="18"/>
                <w:lang w:val="en-US" w:eastAsia="zh-CN"/>
              </w:rPr>
            </w:pPr>
          </w:p>
        </w:tc>
        <w:tc>
          <w:tcPr>
            <w:tcW w:w="1491" w:type="dxa"/>
            <w:noWrap w:val="0"/>
            <w:vAlign w:val="center"/>
          </w:tcPr>
          <w:p w14:paraId="289879FF">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firstLine="0"/>
              <w:jc w:val="center"/>
              <w:textAlignment w:val="auto"/>
              <w:rPr>
                <w:rFonts w:hint="eastAsia" w:ascii="CESI仿宋-GB2312" w:hAnsi="CESI仿宋-GB2312" w:eastAsia="CESI仿宋-GB2312" w:cs="CESI仿宋-GB2312"/>
                <w:snapToGrid w:val="0"/>
                <w:color w:val="000000"/>
                <w:spacing w:val="-4"/>
                <w:sz w:val="18"/>
                <w:szCs w:val="18"/>
              </w:rPr>
            </w:pPr>
            <w:r>
              <w:rPr>
                <w:rFonts w:hint="eastAsia" w:ascii="CESI仿宋-GB2312" w:hAnsi="CESI仿宋-GB2312" w:eastAsia="CESI仿宋-GB2312" w:cs="CESI仿宋-GB2312"/>
                <w:snapToGrid w:val="0"/>
                <w:color w:val="000000"/>
                <w:spacing w:val="-4"/>
                <w:sz w:val="18"/>
                <w:szCs w:val="18"/>
              </w:rPr>
              <w:t>吡唑醚菌酯</w:t>
            </w:r>
          </w:p>
        </w:tc>
        <w:tc>
          <w:tcPr>
            <w:tcW w:w="1255" w:type="dxa"/>
            <w:noWrap w:val="0"/>
            <w:vAlign w:val="center"/>
          </w:tcPr>
          <w:p w14:paraId="3B20560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lang w:val="en-US" w:eastAsia="zh-CN"/>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43F5CC4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7"/>
                <w:kern w:val="2"/>
                <w:sz w:val="18"/>
                <w:szCs w:val="18"/>
                <w:lang w:val="en-US" w:eastAsia="zh-CN" w:bidi="ar-SA"/>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4B2CC7E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符合GB2763-2021</w:t>
            </w:r>
          </w:p>
          <w:p w14:paraId="166F5D8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1F55B55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37FBA9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B</w:t>
            </w:r>
          </w:p>
        </w:tc>
      </w:tr>
      <w:tr w14:paraId="5C4B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35338EA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42FFCCD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17BA8CF8">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8"/>
                <w:sz w:val="18"/>
                <w:szCs w:val="18"/>
                <w:lang w:val="en-US" w:eastAsia="zh-CN"/>
              </w:rPr>
            </w:pPr>
            <w:r>
              <w:rPr>
                <w:rFonts w:hint="eastAsia" w:ascii="CESI仿宋-GB2312" w:hAnsi="CESI仿宋-GB2312" w:eastAsia="CESI仿宋-GB2312" w:cs="CESI仿宋-GB2312"/>
                <w:snapToGrid w:val="0"/>
                <w:color w:val="000000"/>
                <w:spacing w:val="-8"/>
                <w:sz w:val="18"/>
                <w:szCs w:val="18"/>
                <w:lang w:val="en-US" w:eastAsia="zh-CN"/>
              </w:rPr>
              <w:t>猕猴桃</w:t>
            </w:r>
          </w:p>
        </w:tc>
        <w:tc>
          <w:tcPr>
            <w:tcW w:w="1491" w:type="dxa"/>
            <w:noWrap w:val="0"/>
            <w:vAlign w:val="center"/>
          </w:tcPr>
          <w:p w14:paraId="02401F87">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4"/>
                <w:sz w:val="18"/>
                <w:szCs w:val="18"/>
              </w:rPr>
            </w:pPr>
            <w:r>
              <w:rPr>
                <w:rFonts w:hint="eastAsia" w:ascii="CESI仿宋-GB2312" w:hAnsi="CESI仿宋-GB2312" w:eastAsia="CESI仿宋-GB2312" w:cs="CESI仿宋-GB2312"/>
                <w:snapToGrid w:val="0"/>
                <w:color w:val="000000"/>
                <w:spacing w:val="-6"/>
                <w:sz w:val="18"/>
                <w:szCs w:val="18"/>
                <w:lang w:eastAsia="zh-CN"/>
              </w:rPr>
              <w:t>有机磷和氨基甲酸酯类</w:t>
            </w:r>
            <w:r>
              <w:rPr>
                <w:rFonts w:hint="eastAsia" w:ascii="CESI仿宋-GB2312" w:hAnsi="CESI仿宋-GB2312" w:eastAsia="CESI仿宋-GB2312" w:cs="CESI仿宋-GB2312"/>
                <w:snapToGrid w:val="0"/>
                <w:color w:val="000000"/>
                <w:spacing w:val="-6"/>
                <w:sz w:val="18"/>
                <w:szCs w:val="18"/>
                <w:lang w:val="en-US" w:eastAsia="zh-CN"/>
              </w:rPr>
              <w:t>农药</w:t>
            </w:r>
          </w:p>
        </w:tc>
        <w:tc>
          <w:tcPr>
            <w:tcW w:w="1255" w:type="dxa"/>
            <w:noWrap w:val="0"/>
            <w:vAlign w:val="center"/>
          </w:tcPr>
          <w:p w14:paraId="5136E4C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1"/>
                <w:sz w:val="18"/>
                <w:szCs w:val="18"/>
                <w:lang w:val="en-US" w:eastAsia="zh-CN"/>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4BFFC1CD">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pacing w:val="-7"/>
                <w:kern w:val="2"/>
                <w:sz w:val="18"/>
                <w:szCs w:val="18"/>
                <w:lang w:val="en-US" w:eastAsia="zh-CN" w:bidi="ar-SA"/>
              </w:rPr>
            </w:pPr>
            <w:r>
              <w:rPr>
                <w:rFonts w:hint="eastAsia" w:ascii="CESI仿宋-GB2312" w:hAnsi="CESI仿宋-GB2312" w:eastAsia="CESI仿宋-GB2312" w:cs="CESI仿宋-GB2312"/>
                <w:snapToGrid w:val="0"/>
                <w:color w:val="000000"/>
                <w:spacing w:val="-2"/>
                <w:kern w:val="2"/>
                <w:sz w:val="18"/>
                <w:szCs w:val="18"/>
                <w:lang w:val="en-US" w:eastAsia="zh-CN" w:bidi="ar-SA"/>
              </w:rPr>
              <w:t>蔬菜中敌百虫、丙溴磷、灭多威、克百威、敌敌畏残留的快速检测</w:t>
            </w:r>
          </w:p>
        </w:tc>
        <w:tc>
          <w:tcPr>
            <w:tcW w:w="1305" w:type="dxa"/>
            <w:noWrap w:val="0"/>
            <w:vAlign w:val="center"/>
          </w:tcPr>
          <w:p w14:paraId="0687FC9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符合GB2763-2021 </w:t>
            </w:r>
          </w:p>
          <w:p w14:paraId="5F076BC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40A04D7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3C99E3D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default" w:ascii="CESI仿宋-GB2312" w:hAnsi="CESI仿宋-GB2312" w:eastAsia="CESI仿宋-GB2312" w:cs="CESI仿宋-GB2312"/>
                <w:snapToGrid w:val="0"/>
                <w:color w:val="000000"/>
                <w:sz w:val="18"/>
                <w:szCs w:val="18"/>
                <w:lang w:val="en"/>
              </w:rPr>
              <w:t>A</w:t>
            </w:r>
          </w:p>
        </w:tc>
      </w:tr>
      <w:tr w14:paraId="439A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restart"/>
            <w:noWrap w:val="0"/>
            <w:vAlign w:val="center"/>
          </w:tcPr>
          <w:p w14:paraId="5DE14DA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3</w:t>
            </w:r>
          </w:p>
        </w:tc>
        <w:tc>
          <w:tcPr>
            <w:tcW w:w="585" w:type="dxa"/>
            <w:vMerge w:val="restart"/>
            <w:noWrap w:val="0"/>
            <w:vAlign w:val="center"/>
          </w:tcPr>
          <w:p w14:paraId="6C6F03E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畜禽肉及副产品</w:t>
            </w:r>
          </w:p>
        </w:tc>
        <w:tc>
          <w:tcPr>
            <w:tcW w:w="941" w:type="dxa"/>
            <w:vMerge w:val="restart"/>
            <w:noWrap w:val="0"/>
            <w:vAlign w:val="center"/>
          </w:tcPr>
          <w:p w14:paraId="2E2F06AF">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鸡肉</w:t>
            </w:r>
          </w:p>
        </w:tc>
        <w:tc>
          <w:tcPr>
            <w:tcW w:w="1491" w:type="dxa"/>
            <w:noWrap w:val="0"/>
            <w:vAlign w:val="center"/>
          </w:tcPr>
          <w:p w14:paraId="7C7F07FE">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2"/>
                <w:sz w:val="18"/>
                <w:szCs w:val="18"/>
              </w:rPr>
              <w:t>甲氧苄啶</w:t>
            </w:r>
          </w:p>
        </w:tc>
        <w:tc>
          <w:tcPr>
            <w:tcW w:w="1255" w:type="dxa"/>
            <w:noWrap w:val="0"/>
            <w:vAlign w:val="center"/>
          </w:tcPr>
          <w:p w14:paraId="4D3EAE6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KJ202301</w:t>
            </w:r>
          </w:p>
        </w:tc>
        <w:tc>
          <w:tcPr>
            <w:tcW w:w="2763" w:type="dxa"/>
            <w:noWrap w:val="0"/>
            <w:vAlign w:val="center"/>
          </w:tcPr>
          <w:p w14:paraId="6B065915">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动物源性食品中甲氧苄</w:t>
            </w:r>
            <w:r>
              <w:rPr>
                <w:rFonts w:hint="eastAsia" w:ascii="CESI仿宋-GB2312" w:hAnsi="CESI仿宋-GB2312" w:eastAsia="CESI仿宋-GB2312" w:cs="CESI仿宋-GB2312"/>
                <w:snapToGrid w:val="0"/>
                <w:color w:val="000000"/>
                <w:spacing w:val="-2"/>
                <w:sz w:val="18"/>
                <w:szCs w:val="18"/>
                <w:lang w:eastAsia="zh-CN"/>
              </w:rPr>
              <w:t>啶的快速检测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w:t>
            </w:r>
            <w:r>
              <w:rPr>
                <w:rFonts w:hint="eastAsia" w:ascii="CESI仿宋-GB2312" w:hAnsi="CESI仿宋-GB2312" w:eastAsia="CESI仿宋-GB2312" w:cs="CESI仿宋-GB2312"/>
                <w:snapToGrid w:val="0"/>
                <w:color w:val="000000"/>
                <w:spacing w:val="-5"/>
                <w:sz w:val="18"/>
                <w:szCs w:val="18"/>
                <w:lang w:eastAsia="zh-CN"/>
              </w:rPr>
              <w:t>免疫层析法</w:t>
            </w:r>
          </w:p>
        </w:tc>
        <w:tc>
          <w:tcPr>
            <w:tcW w:w="1305" w:type="dxa"/>
            <w:noWrap w:val="0"/>
            <w:vAlign w:val="center"/>
          </w:tcPr>
          <w:p w14:paraId="2745A89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3A53EB8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1995213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49058B4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6BB8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2" w:type="dxa"/>
            <w:vMerge w:val="continue"/>
            <w:noWrap w:val="0"/>
            <w:vAlign w:val="center"/>
          </w:tcPr>
          <w:p w14:paraId="29B5367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167A29D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29357F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54F52473">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恩诺沙星</w:t>
            </w:r>
          </w:p>
        </w:tc>
        <w:tc>
          <w:tcPr>
            <w:tcW w:w="1255" w:type="dxa"/>
            <w:noWrap w:val="0"/>
            <w:vAlign w:val="center"/>
          </w:tcPr>
          <w:p w14:paraId="663EF09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KJ201906</w:t>
            </w:r>
          </w:p>
        </w:tc>
        <w:tc>
          <w:tcPr>
            <w:tcW w:w="2763" w:type="dxa"/>
            <w:noWrap w:val="0"/>
            <w:vAlign w:val="center"/>
          </w:tcPr>
          <w:p w14:paraId="3C297A53">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动物源性食品中喹诺酮</w:t>
            </w:r>
            <w:r>
              <w:rPr>
                <w:rFonts w:hint="eastAsia" w:ascii="CESI仿宋-GB2312" w:hAnsi="CESI仿宋-GB2312" w:eastAsia="CESI仿宋-GB2312" w:cs="CESI仿宋-GB2312"/>
                <w:snapToGrid w:val="0"/>
                <w:color w:val="000000"/>
                <w:spacing w:val="-1"/>
                <w:sz w:val="18"/>
                <w:szCs w:val="18"/>
                <w:lang w:eastAsia="zh-CN"/>
              </w:rPr>
              <w:t>类物质的快速检测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胶体金免疫层析法</w:t>
            </w:r>
          </w:p>
        </w:tc>
        <w:tc>
          <w:tcPr>
            <w:tcW w:w="1305" w:type="dxa"/>
            <w:noWrap w:val="0"/>
            <w:vAlign w:val="center"/>
          </w:tcPr>
          <w:p w14:paraId="503C515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34D188B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2387459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31B7FD8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2833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502" w:type="dxa"/>
            <w:vMerge w:val="continue"/>
            <w:noWrap w:val="0"/>
            <w:vAlign w:val="center"/>
          </w:tcPr>
          <w:p w14:paraId="4146F6F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7DC2491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6D9DD6CE">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5"/>
                <w:sz w:val="18"/>
                <w:szCs w:val="18"/>
              </w:rPr>
              <w:t>猪肉</w:t>
            </w:r>
          </w:p>
        </w:tc>
        <w:tc>
          <w:tcPr>
            <w:tcW w:w="1491" w:type="dxa"/>
            <w:noWrap w:val="0"/>
            <w:vAlign w:val="center"/>
          </w:tcPr>
          <w:p w14:paraId="4F0715B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恩诺沙星</w:t>
            </w:r>
          </w:p>
        </w:tc>
        <w:tc>
          <w:tcPr>
            <w:tcW w:w="1255" w:type="dxa"/>
            <w:noWrap w:val="0"/>
            <w:vAlign w:val="center"/>
          </w:tcPr>
          <w:p w14:paraId="4BC3C07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KJ201906</w:t>
            </w:r>
          </w:p>
        </w:tc>
        <w:tc>
          <w:tcPr>
            <w:tcW w:w="2763" w:type="dxa"/>
            <w:noWrap w:val="0"/>
            <w:vAlign w:val="center"/>
          </w:tcPr>
          <w:p w14:paraId="34801961">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动物源性食品中喹诺酮</w:t>
            </w:r>
            <w:r>
              <w:rPr>
                <w:rFonts w:hint="eastAsia" w:ascii="CESI仿宋-GB2312" w:hAnsi="CESI仿宋-GB2312" w:eastAsia="CESI仿宋-GB2312" w:cs="CESI仿宋-GB2312"/>
                <w:snapToGrid w:val="0"/>
                <w:color w:val="000000"/>
                <w:spacing w:val="-1"/>
                <w:sz w:val="18"/>
                <w:szCs w:val="18"/>
                <w:lang w:eastAsia="zh-CN"/>
              </w:rPr>
              <w:t>类物质的快速检测胶体金免疫层析法</w:t>
            </w:r>
          </w:p>
        </w:tc>
        <w:tc>
          <w:tcPr>
            <w:tcW w:w="1305" w:type="dxa"/>
            <w:noWrap w:val="0"/>
            <w:vAlign w:val="center"/>
          </w:tcPr>
          <w:p w14:paraId="1098180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35F7E83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37C3CD8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3346ECC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4232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502" w:type="dxa"/>
            <w:vMerge w:val="continue"/>
            <w:noWrap w:val="0"/>
            <w:vAlign w:val="center"/>
          </w:tcPr>
          <w:p w14:paraId="20AE88E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textDirection w:val="tbRlV"/>
            <w:vAlign w:val="center"/>
          </w:tcPr>
          <w:p w14:paraId="0663AF0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5FEE7D2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64282947">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2"/>
                <w:sz w:val="18"/>
                <w:szCs w:val="18"/>
              </w:rPr>
              <w:t>甲氧苄啶</w:t>
            </w:r>
          </w:p>
        </w:tc>
        <w:tc>
          <w:tcPr>
            <w:tcW w:w="1255" w:type="dxa"/>
            <w:noWrap w:val="0"/>
            <w:vAlign w:val="center"/>
          </w:tcPr>
          <w:p w14:paraId="00E3F15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KJ202301</w:t>
            </w:r>
          </w:p>
        </w:tc>
        <w:tc>
          <w:tcPr>
            <w:tcW w:w="2763" w:type="dxa"/>
            <w:noWrap w:val="0"/>
            <w:vAlign w:val="center"/>
          </w:tcPr>
          <w:p w14:paraId="2C142625">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动物源性食品中甲氧苄</w:t>
            </w:r>
            <w:r>
              <w:rPr>
                <w:rFonts w:hint="eastAsia" w:ascii="CESI仿宋-GB2312" w:hAnsi="CESI仿宋-GB2312" w:eastAsia="CESI仿宋-GB2312" w:cs="CESI仿宋-GB2312"/>
                <w:snapToGrid w:val="0"/>
                <w:color w:val="000000"/>
                <w:spacing w:val="-2"/>
                <w:sz w:val="18"/>
                <w:szCs w:val="18"/>
                <w:lang w:eastAsia="zh-CN"/>
              </w:rPr>
              <w:t>啶的快速检测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w:t>
            </w:r>
            <w:r>
              <w:rPr>
                <w:rFonts w:hint="eastAsia" w:ascii="CESI仿宋-GB2312" w:hAnsi="CESI仿宋-GB2312" w:eastAsia="CESI仿宋-GB2312" w:cs="CESI仿宋-GB2312"/>
                <w:snapToGrid w:val="0"/>
                <w:color w:val="000000"/>
                <w:spacing w:val="-5"/>
                <w:sz w:val="18"/>
                <w:szCs w:val="18"/>
                <w:lang w:eastAsia="zh-CN"/>
              </w:rPr>
              <w:t>免疫层析法</w:t>
            </w:r>
          </w:p>
        </w:tc>
        <w:tc>
          <w:tcPr>
            <w:tcW w:w="1305" w:type="dxa"/>
            <w:noWrap w:val="0"/>
            <w:vAlign w:val="center"/>
          </w:tcPr>
          <w:p w14:paraId="566C312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5BCEDC0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3E9DA65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229AD5F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4867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253345F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20DB7C3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37050096">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9"/>
                <w:sz w:val="18"/>
                <w:szCs w:val="18"/>
              </w:rPr>
              <w:t>牛肉</w:t>
            </w:r>
          </w:p>
        </w:tc>
        <w:tc>
          <w:tcPr>
            <w:tcW w:w="1491" w:type="dxa"/>
            <w:noWrap w:val="0"/>
            <w:vAlign w:val="center"/>
          </w:tcPr>
          <w:p w14:paraId="0488E0AC">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5"/>
                <w:sz w:val="18"/>
                <w:szCs w:val="18"/>
              </w:rPr>
              <w:t>克伦特罗</w:t>
            </w:r>
          </w:p>
        </w:tc>
        <w:tc>
          <w:tcPr>
            <w:tcW w:w="1255" w:type="dxa"/>
            <w:noWrap w:val="0"/>
            <w:vAlign w:val="center"/>
          </w:tcPr>
          <w:p w14:paraId="40C1CF8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KJ201706</w:t>
            </w:r>
          </w:p>
        </w:tc>
        <w:tc>
          <w:tcPr>
            <w:tcW w:w="2763" w:type="dxa"/>
            <w:noWrap w:val="0"/>
            <w:vAlign w:val="center"/>
          </w:tcPr>
          <w:p w14:paraId="030F19E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动物源性食品中克伦特罗、莱克多巴胺及沙丁</w:t>
            </w:r>
            <w:r>
              <w:rPr>
                <w:rFonts w:hint="eastAsia" w:ascii="CESI仿宋-GB2312" w:hAnsi="CESI仿宋-GB2312" w:eastAsia="CESI仿宋-GB2312" w:cs="CESI仿宋-GB2312"/>
                <w:snapToGrid w:val="0"/>
                <w:color w:val="000000"/>
                <w:spacing w:val="-1"/>
                <w:sz w:val="18"/>
                <w:szCs w:val="18"/>
                <w:lang w:eastAsia="zh-CN"/>
              </w:rPr>
              <w:t>胺醇的快速检测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w:t>
            </w:r>
            <w:r>
              <w:rPr>
                <w:rFonts w:hint="eastAsia" w:ascii="CESI仿宋-GB2312" w:hAnsi="CESI仿宋-GB2312" w:eastAsia="CESI仿宋-GB2312" w:cs="CESI仿宋-GB2312"/>
                <w:snapToGrid w:val="0"/>
                <w:color w:val="000000"/>
                <w:spacing w:val="-2"/>
                <w:sz w:val="18"/>
                <w:szCs w:val="18"/>
                <w:lang w:eastAsia="zh-CN"/>
              </w:rPr>
              <w:t>金免疫层析法</w:t>
            </w:r>
          </w:p>
        </w:tc>
        <w:tc>
          <w:tcPr>
            <w:tcW w:w="1305" w:type="dxa"/>
            <w:noWrap w:val="0"/>
            <w:vAlign w:val="center"/>
          </w:tcPr>
          <w:p w14:paraId="6BCB807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54D9F82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726DDA9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7C83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3CCDB2C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14595E6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5D9ADEB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4B4B4B35">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恩诺沙星</w:t>
            </w:r>
          </w:p>
        </w:tc>
        <w:tc>
          <w:tcPr>
            <w:tcW w:w="1255" w:type="dxa"/>
            <w:noWrap w:val="0"/>
            <w:vAlign w:val="center"/>
          </w:tcPr>
          <w:p w14:paraId="64D5B02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KJ201906</w:t>
            </w:r>
          </w:p>
        </w:tc>
        <w:tc>
          <w:tcPr>
            <w:tcW w:w="2763" w:type="dxa"/>
            <w:noWrap w:val="0"/>
            <w:vAlign w:val="center"/>
          </w:tcPr>
          <w:p w14:paraId="235B21ED">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动物源性食品中喹诺酮</w:t>
            </w:r>
            <w:r>
              <w:rPr>
                <w:rFonts w:hint="eastAsia" w:ascii="CESI仿宋-GB2312" w:hAnsi="CESI仿宋-GB2312" w:eastAsia="CESI仿宋-GB2312" w:cs="CESI仿宋-GB2312"/>
                <w:snapToGrid w:val="0"/>
                <w:color w:val="000000"/>
                <w:spacing w:val="-1"/>
                <w:sz w:val="18"/>
                <w:szCs w:val="18"/>
                <w:lang w:eastAsia="zh-CN"/>
              </w:rPr>
              <w:t>类物质的快速检测胶体金免疫层析法</w:t>
            </w:r>
          </w:p>
        </w:tc>
        <w:tc>
          <w:tcPr>
            <w:tcW w:w="1305" w:type="dxa"/>
            <w:noWrap w:val="0"/>
            <w:vAlign w:val="center"/>
          </w:tcPr>
          <w:p w14:paraId="317938A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065A97C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5E47148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5B50F03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4D5D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1C3D1F2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460A9A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restart"/>
            <w:noWrap w:val="0"/>
            <w:vAlign w:val="center"/>
          </w:tcPr>
          <w:p w14:paraId="7B99210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eastAsia="zh-CN"/>
              </w:rPr>
              <w:t>羊</w:t>
            </w:r>
            <w:r>
              <w:rPr>
                <w:rFonts w:hint="eastAsia" w:ascii="CESI仿宋-GB2312" w:hAnsi="CESI仿宋-GB2312" w:eastAsia="CESI仿宋-GB2312" w:cs="CESI仿宋-GB2312"/>
                <w:snapToGrid w:val="0"/>
                <w:color w:val="000000"/>
                <w:spacing w:val="-9"/>
                <w:kern w:val="2"/>
                <w:sz w:val="18"/>
                <w:szCs w:val="18"/>
                <w:lang w:val="en-US" w:eastAsia="zh-CN" w:bidi="ar-SA"/>
              </w:rPr>
              <w:t>肉</w:t>
            </w:r>
          </w:p>
        </w:tc>
        <w:tc>
          <w:tcPr>
            <w:tcW w:w="1491" w:type="dxa"/>
            <w:noWrap w:val="0"/>
            <w:vAlign w:val="center"/>
          </w:tcPr>
          <w:p w14:paraId="6433C421">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rPr>
            </w:pPr>
            <w:r>
              <w:rPr>
                <w:rFonts w:hint="eastAsia" w:ascii="CESI仿宋-GB2312" w:hAnsi="CESI仿宋-GB2312" w:eastAsia="CESI仿宋-GB2312" w:cs="CESI仿宋-GB2312"/>
                <w:snapToGrid w:val="0"/>
                <w:color w:val="000000"/>
                <w:spacing w:val="-6"/>
                <w:sz w:val="18"/>
                <w:szCs w:val="18"/>
                <w:lang w:val="en-US" w:eastAsia="zh-CN"/>
              </w:rPr>
              <w:t>克伦特罗</w:t>
            </w:r>
          </w:p>
        </w:tc>
        <w:tc>
          <w:tcPr>
            <w:tcW w:w="1255" w:type="dxa"/>
            <w:noWrap w:val="0"/>
            <w:vAlign w:val="center"/>
          </w:tcPr>
          <w:p w14:paraId="767DD562">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pacing w:val="-1"/>
                <w:sz w:val="18"/>
                <w:szCs w:val="18"/>
              </w:rPr>
              <w:t>KJ201706</w:t>
            </w:r>
          </w:p>
        </w:tc>
        <w:tc>
          <w:tcPr>
            <w:tcW w:w="2763" w:type="dxa"/>
            <w:noWrap w:val="0"/>
            <w:vAlign w:val="center"/>
          </w:tcPr>
          <w:p w14:paraId="04BD35AA">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kern w:val="2"/>
                <w:sz w:val="18"/>
                <w:szCs w:val="18"/>
                <w:lang w:val="en-US" w:eastAsia="zh-CN" w:bidi="ar-SA"/>
              </w:rPr>
            </w:pPr>
            <w:r>
              <w:rPr>
                <w:rFonts w:hint="eastAsia" w:ascii="CESI仿宋-GB2312" w:hAnsi="CESI仿宋-GB2312" w:eastAsia="CESI仿宋-GB2312" w:cs="CESI仿宋-GB2312"/>
                <w:snapToGrid w:val="0"/>
                <w:color w:val="000000"/>
                <w:spacing w:val="-3"/>
                <w:sz w:val="18"/>
                <w:szCs w:val="18"/>
                <w:lang w:eastAsia="zh-CN"/>
              </w:rPr>
              <w:t>动物源性食品中克伦特罗、莱克多巴胺及沙丁</w:t>
            </w:r>
            <w:r>
              <w:rPr>
                <w:rFonts w:hint="eastAsia" w:ascii="CESI仿宋-GB2312" w:hAnsi="CESI仿宋-GB2312" w:eastAsia="CESI仿宋-GB2312" w:cs="CESI仿宋-GB2312"/>
                <w:snapToGrid w:val="0"/>
                <w:color w:val="000000"/>
                <w:spacing w:val="-1"/>
                <w:sz w:val="18"/>
                <w:szCs w:val="18"/>
                <w:lang w:eastAsia="zh-CN"/>
              </w:rPr>
              <w:t>胺醇的快速检测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w:t>
            </w:r>
            <w:r>
              <w:rPr>
                <w:rFonts w:hint="eastAsia" w:ascii="CESI仿宋-GB2312" w:hAnsi="CESI仿宋-GB2312" w:eastAsia="CESI仿宋-GB2312" w:cs="CESI仿宋-GB2312"/>
                <w:snapToGrid w:val="0"/>
                <w:color w:val="000000"/>
                <w:spacing w:val="-2"/>
                <w:sz w:val="18"/>
                <w:szCs w:val="18"/>
                <w:lang w:eastAsia="zh-CN"/>
              </w:rPr>
              <w:t>金免疫层析法</w:t>
            </w:r>
          </w:p>
        </w:tc>
        <w:tc>
          <w:tcPr>
            <w:tcW w:w="1305" w:type="dxa"/>
            <w:noWrap w:val="0"/>
            <w:vAlign w:val="center"/>
          </w:tcPr>
          <w:p w14:paraId="1E5FA2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42F6366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F77F1F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A</w:t>
            </w:r>
          </w:p>
        </w:tc>
      </w:tr>
      <w:tr w14:paraId="0C11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502" w:type="dxa"/>
            <w:vMerge w:val="continue"/>
            <w:noWrap w:val="0"/>
            <w:vAlign w:val="center"/>
          </w:tcPr>
          <w:p w14:paraId="63F40A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42EDEE0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528967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1491" w:type="dxa"/>
            <w:noWrap w:val="0"/>
            <w:vAlign w:val="center"/>
          </w:tcPr>
          <w:p w14:paraId="268F1BA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rPr>
            </w:pPr>
            <w:r>
              <w:rPr>
                <w:rFonts w:hint="eastAsia" w:ascii="CESI仿宋-GB2312" w:hAnsi="CESI仿宋-GB2312" w:eastAsia="CESI仿宋-GB2312" w:cs="CESI仿宋-GB2312"/>
                <w:snapToGrid w:val="0"/>
                <w:color w:val="000000"/>
                <w:spacing w:val="-6"/>
                <w:sz w:val="18"/>
                <w:szCs w:val="18"/>
                <w:lang w:val="en-US" w:eastAsia="zh-CN"/>
              </w:rPr>
              <w:t>磺胺类(总量)</w:t>
            </w:r>
          </w:p>
        </w:tc>
        <w:tc>
          <w:tcPr>
            <w:tcW w:w="1255" w:type="dxa"/>
            <w:noWrap w:val="0"/>
            <w:vAlign w:val="center"/>
          </w:tcPr>
          <w:p w14:paraId="654AD4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1"/>
                <w:sz w:val="18"/>
                <w:szCs w:val="18"/>
                <w:lang w:val="en-US" w:eastAsia="zh-CN"/>
              </w:rPr>
            </w:pPr>
            <w:r>
              <w:rPr>
                <w:rFonts w:hint="eastAsia" w:ascii="CESI仿宋-GB2312" w:hAnsi="CESI仿宋-GB2312" w:eastAsia="CESI仿宋-GB2312" w:cs="CESI仿宋-GB2312"/>
                <w:snapToGrid w:val="0"/>
                <w:color w:val="000000"/>
                <w:spacing w:val="-1"/>
                <w:sz w:val="18"/>
                <w:szCs w:val="18"/>
                <w:lang w:val="en-US" w:eastAsia="zh-CN"/>
              </w:rPr>
              <w:t>/</w:t>
            </w:r>
          </w:p>
        </w:tc>
        <w:tc>
          <w:tcPr>
            <w:tcW w:w="2763" w:type="dxa"/>
            <w:noWrap w:val="0"/>
            <w:vAlign w:val="center"/>
          </w:tcPr>
          <w:p w14:paraId="0B1CDEDF">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3"/>
                <w:sz w:val="18"/>
                <w:szCs w:val="18"/>
                <w:lang w:eastAsia="zh-CN"/>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1D63E37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6577468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064FE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78A8670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B</w:t>
            </w:r>
          </w:p>
        </w:tc>
      </w:tr>
      <w:tr w14:paraId="4F93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11E1902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374B5EA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7CED24E3">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5"/>
                <w:sz w:val="18"/>
                <w:szCs w:val="18"/>
              </w:rPr>
              <w:t>猪肝</w:t>
            </w:r>
          </w:p>
        </w:tc>
        <w:tc>
          <w:tcPr>
            <w:tcW w:w="1491" w:type="dxa"/>
            <w:noWrap w:val="0"/>
            <w:vAlign w:val="center"/>
          </w:tcPr>
          <w:p w14:paraId="4DB3C0C6">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2"/>
                <w:sz w:val="18"/>
                <w:szCs w:val="18"/>
              </w:rPr>
              <w:t>甲氧苄啶</w:t>
            </w:r>
          </w:p>
        </w:tc>
        <w:tc>
          <w:tcPr>
            <w:tcW w:w="1255" w:type="dxa"/>
            <w:noWrap w:val="0"/>
            <w:vAlign w:val="center"/>
          </w:tcPr>
          <w:p w14:paraId="2D73AA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KJ202301</w:t>
            </w:r>
          </w:p>
        </w:tc>
        <w:tc>
          <w:tcPr>
            <w:tcW w:w="2763" w:type="dxa"/>
            <w:noWrap w:val="0"/>
            <w:vAlign w:val="center"/>
          </w:tcPr>
          <w:p w14:paraId="14763464">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动物源性食品中甲氧苄</w:t>
            </w:r>
            <w:r>
              <w:rPr>
                <w:rFonts w:hint="eastAsia" w:ascii="CESI仿宋-GB2312" w:hAnsi="CESI仿宋-GB2312" w:eastAsia="CESI仿宋-GB2312" w:cs="CESI仿宋-GB2312"/>
                <w:snapToGrid w:val="0"/>
                <w:color w:val="000000"/>
                <w:spacing w:val="-2"/>
                <w:sz w:val="18"/>
                <w:szCs w:val="18"/>
                <w:lang w:eastAsia="zh-CN"/>
              </w:rPr>
              <w:t>啶的快速检测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w:t>
            </w:r>
            <w:r>
              <w:rPr>
                <w:rFonts w:hint="eastAsia" w:ascii="CESI仿宋-GB2312" w:hAnsi="CESI仿宋-GB2312" w:eastAsia="CESI仿宋-GB2312" w:cs="CESI仿宋-GB2312"/>
                <w:snapToGrid w:val="0"/>
                <w:color w:val="000000"/>
                <w:spacing w:val="-5"/>
                <w:sz w:val="18"/>
                <w:szCs w:val="18"/>
                <w:lang w:eastAsia="zh-CN"/>
              </w:rPr>
              <w:t>免疫层析法</w:t>
            </w:r>
          </w:p>
        </w:tc>
        <w:tc>
          <w:tcPr>
            <w:tcW w:w="1305" w:type="dxa"/>
            <w:noWrap w:val="0"/>
            <w:vAlign w:val="center"/>
          </w:tcPr>
          <w:p w14:paraId="5D8CDFD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59B6F5A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4364068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C67563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7C98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1EE0801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5845AEB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noWrap w:val="0"/>
            <w:vAlign w:val="center"/>
          </w:tcPr>
          <w:p w14:paraId="1CBE3EE1">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0"/>
                <w:sz w:val="18"/>
                <w:szCs w:val="18"/>
              </w:rPr>
              <w:t>鸭肉</w:t>
            </w:r>
          </w:p>
        </w:tc>
        <w:tc>
          <w:tcPr>
            <w:tcW w:w="1491" w:type="dxa"/>
            <w:noWrap w:val="0"/>
            <w:vAlign w:val="center"/>
          </w:tcPr>
          <w:p w14:paraId="4C803008">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恩诺沙星</w:t>
            </w:r>
          </w:p>
        </w:tc>
        <w:tc>
          <w:tcPr>
            <w:tcW w:w="1255" w:type="dxa"/>
            <w:noWrap w:val="0"/>
            <w:vAlign w:val="center"/>
          </w:tcPr>
          <w:p w14:paraId="797D05D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KJ201906</w:t>
            </w:r>
          </w:p>
        </w:tc>
        <w:tc>
          <w:tcPr>
            <w:tcW w:w="2763" w:type="dxa"/>
            <w:noWrap w:val="0"/>
            <w:vAlign w:val="center"/>
          </w:tcPr>
          <w:p w14:paraId="3B7D1F9D">
            <w:pPr>
              <w:pStyle w:val="13"/>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动物源性食品中喹诺酮</w:t>
            </w:r>
            <w:r>
              <w:rPr>
                <w:rFonts w:hint="eastAsia" w:ascii="CESI仿宋-GB2312" w:hAnsi="CESI仿宋-GB2312" w:eastAsia="CESI仿宋-GB2312" w:cs="CESI仿宋-GB2312"/>
                <w:snapToGrid w:val="0"/>
                <w:color w:val="000000"/>
                <w:spacing w:val="-1"/>
                <w:sz w:val="18"/>
                <w:szCs w:val="18"/>
                <w:lang w:eastAsia="zh-CN"/>
              </w:rPr>
              <w:t>类物质的快速检测胶体金免疫层析法</w:t>
            </w:r>
          </w:p>
        </w:tc>
        <w:tc>
          <w:tcPr>
            <w:tcW w:w="1305" w:type="dxa"/>
            <w:noWrap w:val="0"/>
            <w:vAlign w:val="center"/>
          </w:tcPr>
          <w:p w14:paraId="6770F8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50C3BBE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2BAC66A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56E7A89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310A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restart"/>
            <w:noWrap w:val="0"/>
            <w:vAlign w:val="center"/>
          </w:tcPr>
          <w:p w14:paraId="020F0BA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4</w:t>
            </w:r>
          </w:p>
        </w:tc>
        <w:tc>
          <w:tcPr>
            <w:tcW w:w="585" w:type="dxa"/>
            <w:vMerge w:val="restart"/>
            <w:noWrap w:val="0"/>
            <w:vAlign w:val="center"/>
          </w:tcPr>
          <w:p w14:paraId="3AB5350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水产品</w:t>
            </w:r>
          </w:p>
        </w:tc>
        <w:tc>
          <w:tcPr>
            <w:tcW w:w="941" w:type="dxa"/>
            <w:vMerge w:val="restart"/>
            <w:noWrap w:val="0"/>
            <w:vAlign w:val="center"/>
          </w:tcPr>
          <w:p w14:paraId="1048520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9"/>
                <w:sz w:val="18"/>
                <w:szCs w:val="18"/>
              </w:rPr>
              <w:t>淡水鱼</w:t>
            </w:r>
          </w:p>
        </w:tc>
        <w:tc>
          <w:tcPr>
            <w:tcW w:w="1491" w:type="dxa"/>
            <w:noWrap w:val="0"/>
            <w:vAlign w:val="center"/>
          </w:tcPr>
          <w:p w14:paraId="715B6855">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lang w:eastAsia="zh-CN"/>
              </w:rPr>
              <w:t>恩诺沙星</w:t>
            </w:r>
          </w:p>
        </w:tc>
        <w:tc>
          <w:tcPr>
            <w:tcW w:w="1255" w:type="dxa"/>
            <w:noWrap w:val="0"/>
            <w:vAlign w:val="center"/>
          </w:tcPr>
          <w:p w14:paraId="1A17275D">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lang w:eastAsia="zh-CN"/>
              </w:rPr>
              <w:t>参照</w:t>
            </w:r>
            <w:r>
              <w:rPr>
                <w:rFonts w:hint="eastAsia" w:ascii="CESI仿宋-GB2312" w:hAnsi="CESI仿宋-GB2312" w:eastAsia="CESI仿宋-GB2312" w:cs="CESI仿宋-GB2312"/>
                <w:snapToGrid w:val="0"/>
                <w:color w:val="000000"/>
                <w:spacing w:val="-1"/>
                <w:sz w:val="18"/>
                <w:szCs w:val="18"/>
              </w:rPr>
              <w:t>KJ201906</w:t>
            </w:r>
          </w:p>
        </w:tc>
        <w:tc>
          <w:tcPr>
            <w:tcW w:w="2763" w:type="dxa"/>
            <w:noWrap w:val="0"/>
            <w:vAlign w:val="center"/>
          </w:tcPr>
          <w:p w14:paraId="407A4D9A">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动物源性食品中喹诺酮</w:t>
            </w:r>
            <w:r>
              <w:rPr>
                <w:rFonts w:hint="eastAsia" w:ascii="CESI仿宋-GB2312" w:hAnsi="CESI仿宋-GB2312" w:eastAsia="CESI仿宋-GB2312" w:cs="CESI仿宋-GB2312"/>
                <w:snapToGrid w:val="0"/>
                <w:color w:val="000000"/>
                <w:spacing w:val="-1"/>
                <w:sz w:val="18"/>
                <w:szCs w:val="18"/>
                <w:lang w:eastAsia="zh-CN"/>
              </w:rPr>
              <w:t>类物质的快速检测胶体金免疫层析法</w:t>
            </w:r>
          </w:p>
        </w:tc>
        <w:tc>
          <w:tcPr>
            <w:tcW w:w="1305" w:type="dxa"/>
            <w:noWrap w:val="0"/>
            <w:vAlign w:val="center"/>
          </w:tcPr>
          <w:p w14:paraId="30DBC7F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42831E8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1419FA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132D5AF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0A73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6D6306E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textDirection w:val="tbRlV"/>
            <w:vAlign w:val="top"/>
          </w:tcPr>
          <w:p w14:paraId="1EC9440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continue"/>
            <w:noWrap w:val="0"/>
            <w:vAlign w:val="center"/>
          </w:tcPr>
          <w:p w14:paraId="5C768E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3BF0A2F8">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3"/>
                <w:sz w:val="18"/>
                <w:szCs w:val="18"/>
              </w:rPr>
              <w:t>地西泮</w:t>
            </w:r>
          </w:p>
        </w:tc>
        <w:tc>
          <w:tcPr>
            <w:tcW w:w="1255" w:type="dxa"/>
            <w:noWrap w:val="0"/>
            <w:vAlign w:val="center"/>
          </w:tcPr>
          <w:p w14:paraId="6A87CC5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KJ202105</w:t>
            </w:r>
          </w:p>
        </w:tc>
        <w:tc>
          <w:tcPr>
            <w:tcW w:w="2763" w:type="dxa"/>
            <w:noWrap w:val="0"/>
            <w:vAlign w:val="center"/>
          </w:tcPr>
          <w:p w14:paraId="3361B97E">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水产品中地西泮残留的快速检测 胶体金免疫层析法</w:t>
            </w:r>
          </w:p>
        </w:tc>
        <w:tc>
          <w:tcPr>
            <w:tcW w:w="1305" w:type="dxa"/>
            <w:noWrap w:val="0"/>
            <w:vAlign w:val="center"/>
          </w:tcPr>
          <w:p w14:paraId="383DEFA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257BBC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358F81D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2ED2ACF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0221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7876C0E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textDirection w:val="tbRlV"/>
            <w:vAlign w:val="top"/>
          </w:tcPr>
          <w:p w14:paraId="1966382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continue"/>
            <w:noWrap w:val="0"/>
            <w:vAlign w:val="center"/>
          </w:tcPr>
          <w:p w14:paraId="001A387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0EA390EB">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4"/>
                <w:sz w:val="18"/>
                <w:szCs w:val="18"/>
              </w:rPr>
              <w:t>孔雀石绿</w:t>
            </w:r>
          </w:p>
        </w:tc>
        <w:tc>
          <w:tcPr>
            <w:tcW w:w="1255" w:type="dxa"/>
            <w:noWrap w:val="0"/>
            <w:vAlign w:val="center"/>
          </w:tcPr>
          <w:p w14:paraId="4C91DB1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KJ201701</w:t>
            </w:r>
          </w:p>
        </w:tc>
        <w:tc>
          <w:tcPr>
            <w:tcW w:w="2763" w:type="dxa"/>
            <w:noWrap w:val="0"/>
            <w:vAlign w:val="center"/>
          </w:tcPr>
          <w:p w14:paraId="5995153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水产品中孔雀石绿的快速检测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胶体金免疫层</w:t>
            </w:r>
            <w:r>
              <w:rPr>
                <w:rFonts w:hint="eastAsia" w:ascii="CESI仿宋-GB2312" w:hAnsi="CESI仿宋-GB2312" w:eastAsia="CESI仿宋-GB2312" w:cs="CESI仿宋-GB2312"/>
                <w:snapToGrid w:val="0"/>
                <w:color w:val="000000"/>
                <w:spacing w:val="-8"/>
                <w:sz w:val="18"/>
                <w:szCs w:val="18"/>
                <w:lang w:eastAsia="zh-CN"/>
              </w:rPr>
              <w:t>析法</w:t>
            </w:r>
          </w:p>
        </w:tc>
        <w:tc>
          <w:tcPr>
            <w:tcW w:w="1305" w:type="dxa"/>
            <w:noWrap w:val="0"/>
            <w:vAlign w:val="center"/>
          </w:tcPr>
          <w:p w14:paraId="2D4357A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6E9C5C0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72A8549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6065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4F008F1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textDirection w:val="tbRlV"/>
            <w:vAlign w:val="top"/>
          </w:tcPr>
          <w:p w14:paraId="656417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continue"/>
            <w:noWrap w:val="0"/>
            <w:vAlign w:val="center"/>
          </w:tcPr>
          <w:p w14:paraId="2B021BC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729E0C84">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8"/>
                <w:sz w:val="18"/>
                <w:szCs w:val="18"/>
              </w:rPr>
              <w:t>呋喃唑酮</w:t>
            </w:r>
            <w:r>
              <w:rPr>
                <w:rFonts w:hint="eastAsia" w:ascii="CESI仿宋-GB2312" w:hAnsi="CESI仿宋-GB2312" w:eastAsia="CESI仿宋-GB2312" w:cs="CESI仿宋-GB2312"/>
                <w:snapToGrid w:val="0"/>
                <w:color w:val="000000"/>
                <w:spacing w:val="-3"/>
                <w:sz w:val="18"/>
                <w:szCs w:val="18"/>
              </w:rPr>
              <w:t>代谢物</w:t>
            </w:r>
          </w:p>
        </w:tc>
        <w:tc>
          <w:tcPr>
            <w:tcW w:w="1255" w:type="dxa"/>
            <w:noWrap w:val="0"/>
            <w:vAlign w:val="center"/>
          </w:tcPr>
          <w:p w14:paraId="2864EBC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KJ201705</w:t>
            </w:r>
          </w:p>
        </w:tc>
        <w:tc>
          <w:tcPr>
            <w:tcW w:w="2763" w:type="dxa"/>
            <w:noWrap w:val="0"/>
            <w:vAlign w:val="center"/>
          </w:tcPr>
          <w:p w14:paraId="6B9AB071">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水产品中硝基呋喃类代</w:t>
            </w:r>
            <w:r>
              <w:rPr>
                <w:rFonts w:hint="eastAsia" w:ascii="CESI仿宋-GB2312" w:hAnsi="CESI仿宋-GB2312" w:eastAsia="CESI仿宋-GB2312" w:cs="CESI仿宋-GB2312"/>
                <w:snapToGrid w:val="0"/>
                <w:color w:val="000000"/>
                <w:spacing w:val="-2"/>
                <w:sz w:val="18"/>
                <w:szCs w:val="18"/>
                <w:lang w:eastAsia="zh-CN"/>
              </w:rPr>
              <w:t>谢物的快速检测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胶体金免疫层析法</w:t>
            </w:r>
          </w:p>
        </w:tc>
        <w:tc>
          <w:tcPr>
            <w:tcW w:w="1305" w:type="dxa"/>
            <w:noWrap w:val="0"/>
            <w:vAlign w:val="center"/>
          </w:tcPr>
          <w:p w14:paraId="3035B47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38DB61D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1F0C74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05FF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60C1609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textDirection w:val="tbRlV"/>
            <w:vAlign w:val="top"/>
          </w:tcPr>
          <w:p w14:paraId="4BCA282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restart"/>
            <w:noWrap w:val="0"/>
            <w:vAlign w:val="center"/>
          </w:tcPr>
          <w:p w14:paraId="73156C55">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9"/>
                <w:sz w:val="18"/>
                <w:szCs w:val="18"/>
              </w:rPr>
              <w:t>牛蛙</w:t>
            </w:r>
          </w:p>
        </w:tc>
        <w:tc>
          <w:tcPr>
            <w:tcW w:w="1491" w:type="dxa"/>
            <w:noWrap w:val="0"/>
            <w:vAlign w:val="center"/>
          </w:tcPr>
          <w:p w14:paraId="59BE2A45">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lang w:eastAsia="zh-CN"/>
              </w:rPr>
              <w:t>恩诺沙星</w:t>
            </w:r>
          </w:p>
        </w:tc>
        <w:tc>
          <w:tcPr>
            <w:tcW w:w="1255" w:type="dxa"/>
            <w:noWrap w:val="0"/>
            <w:vAlign w:val="center"/>
          </w:tcPr>
          <w:p w14:paraId="58E2E2B0">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lang w:eastAsia="zh-CN"/>
              </w:rPr>
              <w:t>参照</w:t>
            </w:r>
            <w:r>
              <w:rPr>
                <w:rFonts w:hint="eastAsia" w:ascii="CESI仿宋-GB2312" w:hAnsi="CESI仿宋-GB2312" w:eastAsia="CESI仿宋-GB2312" w:cs="CESI仿宋-GB2312"/>
                <w:snapToGrid w:val="0"/>
                <w:color w:val="000000"/>
                <w:spacing w:val="-1"/>
                <w:sz w:val="18"/>
                <w:szCs w:val="18"/>
              </w:rPr>
              <w:t>KJ201906</w:t>
            </w:r>
          </w:p>
        </w:tc>
        <w:tc>
          <w:tcPr>
            <w:tcW w:w="2763" w:type="dxa"/>
            <w:noWrap w:val="0"/>
            <w:vAlign w:val="center"/>
          </w:tcPr>
          <w:p w14:paraId="3F2C6AD5">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动物源性食品中喹诺酮</w:t>
            </w:r>
            <w:r>
              <w:rPr>
                <w:rFonts w:hint="eastAsia" w:ascii="CESI仿宋-GB2312" w:hAnsi="CESI仿宋-GB2312" w:eastAsia="CESI仿宋-GB2312" w:cs="CESI仿宋-GB2312"/>
                <w:snapToGrid w:val="0"/>
                <w:color w:val="000000"/>
                <w:spacing w:val="-1"/>
                <w:sz w:val="18"/>
                <w:szCs w:val="18"/>
                <w:lang w:eastAsia="zh-CN"/>
              </w:rPr>
              <w:t>类物质的快速检测胶体金免疫层析法</w:t>
            </w:r>
          </w:p>
        </w:tc>
        <w:tc>
          <w:tcPr>
            <w:tcW w:w="1305" w:type="dxa"/>
            <w:noWrap w:val="0"/>
            <w:vAlign w:val="center"/>
          </w:tcPr>
          <w:p w14:paraId="2D50A5A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1625D17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02C0A6A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EE8629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0FC5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2A13DF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textDirection w:val="tbRlV"/>
            <w:vAlign w:val="top"/>
          </w:tcPr>
          <w:p w14:paraId="28C6756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continue"/>
            <w:noWrap w:val="0"/>
            <w:vAlign w:val="center"/>
          </w:tcPr>
          <w:p w14:paraId="54E7B6D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0377B71A">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8"/>
                <w:sz w:val="18"/>
                <w:szCs w:val="18"/>
              </w:rPr>
              <w:t>呋喃唑酮</w:t>
            </w:r>
            <w:r>
              <w:rPr>
                <w:rFonts w:hint="eastAsia" w:ascii="CESI仿宋-GB2312" w:hAnsi="CESI仿宋-GB2312" w:eastAsia="CESI仿宋-GB2312" w:cs="CESI仿宋-GB2312"/>
                <w:snapToGrid w:val="0"/>
                <w:color w:val="000000"/>
                <w:spacing w:val="-3"/>
                <w:sz w:val="18"/>
                <w:szCs w:val="18"/>
              </w:rPr>
              <w:t>代谢物</w:t>
            </w:r>
          </w:p>
        </w:tc>
        <w:tc>
          <w:tcPr>
            <w:tcW w:w="1255" w:type="dxa"/>
            <w:noWrap w:val="0"/>
            <w:vAlign w:val="center"/>
          </w:tcPr>
          <w:p w14:paraId="77E56B9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KJ201705</w:t>
            </w:r>
          </w:p>
        </w:tc>
        <w:tc>
          <w:tcPr>
            <w:tcW w:w="2763" w:type="dxa"/>
            <w:noWrap w:val="0"/>
            <w:vAlign w:val="center"/>
          </w:tcPr>
          <w:p w14:paraId="2A8F20BA">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水产品中硝基呋喃类代</w:t>
            </w:r>
            <w:r>
              <w:rPr>
                <w:rFonts w:hint="eastAsia" w:ascii="CESI仿宋-GB2312" w:hAnsi="CESI仿宋-GB2312" w:eastAsia="CESI仿宋-GB2312" w:cs="CESI仿宋-GB2312"/>
                <w:snapToGrid w:val="0"/>
                <w:color w:val="000000"/>
                <w:spacing w:val="-2"/>
                <w:sz w:val="18"/>
                <w:szCs w:val="18"/>
                <w:lang w:eastAsia="zh-CN"/>
              </w:rPr>
              <w:t>谢物的快速检测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胶体金免疫层析法</w:t>
            </w:r>
          </w:p>
        </w:tc>
        <w:tc>
          <w:tcPr>
            <w:tcW w:w="1305" w:type="dxa"/>
            <w:noWrap w:val="0"/>
            <w:vAlign w:val="center"/>
          </w:tcPr>
          <w:p w14:paraId="2EFF391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19CEC6A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05A6E53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5FD0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44494CA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lang w:eastAsia="zh-CN"/>
              </w:rPr>
            </w:pPr>
          </w:p>
        </w:tc>
        <w:tc>
          <w:tcPr>
            <w:tcW w:w="585" w:type="dxa"/>
            <w:vMerge w:val="continue"/>
            <w:noWrap w:val="0"/>
            <w:vAlign w:val="top"/>
          </w:tcPr>
          <w:p w14:paraId="3CFBDBE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lang w:eastAsia="zh-CN"/>
              </w:rPr>
            </w:pPr>
          </w:p>
        </w:tc>
        <w:tc>
          <w:tcPr>
            <w:tcW w:w="941" w:type="dxa"/>
            <w:vMerge w:val="continue"/>
            <w:noWrap w:val="0"/>
            <w:vAlign w:val="center"/>
          </w:tcPr>
          <w:p w14:paraId="402261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1491" w:type="dxa"/>
            <w:noWrap w:val="0"/>
            <w:vAlign w:val="center"/>
          </w:tcPr>
          <w:p w14:paraId="497D3C7B">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8"/>
                <w:sz w:val="18"/>
                <w:szCs w:val="18"/>
              </w:rPr>
              <w:t>呋喃西林</w:t>
            </w:r>
            <w:r>
              <w:rPr>
                <w:rFonts w:hint="eastAsia" w:ascii="CESI仿宋-GB2312" w:hAnsi="CESI仿宋-GB2312" w:eastAsia="CESI仿宋-GB2312" w:cs="CESI仿宋-GB2312"/>
                <w:snapToGrid w:val="0"/>
                <w:color w:val="000000"/>
                <w:spacing w:val="-3"/>
                <w:sz w:val="18"/>
                <w:szCs w:val="18"/>
              </w:rPr>
              <w:t>代谢物</w:t>
            </w:r>
          </w:p>
        </w:tc>
        <w:tc>
          <w:tcPr>
            <w:tcW w:w="1255" w:type="dxa"/>
            <w:noWrap w:val="0"/>
            <w:vAlign w:val="center"/>
          </w:tcPr>
          <w:p w14:paraId="46A1CCF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KJ201705</w:t>
            </w:r>
          </w:p>
        </w:tc>
        <w:tc>
          <w:tcPr>
            <w:tcW w:w="2763" w:type="dxa"/>
            <w:noWrap w:val="0"/>
            <w:vAlign w:val="center"/>
          </w:tcPr>
          <w:p w14:paraId="30CD45C6">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水产品中硝基呋喃类代</w:t>
            </w:r>
            <w:r>
              <w:rPr>
                <w:rFonts w:hint="eastAsia" w:ascii="CESI仿宋-GB2312" w:hAnsi="CESI仿宋-GB2312" w:eastAsia="CESI仿宋-GB2312" w:cs="CESI仿宋-GB2312"/>
                <w:snapToGrid w:val="0"/>
                <w:color w:val="000000"/>
                <w:spacing w:val="-2"/>
                <w:sz w:val="18"/>
                <w:szCs w:val="18"/>
                <w:lang w:eastAsia="zh-CN"/>
              </w:rPr>
              <w:t>谢物的快速检测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胶体金免疫层析法</w:t>
            </w:r>
          </w:p>
        </w:tc>
        <w:tc>
          <w:tcPr>
            <w:tcW w:w="1305" w:type="dxa"/>
            <w:noWrap w:val="0"/>
            <w:vAlign w:val="center"/>
          </w:tcPr>
          <w:p w14:paraId="0C4B75A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332BE21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56A160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2F7C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617B898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vAlign w:val="top"/>
          </w:tcPr>
          <w:p w14:paraId="09F78D3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continue"/>
            <w:noWrap w:val="0"/>
            <w:vAlign w:val="center"/>
          </w:tcPr>
          <w:p w14:paraId="321819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1DB8D529">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氯霉素</w:t>
            </w:r>
          </w:p>
        </w:tc>
        <w:tc>
          <w:tcPr>
            <w:tcW w:w="1255" w:type="dxa"/>
            <w:noWrap w:val="0"/>
            <w:vAlign w:val="center"/>
          </w:tcPr>
          <w:p w14:paraId="4CB706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KJ201905</w:t>
            </w:r>
          </w:p>
        </w:tc>
        <w:tc>
          <w:tcPr>
            <w:tcW w:w="2763" w:type="dxa"/>
            <w:noWrap w:val="0"/>
            <w:vAlign w:val="center"/>
          </w:tcPr>
          <w:p w14:paraId="69923704">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水产品中氯霉素的快速检测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胶体金免疫层析</w:t>
            </w:r>
            <w:r>
              <w:rPr>
                <w:rFonts w:hint="eastAsia" w:ascii="CESI仿宋-GB2312" w:hAnsi="CESI仿宋-GB2312" w:eastAsia="CESI仿宋-GB2312" w:cs="CESI仿宋-GB2312"/>
                <w:snapToGrid w:val="0"/>
                <w:color w:val="000000"/>
                <w:sz w:val="18"/>
                <w:szCs w:val="18"/>
                <w:lang w:eastAsia="zh-CN"/>
              </w:rPr>
              <w:t>法</w:t>
            </w:r>
          </w:p>
        </w:tc>
        <w:tc>
          <w:tcPr>
            <w:tcW w:w="1305" w:type="dxa"/>
            <w:noWrap w:val="0"/>
            <w:vAlign w:val="center"/>
          </w:tcPr>
          <w:p w14:paraId="547641B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70C39D5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319CF4D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749B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2039478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vAlign w:val="top"/>
          </w:tcPr>
          <w:p w14:paraId="09A0D57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restart"/>
            <w:noWrap w:val="0"/>
            <w:vAlign w:val="center"/>
          </w:tcPr>
          <w:p w14:paraId="2222A74F">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海水虾</w:t>
            </w:r>
          </w:p>
        </w:tc>
        <w:tc>
          <w:tcPr>
            <w:tcW w:w="1491" w:type="dxa"/>
            <w:noWrap w:val="0"/>
            <w:vAlign w:val="center"/>
          </w:tcPr>
          <w:p w14:paraId="24E958D1">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lang w:eastAsia="zh-CN"/>
              </w:rPr>
              <w:t>恩诺沙星</w:t>
            </w:r>
          </w:p>
        </w:tc>
        <w:tc>
          <w:tcPr>
            <w:tcW w:w="1255" w:type="dxa"/>
            <w:noWrap w:val="0"/>
            <w:vAlign w:val="center"/>
          </w:tcPr>
          <w:p w14:paraId="46CF7115">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lang w:eastAsia="zh-CN"/>
              </w:rPr>
              <w:t>参照</w:t>
            </w:r>
            <w:r>
              <w:rPr>
                <w:rFonts w:hint="eastAsia" w:ascii="CESI仿宋-GB2312" w:hAnsi="CESI仿宋-GB2312" w:eastAsia="CESI仿宋-GB2312" w:cs="CESI仿宋-GB2312"/>
                <w:snapToGrid w:val="0"/>
                <w:color w:val="000000"/>
                <w:spacing w:val="-1"/>
                <w:sz w:val="18"/>
                <w:szCs w:val="18"/>
              </w:rPr>
              <w:t>KJ201906</w:t>
            </w:r>
          </w:p>
        </w:tc>
        <w:tc>
          <w:tcPr>
            <w:tcW w:w="2763" w:type="dxa"/>
            <w:noWrap w:val="0"/>
            <w:vAlign w:val="center"/>
          </w:tcPr>
          <w:p w14:paraId="685066DD">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动物源性食品中喹诺酮</w:t>
            </w:r>
            <w:r>
              <w:rPr>
                <w:rFonts w:hint="eastAsia" w:ascii="CESI仿宋-GB2312" w:hAnsi="CESI仿宋-GB2312" w:eastAsia="CESI仿宋-GB2312" w:cs="CESI仿宋-GB2312"/>
                <w:snapToGrid w:val="0"/>
                <w:color w:val="000000"/>
                <w:spacing w:val="-1"/>
                <w:sz w:val="18"/>
                <w:szCs w:val="18"/>
                <w:lang w:eastAsia="zh-CN"/>
              </w:rPr>
              <w:t>类物质的快速检测胶体金免疫层析法</w:t>
            </w:r>
          </w:p>
        </w:tc>
        <w:tc>
          <w:tcPr>
            <w:tcW w:w="1305" w:type="dxa"/>
            <w:noWrap w:val="0"/>
            <w:vAlign w:val="center"/>
          </w:tcPr>
          <w:p w14:paraId="7527A63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194A406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3FB51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FDC83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A</w:t>
            </w:r>
          </w:p>
        </w:tc>
      </w:tr>
      <w:tr w14:paraId="64A9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482BBDF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vAlign w:val="top"/>
          </w:tcPr>
          <w:p w14:paraId="7C86EDE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continue"/>
            <w:noWrap w:val="0"/>
            <w:vAlign w:val="center"/>
          </w:tcPr>
          <w:p w14:paraId="251C70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231C62E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8"/>
                <w:sz w:val="18"/>
                <w:szCs w:val="18"/>
              </w:rPr>
              <w:t>呋喃唑酮</w:t>
            </w:r>
            <w:r>
              <w:rPr>
                <w:rFonts w:hint="eastAsia" w:ascii="CESI仿宋-GB2312" w:hAnsi="CESI仿宋-GB2312" w:eastAsia="CESI仿宋-GB2312" w:cs="CESI仿宋-GB2312"/>
                <w:snapToGrid w:val="0"/>
                <w:color w:val="000000"/>
                <w:spacing w:val="-3"/>
                <w:sz w:val="18"/>
                <w:szCs w:val="18"/>
              </w:rPr>
              <w:t>代谢物</w:t>
            </w:r>
          </w:p>
        </w:tc>
        <w:tc>
          <w:tcPr>
            <w:tcW w:w="1255" w:type="dxa"/>
            <w:noWrap w:val="0"/>
            <w:vAlign w:val="center"/>
          </w:tcPr>
          <w:p w14:paraId="62955CC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KJ201705</w:t>
            </w:r>
          </w:p>
        </w:tc>
        <w:tc>
          <w:tcPr>
            <w:tcW w:w="2763" w:type="dxa"/>
            <w:noWrap w:val="0"/>
            <w:vAlign w:val="center"/>
          </w:tcPr>
          <w:p w14:paraId="2CCDEE09">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水产品中硝基呋喃类代</w:t>
            </w:r>
            <w:r>
              <w:rPr>
                <w:rFonts w:hint="eastAsia" w:ascii="CESI仿宋-GB2312" w:hAnsi="CESI仿宋-GB2312" w:eastAsia="CESI仿宋-GB2312" w:cs="CESI仿宋-GB2312"/>
                <w:snapToGrid w:val="0"/>
                <w:color w:val="000000"/>
                <w:spacing w:val="-2"/>
                <w:sz w:val="18"/>
                <w:szCs w:val="18"/>
                <w:lang w:eastAsia="zh-CN"/>
              </w:rPr>
              <w:t>谢物的快速检测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胶体金免疫层析法</w:t>
            </w:r>
          </w:p>
        </w:tc>
        <w:tc>
          <w:tcPr>
            <w:tcW w:w="1305" w:type="dxa"/>
            <w:noWrap w:val="0"/>
            <w:vAlign w:val="center"/>
          </w:tcPr>
          <w:p w14:paraId="6FE95B8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167D44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00F6C02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66C1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2F84B32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vAlign w:val="top"/>
          </w:tcPr>
          <w:p w14:paraId="33EC54A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restart"/>
            <w:noWrap w:val="0"/>
            <w:vAlign w:val="center"/>
          </w:tcPr>
          <w:p w14:paraId="21DB676B">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0"/>
                <w:sz w:val="18"/>
                <w:szCs w:val="18"/>
              </w:rPr>
              <w:t>贝类</w:t>
            </w:r>
          </w:p>
        </w:tc>
        <w:tc>
          <w:tcPr>
            <w:tcW w:w="1491" w:type="dxa"/>
            <w:noWrap w:val="0"/>
            <w:vAlign w:val="center"/>
          </w:tcPr>
          <w:p w14:paraId="21E23D7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氯霉素</w:t>
            </w:r>
          </w:p>
        </w:tc>
        <w:tc>
          <w:tcPr>
            <w:tcW w:w="1255" w:type="dxa"/>
            <w:noWrap w:val="0"/>
            <w:vAlign w:val="center"/>
          </w:tcPr>
          <w:p w14:paraId="44E3E66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KJ201905</w:t>
            </w:r>
          </w:p>
        </w:tc>
        <w:tc>
          <w:tcPr>
            <w:tcW w:w="2763" w:type="dxa"/>
            <w:noWrap w:val="0"/>
            <w:vAlign w:val="center"/>
          </w:tcPr>
          <w:p w14:paraId="3BEA2259">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水产品中氯霉素的快速检测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胶体金免疫层析</w:t>
            </w:r>
            <w:r>
              <w:rPr>
                <w:rFonts w:hint="eastAsia" w:ascii="CESI仿宋-GB2312" w:hAnsi="CESI仿宋-GB2312" w:eastAsia="CESI仿宋-GB2312" w:cs="CESI仿宋-GB2312"/>
                <w:snapToGrid w:val="0"/>
                <w:color w:val="000000"/>
                <w:sz w:val="18"/>
                <w:szCs w:val="18"/>
                <w:lang w:eastAsia="zh-CN"/>
              </w:rPr>
              <w:t>法</w:t>
            </w:r>
          </w:p>
        </w:tc>
        <w:tc>
          <w:tcPr>
            <w:tcW w:w="1305" w:type="dxa"/>
            <w:noWrap w:val="0"/>
            <w:vAlign w:val="center"/>
          </w:tcPr>
          <w:p w14:paraId="243B15B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2264CB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2F147CB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A</w:t>
            </w:r>
          </w:p>
        </w:tc>
      </w:tr>
      <w:tr w14:paraId="4537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585FB1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vAlign w:val="top"/>
          </w:tcPr>
          <w:p w14:paraId="400B316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continue"/>
            <w:noWrap w:val="0"/>
            <w:vAlign w:val="center"/>
          </w:tcPr>
          <w:p w14:paraId="692F49E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4C0C2AE4">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8"/>
                <w:sz w:val="18"/>
                <w:szCs w:val="18"/>
              </w:rPr>
              <w:t>呋喃西林</w:t>
            </w:r>
            <w:r>
              <w:rPr>
                <w:rFonts w:hint="eastAsia" w:ascii="CESI仿宋-GB2312" w:hAnsi="CESI仿宋-GB2312" w:eastAsia="CESI仿宋-GB2312" w:cs="CESI仿宋-GB2312"/>
                <w:snapToGrid w:val="0"/>
                <w:color w:val="000000"/>
                <w:spacing w:val="-3"/>
                <w:sz w:val="18"/>
                <w:szCs w:val="18"/>
              </w:rPr>
              <w:t>代谢物</w:t>
            </w:r>
          </w:p>
        </w:tc>
        <w:tc>
          <w:tcPr>
            <w:tcW w:w="1255" w:type="dxa"/>
            <w:noWrap w:val="0"/>
            <w:vAlign w:val="center"/>
          </w:tcPr>
          <w:p w14:paraId="6AC0F63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KJ201705</w:t>
            </w:r>
          </w:p>
        </w:tc>
        <w:tc>
          <w:tcPr>
            <w:tcW w:w="2763" w:type="dxa"/>
            <w:noWrap w:val="0"/>
            <w:vAlign w:val="center"/>
          </w:tcPr>
          <w:p w14:paraId="0E5FFAFC">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水产品中硝基呋喃类代</w:t>
            </w:r>
            <w:r>
              <w:rPr>
                <w:rFonts w:hint="eastAsia" w:ascii="CESI仿宋-GB2312" w:hAnsi="CESI仿宋-GB2312" w:eastAsia="CESI仿宋-GB2312" w:cs="CESI仿宋-GB2312"/>
                <w:snapToGrid w:val="0"/>
                <w:color w:val="000000"/>
                <w:spacing w:val="-2"/>
                <w:sz w:val="18"/>
                <w:szCs w:val="18"/>
                <w:lang w:eastAsia="zh-CN"/>
              </w:rPr>
              <w:t>谢物的快速检测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胶体金免疫层析法</w:t>
            </w:r>
          </w:p>
        </w:tc>
        <w:tc>
          <w:tcPr>
            <w:tcW w:w="1305" w:type="dxa"/>
            <w:noWrap w:val="0"/>
            <w:vAlign w:val="center"/>
          </w:tcPr>
          <w:p w14:paraId="079865B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2DC00B4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D7FD88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474D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134F8D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vAlign w:val="top"/>
          </w:tcPr>
          <w:p w14:paraId="391B658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restart"/>
            <w:noWrap w:val="0"/>
            <w:vAlign w:val="center"/>
          </w:tcPr>
          <w:p w14:paraId="2B5C5174">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海水鱼</w:t>
            </w:r>
          </w:p>
        </w:tc>
        <w:tc>
          <w:tcPr>
            <w:tcW w:w="1491" w:type="dxa"/>
            <w:noWrap w:val="0"/>
            <w:vAlign w:val="center"/>
          </w:tcPr>
          <w:p w14:paraId="466D34C5">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8"/>
                <w:sz w:val="18"/>
                <w:szCs w:val="18"/>
              </w:rPr>
              <w:t>呋喃唑酮</w:t>
            </w:r>
            <w:r>
              <w:rPr>
                <w:rFonts w:hint="eastAsia" w:ascii="CESI仿宋-GB2312" w:hAnsi="CESI仿宋-GB2312" w:eastAsia="CESI仿宋-GB2312" w:cs="CESI仿宋-GB2312"/>
                <w:snapToGrid w:val="0"/>
                <w:color w:val="000000"/>
                <w:spacing w:val="-3"/>
                <w:sz w:val="18"/>
                <w:szCs w:val="18"/>
              </w:rPr>
              <w:t>代谢物</w:t>
            </w:r>
          </w:p>
        </w:tc>
        <w:tc>
          <w:tcPr>
            <w:tcW w:w="1255" w:type="dxa"/>
            <w:noWrap w:val="0"/>
            <w:vAlign w:val="center"/>
          </w:tcPr>
          <w:p w14:paraId="3D79091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KJ201705</w:t>
            </w:r>
          </w:p>
        </w:tc>
        <w:tc>
          <w:tcPr>
            <w:tcW w:w="2763" w:type="dxa"/>
            <w:noWrap w:val="0"/>
            <w:vAlign w:val="center"/>
          </w:tcPr>
          <w:p w14:paraId="6FAA2236">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水产品中硝基呋喃类代</w:t>
            </w:r>
            <w:r>
              <w:rPr>
                <w:rFonts w:hint="eastAsia" w:ascii="CESI仿宋-GB2312" w:hAnsi="CESI仿宋-GB2312" w:eastAsia="CESI仿宋-GB2312" w:cs="CESI仿宋-GB2312"/>
                <w:snapToGrid w:val="0"/>
                <w:color w:val="000000"/>
                <w:spacing w:val="-2"/>
                <w:sz w:val="18"/>
                <w:szCs w:val="18"/>
                <w:lang w:eastAsia="zh-CN"/>
              </w:rPr>
              <w:t>谢物的快速检测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胶体金免疫层析法</w:t>
            </w:r>
          </w:p>
        </w:tc>
        <w:tc>
          <w:tcPr>
            <w:tcW w:w="1305" w:type="dxa"/>
            <w:noWrap w:val="0"/>
            <w:vAlign w:val="center"/>
          </w:tcPr>
          <w:p w14:paraId="582559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47C44BE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1111F43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620F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3B11AD2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vAlign w:val="top"/>
          </w:tcPr>
          <w:p w14:paraId="598BEDA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continue"/>
            <w:noWrap w:val="0"/>
            <w:vAlign w:val="center"/>
          </w:tcPr>
          <w:p w14:paraId="3F8CE8E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29D163AB">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lang w:eastAsia="zh-CN"/>
              </w:rPr>
              <w:t>恩诺沙星</w:t>
            </w:r>
          </w:p>
        </w:tc>
        <w:tc>
          <w:tcPr>
            <w:tcW w:w="1255" w:type="dxa"/>
            <w:noWrap w:val="0"/>
            <w:vAlign w:val="center"/>
          </w:tcPr>
          <w:p w14:paraId="61DBCC25">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lang w:eastAsia="zh-CN"/>
              </w:rPr>
              <w:t>参照</w:t>
            </w:r>
            <w:r>
              <w:rPr>
                <w:rFonts w:hint="eastAsia" w:ascii="CESI仿宋-GB2312" w:hAnsi="CESI仿宋-GB2312" w:eastAsia="CESI仿宋-GB2312" w:cs="CESI仿宋-GB2312"/>
                <w:snapToGrid w:val="0"/>
                <w:color w:val="000000"/>
                <w:spacing w:val="-1"/>
                <w:sz w:val="18"/>
                <w:szCs w:val="18"/>
              </w:rPr>
              <w:t>KJ201906</w:t>
            </w:r>
          </w:p>
        </w:tc>
        <w:tc>
          <w:tcPr>
            <w:tcW w:w="2763" w:type="dxa"/>
            <w:noWrap w:val="0"/>
            <w:vAlign w:val="center"/>
          </w:tcPr>
          <w:p w14:paraId="24F882E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动物源性食品中喹诺酮</w:t>
            </w:r>
            <w:r>
              <w:rPr>
                <w:rFonts w:hint="eastAsia" w:ascii="CESI仿宋-GB2312" w:hAnsi="CESI仿宋-GB2312" w:eastAsia="CESI仿宋-GB2312" w:cs="CESI仿宋-GB2312"/>
                <w:snapToGrid w:val="0"/>
                <w:color w:val="000000"/>
                <w:spacing w:val="-1"/>
                <w:sz w:val="18"/>
                <w:szCs w:val="18"/>
                <w:lang w:eastAsia="zh-CN"/>
              </w:rPr>
              <w:t>类物质的快速检测胶体金免疫层析法</w:t>
            </w:r>
          </w:p>
        </w:tc>
        <w:tc>
          <w:tcPr>
            <w:tcW w:w="1305" w:type="dxa"/>
            <w:noWrap w:val="0"/>
            <w:vAlign w:val="center"/>
          </w:tcPr>
          <w:p w14:paraId="65BC83F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637354C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2AED150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5DC18EF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1844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27829C6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vAlign w:val="top"/>
          </w:tcPr>
          <w:p w14:paraId="1F20039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continue"/>
            <w:noWrap w:val="0"/>
            <w:vAlign w:val="center"/>
          </w:tcPr>
          <w:p w14:paraId="11068A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2CEC9BBA">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氯霉素</w:t>
            </w:r>
          </w:p>
        </w:tc>
        <w:tc>
          <w:tcPr>
            <w:tcW w:w="1255" w:type="dxa"/>
            <w:noWrap w:val="0"/>
            <w:vAlign w:val="center"/>
          </w:tcPr>
          <w:p w14:paraId="11811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KJ201905</w:t>
            </w:r>
          </w:p>
        </w:tc>
        <w:tc>
          <w:tcPr>
            <w:tcW w:w="2763" w:type="dxa"/>
            <w:noWrap w:val="0"/>
            <w:vAlign w:val="center"/>
          </w:tcPr>
          <w:p w14:paraId="2AEDD33E">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水产品中氯霉素的快速检测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胶体金免疫层析</w:t>
            </w:r>
            <w:r>
              <w:rPr>
                <w:rFonts w:hint="eastAsia" w:ascii="CESI仿宋-GB2312" w:hAnsi="CESI仿宋-GB2312" w:eastAsia="CESI仿宋-GB2312" w:cs="CESI仿宋-GB2312"/>
                <w:snapToGrid w:val="0"/>
                <w:color w:val="000000"/>
                <w:sz w:val="18"/>
                <w:szCs w:val="18"/>
                <w:lang w:eastAsia="zh-CN"/>
              </w:rPr>
              <w:t>法</w:t>
            </w:r>
          </w:p>
        </w:tc>
        <w:tc>
          <w:tcPr>
            <w:tcW w:w="1305" w:type="dxa"/>
            <w:noWrap w:val="0"/>
            <w:vAlign w:val="center"/>
          </w:tcPr>
          <w:p w14:paraId="388B97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787506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22849CF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6BD2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4B29E7F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vAlign w:val="top"/>
          </w:tcPr>
          <w:p w14:paraId="24D445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continue"/>
            <w:noWrap w:val="0"/>
            <w:vAlign w:val="center"/>
          </w:tcPr>
          <w:p w14:paraId="0CBDE0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p>
        </w:tc>
        <w:tc>
          <w:tcPr>
            <w:tcW w:w="1491" w:type="dxa"/>
            <w:noWrap w:val="0"/>
            <w:vAlign w:val="center"/>
          </w:tcPr>
          <w:p w14:paraId="42AAE8C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4"/>
                <w:sz w:val="18"/>
                <w:szCs w:val="18"/>
              </w:rPr>
              <w:t>孔雀石绿</w:t>
            </w:r>
          </w:p>
        </w:tc>
        <w:tc>
          <w:tcPr>
            <w:tcW w:w="1255" w:type="dxa"/>
            <w:noWrap w:val="0"/>
            <w:vAlign w:val="center"/>
          </w:tcPr>
          <w:p w14:paraId="39F7BD8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KJ201701</w:t>
            </w:r>
          </w:p>
        </w:tc>
        <w:tc>
          <w:tcPr>
            <w:tcW w:w="2763" w:type="dxa"/>
            <w:noWrap w:val="0"/>
            <w:vAlign w:val="center"/>
          </w:tcPr>
          <w:p w14:paraId="3396FA49">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水产品中孔雀石绿的快速检测</w:t>
            </w:r>
            <w:r>
              <w:rPr>
                <w:rFonts w:hint="eastAsia" w:ascii="CESI仿宋-GB2312" w:hAnsi="CESI仿宋-GB2312" w:eastAsia="CESI仿宋-GB2312" w:cs="CESI仿宋-GB2312"/>
                <w:snapToGrid w:val="0"/>
                <w:color w:val="000000"/>
                <w:spacing w:val="-1"/>
                <w:sz w:val="18"/>
                <w:szCs w:val="18"/>
                <w:lang w:val="en-US" w:eastAsia="zh-CN"/>
              </w:rPr>
              <w:t xml:space="preserve"> </w:t>
            </w:r>
            <w:r>
              <w:rPr>
                <w:rFonts w:hint="eastAsia" w:ascii="CESI仿宋-GB2312" w:hAnsi="CESI仿宋-GB2312" w:eastAsia="CESI仿宋-GB2312" w:cs="CESI仿宋-GB2312"/>
                <w:snapToGrid w:val="0"/>
                <w:color w:val="000000"/>
                <w:spacing w:val="-1"/>
                <w:sz w:val="18"/>
                <w:szCs w:val="18"/>
                <w:lang w:eastAsia="zh-CN"/>
              </w:rPr>
              <w:t>胶体金免疫层</w:t>
            </w:r>
            <w:r>
              <w:rPr>
                <w:rFonts w:hint="eastAsia" w:ascii="CESI仿宋-GB2312" w:hAnsi="CESI仿宋-GB2312" w:eastAsia="CESI仿宋-GB2312" w:cs="CESI仿宋-GB2312"/>
                <w:snapToGrid w:val="0"/>
                <w:color w:val="000000"/>
                <w:spacing w:val="-8"/>
                <w:sz w:val="18"/>
                <w:szCs w:val="18"/>
                <w:lang w:eastAsia="zh-CN"/>
              </w:rPr>
              <w:t>析法</w:t>
            </w:r>
          </w:p>
        </w:tc>
        <w:tc>
          <w:tcPr>
            <w:tcW w:w="1305" w:type="dxa"/>
            <w:noWrap w:val="0"/>
            <w:vAlign w:val="center"/>
          </w:tcPr>
          <w:p w14:paraId="6CFEC6F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76601ED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4C12FC6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3A08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7AACBEB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rPr>
            </w:pPr>
          </w:p>
        </w:tc>
        <w:tc>
          <w:tcPr>
            <w:tcW w:w="585" w:type="dxa"/>
            <w:vMerge w:val="continue"/>
            <w:noWrap w:val="0"/>
            <w:vAlign w:val="top"/>
          </w:tcPr>
          <w:p w14:paraId="05894F3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rPr>
            </w:pPr>
          </w:p>
        </w:tc>
        <w:tc>
          <w:tcPr>
            <w:tcW w:w="941" w:type="dxa"/>
            <w:vMerge w:val="restart"/>
            <w:noWrap w:val="0"/>
            <w:vAlign w:val="center"/>
          </w:tcPr>
          <w:p w14:paraId="2AAC7B6C">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9"/>
                <w:sz w:val="18"/>
                <w:szCs w:val="18"/>
              </w:rPr>
              <w:t>淡水虾</w:t>
            </w:r>
          </w:p>
        </w:tc>
        <w:tc>
          <w:tcPr>
            <w:tcW w:w="1491" w:type="dxa"/>
            <w:noWrap w:val="0"/>
            <w:vAlign w:val="center"/>
          </w:tcPr>
          <w:p w14:paraId="24F15D48">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6"/>
                <w:sz w:val="18"/>
                <w:szCs w:val="18"/>
              </w:rPr>
              <w:t>恩诺沙星</w:t>
            </w:r>
          </w:p>
        </w:tc>
        <w:tc>
          <w:tcPr>
            <w:tcW w:w="1255" w:type="dxa"/>
            <w:noWrap w:val="0"/>
            <w:vAlign w:val="center"/>
          </w:tcPr>
          <w:p w14:paraId="0ED90A49">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lang w:eastAsia="zh-CN"/>
              </w:rPr>
              <w:t>参照</w:t>
            </w:r>
            <w:r>
              <w:rPr>
                <w:rFonts w:hint="eastAsia" w:ascii="CESI仿宋-GB2312" w:hAnsi="CESI仿宋-GB2312" w:eastAsia="CESI仿宋-GB2312" w:cs="CESI仿宋-GB2312"/>
                <w:snapToGrid w:val="0"/>
                <w:color w:val="000000"/>
                <w:spacing w:val="-1"/>
                <w:sz w:val="18"/>
                <w:szCs w:val="18"/>
              </w:rPr>
              <w:t>KJ201906</w:t>
            </w:r>
          </w:p>
        </w:tc>
        <w:tc>
          <w:tcPr>
            <w:tcW w:w="2763" w:type="dxa"/>
            <w:noWrap w:val="0"/>
            <w:vAlign w:val="center"/>
          </w:tcPr>
          <w:p w14:paraId="7910089E">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3"/>
                <w:sz w:val="18"/>
                <w:szCs w:val="18"/>
                <w:lang w:eastAsia="zh-CN"/>
              </w:rPr>
              <w:t>动物源性食品中喹诺酮</w:t>
            </w:r>
            <w:r>
              <w:rPr>
                <w:rFonts w:hint="eastAsia" w:ascii="CESI仿宋-GB2312" w:hAnsi="CESI仿宋-GB2312" w:eastAsia="CESI仿宋-GB2312" w:cs="CESI仿宋-GB2312"/>
                <w:snapToGrid w:val="0"/>
                <w:color w:val="000000"/>
                <w:spacing w:val="-1"/>
                <w:sz w:val="18"/>
                <w:szCs w:val="18"/>
                <w:lang w:eastAsia="zh-CN"/>
              </w:rPr>
              <w:t>类物质的快速检测胶体金免疫层析法</w:t>
            </w:r>
          </w:p>
        </w:tc>
        <w:tc>
          <w:tcPr>
            <w:tcW w:w="1305" w:type="dxa"/>
            <w:noWrap w:val="0"/>
            <w:vAlign w:val="center"/>
          </w:tcPr>
          <w:p w14:paraId="200E9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31650-2019 </w:t>
            </w:r>
          </w:p>
          <w:p w14:paraId="7B294D4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7B7C608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4F9A256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A</w:t>
            </w:r>
          </w:p>
        </w:tc>
      </w:tr>
      <w:tr w14:paraId="407E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top"/>
          </w:tcPr>
          <w:p w14:paraId="02AF945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24"/>
                <w:szCs w:val="24"/>
                <w:lang w:eastAsia="zh-CN"/>
              </w:rPr>
            </w:pPr>
          </w:p>
        </w:tc>
        <w:tc>
          <w:tcPr>
            <w:tcW w:w="585" w:type="dxa"/>
            <w:vMerge w:val="continue"/>
            <w:noWrap w:val="0"/>
            <w:vAlign w:val="top"/>
          </w:tcPr>
          <w:p w14:paraId="7D21AB2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snapToGrid w:val="0"/>
                <w:color w:val="000000"/>
                <w:lang w:eastAsia="zh-CN"/>
              </w:rPr>
            </w:pPr>
          </w:p>
        </w:tc>
        <w:tc>
          <w:tcPr>
            <w:tcW w:w="941" w:type="dxa"/>
            <w:vMerge w:val="continue"/>
            <w:noWrap w:val="0"/>
            <w:vAlign w:val="top"/>
          </w:tcPr>
          <w:p w14:paraId="4367FF4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1491" w:type="dxa"/>
            <w:noWrap w:val="0"/>
            <w:vAlign w:val="center"/>
          </w:tcPr>
          <w:p w14:paraId="4AB35373">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8"/>
                <w:sz w:val="18"/>
                <w:szCs w:val="18"/>
              </w:rPr>
              <w:t>呋喃唑酮</w:t>
            </w:r>
            <w:r>
              <w:rPr>
                <w:rFonts w:hint="eastAsia" w:ascii="CESI仿宋-GB2312" w:hAnsi="CESI仿宋-GB2312" w:eastAsia="CESI仿宋-GB2312" w:cs="CESI仿宋-GB2312"/>
                <w:snapToGrid w:val="0"/>
                <w:color w:val="000000"/>
                <w:spacing w:val="-3"/>
                <w:sz w:val="18"/>
                <w:szCs w:val="18"/>
              </w:rPr>
              <w:t>代谢物</w:t>
            </w:r>
          </w:p>
        </w:tc>
        <w:tc>
          <w:tcPr>
            <w:tcW w:w="1255" w:type="dxa"/>
            <w:noWrap w:val="0"/>
            <w:vAlign w:val="center"/>
          </w:tcPr>
          <w:p w14:paraId="7CE3831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pacing w:val="-1"/>
                <w:sz w:val="18"/>
                <w:szCs w:val="18"/>
              </w:rPr>
              <w:t>KJ201705</w:t>
            </w:r>
          </w:p>
        </w:tc>
        <w:tc>
          <w:tcPr>
            <w:tcW w:w="2763" w:type="dxa"/>
            <w:noWrap w:val="0"/>
            <w:vAlign w:val="center"/>
          </w:tcPr>
          <w:p w14:paraId="58B1A714">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pacing w:val="-1"/>
                <w:sz w:val="18"/>
                <w:szCs w:val="18"/>
                <w:lang w:eastAsia="zh-CN"/>
              </w:rPr>
              <w:t>水产品中硝基呋喃类代</w:t>
            </w:r>
            <w:r>
              <w:rPr>
                <w:rFonts w:hint="eastAsia" w:ascii="CESI仿宋-GB2312" w:hAnsi="CESI仿宋-GB2312" w:eastAsia="CESI仿宋-GB2312" w:cs="CESI仿宋-GB2312"/>
                <w:snapToGrid w:val="0"/>
                <w:color w:val="000000"/>
                <w:spacing w:val="-2"/>
                <w:sz w:val="18"/>
                <w:szCs w:val="18"/>
                <w:lang w:eastAsia="zh-CN"/>
              </w:rPr>
              <w:t>谢物的快速检测</w:t>
            </w:r>
            <w:r>
              <w:rPr>
                <w:rFonts w:hint="eastAsia" w:ascii="CESI仿宋-GB2312" w:hAnsi="CESI仿宋-GB2312" w:eastAsia="CESI仿宋-GB2312" w:cs="CESI仿宋-GB2312"/>
                <w:snapToGrid w:val="0"/>
                <w:color w:val="000000"/>
                <w:spacing w:val="-2"/>
                <w:sz w:val="18"/>
                <w:szCs w:val="18"/>
                <w:lang w:val="en-US" w:eastAsia="zh-CN"/>
              </w:rPr>
              <w:t xml:space="preserve">  </w:t>
            </w:r>
            <w:r>
              <w:rPr>
                <w:rFonts w:hint="eastAsia" w:ascii="CESI仿宋-GB2312" w:hAnsi="CESI仿宋-GB2312" w:eastAsia="CESI仿宋-GB2312" w:cs="CESI仿宋-GB2312"/>
                <w:snapToGrid w:val="0"/>
                <w:color w:val="000000"/>
                <w:spacing w:val="-2"/>
                <w:sz w:val="18"/>
                <w:szCs w:val="18"/>
                <w:lang w:eastAsia="zh-CN"/>
              </w:rPr>
              <w:t>胶体金免疫层析法</w:t>
            </w:r>
          </w:p>
        </w:tc>
        <w:tc>
          <w:tcPr>
            <w:tcW w:w="1305" w:type="dxa"/>
            <w:noWrap w:val="0"/>
            <w:vAlign w:val="center"/>
          </w:tcPr>
          <w:p w14:paraId="3C99E4E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符合农业部250公告限量要求</w:t>
            </w:r>
          </w:p>
        </w:tc>
        <w:tc>
          <w:tcPr>
            <w:tcW w:w="322" w:type="dxa"/>
            <w:noWrap w:val="0"/>
            <w:vAlign w:val="center"/>
          </w:tcPr>
          <w:p w14:paraId="3FE70BD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6D23A2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rPr>
            </w:pPr>
            <w:r>
              <w:rPr>
                <w:rFonts w:hint="eastAsia" w:ascii="CESI仿宋-GB2312" w:hAnsi="CESI仿宋-GB2312" w:eastAsia="CESI仿宋-GB2312" w:cs="CESI仿宋-GB2312"/>
                <w:snapToGrid w:val="0"/>
                <w:color w:val="000000"/>
                <w:sz w:val="18"/>
                <w:szCs w:val="18"/>
              </w:rPr>
              <w:t>B</w:t>
            </w:r>
          </w:p>
        </w:tc>
      </w:tr>
      <w:tr w14:paraId="6A54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restart"/>
            <w:noWrap w:val="0"/>
            <w:vAlign w:val="center"/>
          </w:tcPr>
          <w:p w14:paraId="40FEAEA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5</w:t>
            </w:r>
          </w:p>
        </w:tc>
        <w:tc>
          <w:tcPr>
            <w:tcW w:w="585" w:type="dxa"/>
            <w:vMerge w:val="restart"/>
            <w:noWrap w:val="0"/>
            <w:vAlign w:val="center"/>
          </w:tcPr>
          <w:p w14:paraId="09566F7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鲜蛋</w:t>
            </w:r>
          </w:p>
        </w:tc>
        <w:tc>
          <w:tcPr>
            <w:tcW w:w="941" w:type="dxa"/>
            <w:vMerge w:val="restart"/>
            <w:noWrap w:val="0"/>
            <w:vAlign w:val="center"/>
          </w:tcPr>
          <w:p w14:paraId="3991CA06">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eastAsia="zh-CN"/>
              </w:rPr>
              <w:t>鸡蛋</w:t>
            </w:r>
          </w:p>
        </w:tc>
        <w:tc>
          <w:tcPr>
            <w:tcW w:w="1491" w:type="dxa"/>
            <w:noWrap w:val="0"/>
            <w:vAlign w:val="center"/>
          </w:tcPr>
          <w:p w14:paraId="2C8211A6">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val="en-US" w:eastAsia="zh-CN"/>
              </w:rPr>
              <w:t>甲硝唑</w:t>
            </w:r>
          </w:p>
        </w:tc>
        <w:tc>
          <w:tcPr>
            <w:tcW w:w="1255" w:type="dxa"/>
            <w:noWrap w:val="0"/>
            <w:vAlign w:val="center"/>
          </w:tcPr>
          <w:p w14:paraId="2291E65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6"/>
                <w:sz w:val="18"/>
                <w:szCs w:val="18"/>
                <w:lang w:val="en" w:eastAsia="zh-CN"/>
              </w:rPr>
            </w:pPr>
            <w:r>
              <w:rPr>
                <w:rFonts w:hint="eastAsia" w:ascii="CESI仿宋-GB2312" w:hAnsi="CESI仿宋-GB2312" w:eastAsia="CESI仿宋-GB2312" w:cs="CESI仿宋-GB2312"/>
                <w:snapToGrid w:val="0"/>
                <w:color w:val="000000"/>
                <w:spacing w:val="-6"/>
                <w:sz w:val="18"/>
                <w:szCs w:val="18"/>
                <w:lang w:val="en-US" w:eastAsia="zh-CN"/>
              </w:rPr>
              <w:t>/</w:t>
            </w:r>
            <w:r>
              <w:rPr>
                <w:rFonts w:hint="default" w:ascii="CESI仿宋-GB2312" w:hAnsi="CESI仿宋-GB2312" w:eastAsia="CESI仿宋-GB2312" w:cs="CESI仿宋-GB2312"/>
                <w:snapToGrid w:val="0"/>
                <w:color w:val="000000"/>
                <w:spacing w:val="-6"/>
                <w:sz w:val="18"/>
                <w:szCs w:val="18"/>
                <w:lang w:val="en" w:eastAsia="zh-CN"/>
              </w:rPr>
              <w:t xml:space="preserve"> </w:t>
            </w:r>
          </w:p>
        </w:tc>
        <w:tc>
          <w:tcPr>
            <w:tcW w:w="2763" w:type="dxa"/>
            <w:noWrap w:val="0"/>
            <w:vAlign w:val="center"/>
          </w:tcPr>
          <w:p w14:paraId="070BC813">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29B6F9E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GB31650.1-2022 </w:t>
            </w:r>
          </w:p>
          <w:p w14:paraId="515B4A2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509A80B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247A4CC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A</w:t>
            </w:r>
          </w:p>
        </w:tc>
      </w:tr>
      <w:tr w14:paraId="03C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02" w:type="dxa"/>
            <w:vMerge w:val="continue"/>
            <w:noWrap w:val="0"/>
            <w:vAlign w:val="center"/>
          </w:tcPr>
          <w:p w14:paraId="4525362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585" w:type="dxa"/>
            <w:vMerge w:val="continue"/>
            <w:noWrap w:val="0"/>
            <w:vAlign w:val="center"/>
          </w:tcPr>
          <w:p w14:paraId="07FC6C0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p>
        </w:tc>
        <w:tc>
          <w:tcPr>
            <w:tcW w:w="941" w:type="dxa"/>
            <w:vMerge w:val="continue"/>
            <w:noWrap w:val="0"/>
            <w:vAlign w:val="center"/>
          </w:tcPr>
          <w:p w14:paraId="1CF1F2C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lang w:eastAsia="zh-CN"/>
              </w:rPr>
            </w:pPr>
          </w:p>
        </w:tc>
        <w:tc>
          <w:tcPr>
            <w:tcW w:w="1491" w:type="dxa"/>
            <w:noWrap w:val="0"/>
            <w:vAlign w:val="center"/>
          </w:tcPr>
          <w:p w14:paraId="209A001F">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lang w:val="en-US" w:eastAsia="zh-CN"/>
              </w:rPr>
              <w:t>氟苯尼考</w:t>
            </w:r>
          </w:p>
        </w:tc>
        <w:tc>
          <w:tcPr>
            <w:tcW w:w="1255" w:type="dxa"/>
            <w:noWrap w:val="0"/>
            <w:vAlign w:val="center"/>
          </w:tcPr>
          <w:p w14:paraId="3ADDF1A6">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6"/>
                <w:sz w:val="18"/>
                <w:szCs w:val="18"/>
                <w:lang w:val="en" w:eastAsia="zh-CN"/>
              </w:rPr>
            </w:pPr>
            <w:r>
              <w:rPr>
                <w:rFonts w:hint="eastAsia" w:ascii="CESI仿宋-GB2312" w:hAnsi="CESI仿宋-GB2312" w:eastAsia="CESI仿宋-GB2312" w:cs="CESI仿宋-GB2312"/>
                <w:snapToGrid w:val="0"/>
                <w:color w:val="000000"/>
                <w:spacing w:val="-6"/>
                <w:sz w:val="18"/>
                <w:szCs w:val="18"/>
                <w:lang w:val="en-US" w:eastAsia="zh-CN"/>
              </w:rPr>
              <w:t>/</w:t>
            </w:r>
            <w:r>
              <w:rPr>
                <w:rFonts w:hint="default" w:ascii="CESI仿宋-GB2312" w:hAnsi="CESI仿宋-GB2312" w:eastAsia="CESI仿宋-GB2312" w:cs="CESI仿宋-GB2312"/>
                <w:snapToGrid w:val="0"/>
                <w:color w:val="000000"/>
                <w:spacing w:val="-6"/>
                <w:sz w:val="18"/>
                <w:szCs w:val="18"/>
                <w:lang w:val="en" w:eastAsia="zh-CN"/>
              </w:rPr>
              <w:t xml:space="preserve"> </w:t>
            </w:r>
          </w:p>
        </w:tc>
        <w:tc>
          <w:tcPr>
            <w:tcW w:w="2763" w:type="dxa"/>
            <w:noWrap w:val="0"/>
            <w:vAlign w:val="center"/>
          </w:tcPr>
          <w:p w14:paraId="17A4E3BD">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7"/>
                <w:kern w:val="2"/>
                <w:sz w:val="18"/>
                <w:szCs w:val="18"/>
                <w:lang w:val="en-US" w:eastAsia="zh-CN" w:bidi="ar-SA"/>
              </w:rPr>
              <w:t>参照市场监管总局“食品安全快速检测数据库”公布的方法</w:t>
            </w:r>
          </w:p>
        </w:tc>
        <w:tc>
          <w:tcPr>
            <w:tcW w:w="1305" w:type="dxa"/>
            <w:noWrap w:val="0"/>
            <w:vAlign w:val="center"/>
          </w:tcPr>
          <w:p w14:paraId="00C2188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符合GB GB31650.1-2022 </w:t>
            </w:r>
          </w:p>
          <w:p w14:paraId="5BC5AF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288685D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eastAsia="zh-CN"/>
              </w:rPr>
            </w:pPr>
          </w:p>
        </w:tc>
        <w:tc>
          <w:tcPr>
            <w:tcW w:w="812" w:type="dxa"/>
            <w:noWrap w:val="0"/>
            <w:vAlign w:val="center"/>
          </w:tcPr>
          <w:p w14:paraId="6663CF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z w:val="18"/>
                <w:szCs w:val="18"/>
                <w:lang w:val="en" w:eastAsia="zh-CN"/>
              </w:rPr>
            </w:pPr>
            <w:r>
              <w:rPr>
                <w:rFonts w:hint="default" w:ascii="CESI仿宋-GB2312" w:hAnsi="CESI仿宋-GB2312" w:eastAsia="CESI仿宋-GB2312" w:cs="CESI仿宋-GB2312"/>
                <w:snapToGrid w:val="0"/>
                <w:color w:val="000000"/>
                <w:sz w:val="18"/>
                <w:szCs w:val="18"/>
                <w:lang w:val="en" w:eastAsia="zh-CN"/>
              </w:rPr>
              <w:t>A</w:t>
            </w:r>
          </w:p>
        </w:tc>
      </w:tr>
      <w:tr w14:paraId="62CA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atLeast"/>
          <w:jc w:val="center"/>
        </w:trPr>
        <w:tc>
          <w:tcPr>
            <w:tcW w:w="502" w:type="dxa"/>
            <w:noWrap w:val="0"/>
            <w:vAlign w:val="center"/>
          </w:tcPr>
          <w:p w14:paraId="13CA9CE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6</w:t>
            </w:r>
          </w:p>
        </w:tc>
        <w:tc>
          <w:tcPr>
            <w:tcW w:w="585" w:type="dxa"/>
            <w:noWrap w:val="0"/>
            <w:vAlign w:val="center"/>
          </w:tcPr>
          <w:p w14:paraId="74E9441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9"/>
                <w:kern w:val="2"/>
                <w:sz w:val="18"/>
                <w:szCs w:val="18"/>
                <w:lang w:val="en-US" w:eastAsia="zh-CN" w:bidi="ar-SA"/>
              </w:rPr>
            </w:pPr>
            <w:r>
              <w:rPr>
                <w:rFonts w:hint="eastAsia" w:ascii="CESI仿宋-GB2312" w:hAnsi="CESI仿宋-GB2312" w:eastAsia="CESI仿宋-GB2312" w:cs="CESI仿宋-GB2312"/>
                <w:snapToGrid w:val="0"/>
                <w:color w:val="000000"/>
                <w:spacing w:val="-9"/>
                <w:kern w:val="2"/>
                <w:sz w:val="18"/>
                <w:szCs w:val="18"/>
                <w:lang w:val="en-US" w:eastAsia="zh-CN" w:bidi="ar-SA"/>
              </w:rPr>
              <w:t>生干坚果及籽类</w:t>
            </w:r>
          </w:p>
        </w:tc>
        <w:tc>
          <w:tcPr>
            <w:tcW w:w="941" w:type="dxa"/>
            <w:noWrap w:val="0"/>
            <w:vAlign w:val="center"/>
          </w:tcPr>
          <w:p w14:paraId="077963A0">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rPr>
            </w:pPr>
            <w:r>
              <w:rPr>
                <w:rFonts w:hint="eastAsia" w:ascii="CESI仿宋-GB2312" w:hAnsi="CESI仿宋-GB2312" w:eastAsia="CESI仿宋-GB2312" w:cs="CESI仿宋-GB2312"/>
                <w:snapToGrid w:val="0"/>
                <w:color w:val="000000"/>
                <w:spacing w:val="-6"/>
                <w:sz w:val="18"/>
                <w:szCs w:val="18"/>
              </w:rPr>
              <w:t>生干坚果</w:t>
            </w:r>
          </w:p>
          <w:p w14:paraId="01F964B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rPr>
            </w:pPr>
            <w:r>
              <w:rPr>
                <w:rFonts w:hint="eastAsia" w:ascii="CESI仿宋-GB2312" w:hAnsi="CESI仿宋-GB2312" w:eastAsia="CESI仿宋-GB2312" w:cs="CESI仿宋-GB2312"/>
                <w:snapToGrid w:val="0"/>
                <w:color w:val="000000"/>
                <w:spacing w:val="-6"/>
                <w:sz w:val="18"/>
                <w:szCs w:val="18"/>
              </w:rPr>
              <w:t>及籽类</w:t>
            </w:r>
          </w:p>
        </w:tc>
        <w:tc>
          <w:tcPr>
            <w:tcW w:w="1491" w:type="dxa"/>
            <w:noWrap w:val="0"/>
            <w:vAlign w:val="center"/>
          </w:tcPr>
          <w:p w14:paraId="4C0B0088">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lang w:val="en-US" w:eastAsia="zh-CN"/>
              </w:rPr>
            </w:pPr>
            <w:r>
              <w:rPr>
                <w:rFonts w:hint="eastAsia" w:ascii="CESI仿宋-GB2312" w:hAnsi="CESI仿宋-GB2312" w:eastAsia="CESI仿宋-GB2312" w:cs="CESI仿宋-GB2312"/>
                <w:snapToGrid w:val="0"/>
                <w:color w:val="000000"/>
                <w:spacing w:val="-6"/>
                <w:sz w:val="18"/>
                <w:szCs w:val="18"/>
              </w:rPr>
              <w:t>黄曲霉毒素B</w:t>
            </w:r>
            <w:r>
              <w:rPr>
                <w:rFonts w:hint="eastAsia" w:ascii="CESI仿宋-GB2312" w:hAnsi="CESI仿宋-GB2312" w:eastAsia="CESI仿宋-GB2312" w:cs="CESI仿宋-GB2312"/>
                <w:snapToGrid w:val="0"/>
                <w:color w:val="000000"/>
                <w:spacing w:val="-6"/>
                <w:sz w:val="18"/>
                <w:szCs w:val="18"/>
                <w:lang w:val="en-US" w:eastAsia="zh-CN"/>
              </w:rPr>
              <w:t>1</w:t>
            </w:r>
          </w:p>
        </w:tc>
        <w:tc>
          <w:tcPr>
            <w:tcW w:w="1255" w:type="dxa"/>
            <w:noWrap w:val="0"/>
            <w:vAlign w:val="center"/>
          </w:tcPr>
          <w:p w14:paraId="5525BED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rPr>
            </w:pPr>
            <w:r>
              <w:rPr>
                <w:rFonts w:hint="eastAsia" w:ascii="CESI仿宋-GB2312" w:hAnsi="CESI仿宋-GB2312" w:eastAsia="CESI仿宋-GB2312" w:cs="CESI仿宋-GB2312"/>
                <w:snapToGrid w:val="0"/>
                <w:color w:val="000000"/>
                <w:spacing w:val="-6"/>
                <w:sz w:val="18"/>
                <w:szCs w:val="18"/>
              </w:rPr>
              <w:t>KJ202206</w:t>
            </w:r>
          </w:p>
        </w:tc>
        <w:tc>
          <w:tcPr>
            <w:tcW w:w="2763" w:type="dxa"/>
            <w:noWrap w:val="0"/>
            <w:vAlign w:val="center"/>
          </w:tcPr>
          <w:p w14:paraId="69D05EC6">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lang w:eastAsia="zh-CN"/>
              </w:rPr>
            </w:pPr>
            <w:r>
              <w:rPr>
                <w:rFonts w:hint="eastAsia" w:ascii="CESI仿宋-GB2312" w:hAnsi="CESI仿宋-GB2312" w:eastAsia="CESI仿宋-GB2312" w:cs="CESI仿宋-GB2312"/>
                <w:snapToGrid w:val="0"/>
                <w:color w:val="000000"/>
                <w:spacing w:val="-6"/>
                <w:sz w:val="18"/>
                <w:szCs w:val="18"/>
                <w:lang w:eastAsia="zh-CN"/>
              </w:rPr>
              <w:t>花生及其制品中黄曲霉毒素B1的快速检测</w:t>
            </w:r>
            <w:r>
              <w:rPr>
                <w:rFonts w:hint="eastAsia" w:ascii="CESI仿宋-GB2312" w:hAnsi="CESI仿宋-GB2312" w:eastAsia="CESI仿宋-GB2312" w:cs="CESI仿宋-GB2312"/>
                <w:snapToGrid w:val="0"/>
                <w:color w:val="000000"/>
                <w:spacing w:val="-6"/>
                <w:sz w:val="18"/>
                <w:szCs w:val="18"/>
                <w:lang w:val="en-US" w:eastAsia="zh-CN"/>
              </w:rPr>
              <w:t xml:space="preserve">  </w:t>
            </w:r>
            <w:r>
              <w:rPr>
                <w:rFonts w:hint="eastAsia" w:ascii="CESI仿宋-GB2312" w:hAnsi="CESI仿宋-GB2312" w:eastAsia="CESI仿宋-GB2312" w:cs="CESI仿宋-GB2312"/>
                <w:snapToGrid w:val="0"/>
                <w:color w:val="000000"/>
                <w:spacing w:val="-6"/>
                <w:sz w:val="18"/>
                <w:szCs w:val="18"/>
                <w:lang w:eastAsia="zh-CN"/>
              </w:rPr>
              <w:t>胶体金免疫层析法</w:t>
            </w:r>
          </w:p>
        </w:tc>
        <w:tc>
          <w:tcPr>
            <w:tcW w:w="1305" w:type="dxa"/>
            <w:noWrap w:val="0"/>
            <w:vAlign w:val="center"/>
          </w:tcPr>
          <w:p w14:paraId="2FC8BD8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符合</w:t>
            </w:r>
          </w:p>
          <w:p w14:paraId="1901108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z w:val="18"/>
                <w:szCs w:val="18"/>
                <w:lang w:val="en-US" w:eastAsia="zh-CN"/>
              </w:rPr>
            </w:pPr>
            <w:r>
              <w:rPr>
                <w:rFonts w:hint="eastAsia" w:ascii="CESI仿宋-GB2312" w:hAnsi="CESI仿宋-GB2312" w:eastAsia="CESI仿宋-GB2312" w:cs="CESI仿宋-GB2312"/>
                <w:snapToGrid w:val="0"/>
                <w:color w:val="000000"/>
                <w:sz w:val="18"/>
                <w:szCs w:val="18"/>
                <w:lang w:val="en-US" w:eastAsia="zh-CN"/>
              </w:rPr>
              <w:t xml:space="preserve"> </w:t>
            </w:r>
            <w:r>
              <w:rPr>
                <w:rFonts w:hint="eastAsia" w:ascii="CESI仿宋-GB2312" w:hAnsi="CESI仿宋-GB2312" w:eastAsia="CESI仿宋-GB2312" w:cs="CESI仿宋-GB2312"/>
                <w:snapToGrid w:val="0"/>
                <w:color w:val="000000"/>
                <w:spacing w:val="-6"/>
                <w:sz w:val="18"/>
                <w:szCs w:val="18"/>
              </w:rPr>
              <w:t>GB 2761-2017</w:t>
            </w:r>
            <w:r>
              <w:rPr>
                <w:rFonts w:hint="eastAsia" w:ascii="CESI仿宋-GB2312" w:hAnsi="CESI仿宋-GB2312" w:eastAsia="CESI仿宋-GB2312" w:cs="CESI仿宋-GB2312"/>
                <w:snapToGrid w:val="0"/>
                <w:color w:val="000000"/>
                <w:sz w:val="18"/>
                <w:szCs w:val="18"/>
                <w:lang w:val="en-US" w:eastAsia="zh-CN"/>
              </w:rPr>
              <w:t xml:space="preserve"> </w:t>
            </w:r>
          </w:p>
          <w:p w14:paraId="131E578B">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CESI仿宋-GB2312" w:hAnsi="CESI仿宋-GB2312" w:eastAsia="CESI仿宋-GB2312" w:cs="CESI仿宋-GB2312"/>
                <w:snapToGrid w:val="0"/>
                <w:color w:val="000000"/>
                <w:spacing w:val="-6"/>
                <w:sz w:val="18"/>
                <w:szCs w:val="18"/>
                <w:lang w:val="en-US"/>
              </w:rPr>
            </w:pPr>
            <w:r>
              <w:rPr>
                <w:rFonts w:hint="eastAsia" w:ascii="CESI仿宋-GB2312" w:hAnsi="CESI仿宋-GB2312" w:eastAsia="CESI仿宋-GB2312" w:cs="CESI仿宋-GB2312"/>
                <w:snapToGrid w:val="0"/>
                <w:color w:val="000000"/>
                <w:sz w:val="18"/>
                <w:szCs w:val="18"/>
                <w:lang w:val="en-US" w:eastAsia="zh-CN"/>
              </w:rPr>
              <w:t>限量要求</w:t>
            </w:r>
          </w:p>
        </w:tc>
        <w:tc>
          <w:tcPr>
            <w:tcW w:w="322" w:type="dxa"/>
            <w:noWrap w:val="0"/>
            <w:vAlign w:val="center"/>
          </w:tcPr>
          <w:p w14:paraId="30306E6A">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rPr>
            </w:pPr>
            <w:r>
              <w:rPr>
                <w:rFonts w:hint="eastAsia" w:ascii="CESI仿宋-GB2312" w:hAnsi="CESI仿宋-GB2312" w:eastAsia="CESI仿宋-GB2312" w:cs="CESI仿宋-GB2312"/>
                <w:snapToGrid w:val="0"/>
                <w:color w:val="000000"/>
                <w:spacing w:val="-6"/>
                <w:sz w:val="18"/>
                <w:szCs w:val="18"/>
              </w:rPr>
              <w:t>仅限花生及制品</w:t>
            </w:r>
          </w:p>
        </w:tc>
        <w:tc>
          <w:tcPr>
            <w:tcW w:w="812" w:type="dxa"/>
            <w:noWrap w:val="0"/>
            <w:vAlign w:val="center"/>
          </w:tcPr>
          <w:p w14:paraId="6A05C042">
            <w:pPr>
              <w:pStyle w:val="13"/>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CESI仿宋-GB2312" w:hAnsi="CESI仿宋-GB2312" w:eastAsia="CESI仿宋-GB2312" w:cs="CESI仿宋-GB2312"/>
                <w:snapToGrid w:val="0"/>
                <w:color w:val="000000"/>
                <w:spacing w:val="-6"/>
                <w:sz w:val="18"/>
                <w:szCs w:val="18"/>
              </w:rPr>
            </w:pPr>
            <w:r>
              <w:rPr>
                <w:rFonts w:hint="eastAsia" w:ascii="CESI仿宋-GB2312" w:hAnsi="CESI仿宋-GB2312" w:eastAsia="CESI仿宋-GB2312" w:cs="CESI仿宋-GB2312"/>
                <w:snapToGrid w:val="0"/>
                <w:color w:val="000000"/>
                <w:spacing w:val="-6"/>
                <w:sz w:val="18"/>
                <w:szCs w:val="18"/>
              </w:rPr>
              <w:t>A</w:t>
            </w:r>
          </w:p>
        </w:tc>
      </w:tr>
    </w:tbl>
    <w:p w14:paraId="50739BD8">
      <w:pPr>
        <w:widowControl w:val="0"/>
        <w:spacing w:line="560" w:lineRule="exact"/>
        <w:jc w:val="center"/>
        <w:rPr>
          <w:rFonts w:hint="eastAsia" w:ascii="方正小标宋_GBK" w:hAnsi="方正小标宋_GBK" w:eastAsia="方正小标宋_GBK"/>
          <w:sz w:val="44"/>
          <w:szCs w:val="24"/>
          <w:lang w:val="en-US" w:eastAsia="zh-CN"/>
        </w:rPr>
      </w:pPr>
    </w:p>
    <w:p w14:paraId="07B81FC7">
      <w:pPr>
        <w:pStyle w:val="10"/>
        <w:spacing w:beforeLines="0" w:afterLines="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24"/>
          <w:lang w:eastAsia="zh-CN"/>
        </w:rPr>
        <w:t>附件</w:t>
      </w:r>
      <w:r>
        <w:rPr>
          <w:rFonts w:hint="eastAsia" w:ascii="方正黑体_GBK" w:hAnsi="方正黑体_GBK" w:eastAsia="方正黑体_GBK" w:cs="方正黑体_GBK"/>
          <w:sz w:val="32"/>
          <w:szCs w:val="24"/>
          <w:lang w:val="en-US" w:eastAsia="zh-CN"/>
        </w:rPr>
        <w:t>3</w:t>
      </w:r>
    </w:p>
    <w:p w14:paraId="749A7F4C">
      <w:pPr>
        <w:widowControl w:val="0"/>
        <w:spacing w:line="560" w:lineRule="exact"/>
        <w:jc w:val="center"/>
        <w:rPr>
          <w:rFonts w:hint="eastAsia" w:ascii="方正小标宋_GBK" w:hAnsi="方正小标宋_GBK" w:eastAsia="方正小标宋_GBK"/>
          <w:sz w:val="44"/>
          <w:szCs w:val="24"/>
          <w:lang w:val="en-US" w:eastAsia="zh-CN"/>
        </w:rPr>
      </w:pPr>
      <w:r>
        <w:rPr>
          <w:rFonts w:hint="eastAsia" w:ascii="方正小标宋_GBK" w:hAnsi="方正小标宋_GBK" w:eastAsia="方正小标宋_GBK"/>
          <w:sz w:val="44"/>
          <w:szCs w:val="24"/>
          <w:lang w:val="en-US" w:eastAsia="zh-CN"/>
        </w:rPr>
        <w:t>农批市场标准化快检室建设参考规范</w:t>
      </w:r>
    </w:p>
    <w:p w14:paraId="67EE6AB4">
      <w:pPr>
        <w:widowControl w:val="0"/>
        <w:spacing w:line="560" w:lineRule="exact"/>
        <w:ind w:firstLine="640" w:firstLineChars="200"/>
        <w:rPr>
          <w:rFonts w:hint="eastAsia" w:ascii="方正楷体_GBK" w:hAnsi="方正楷体_GBK" w:eastAsia="方正楷体_GBK"/>
          <w:sz w:val="32"/>
          <w:szCs w:val="24"/>
          <w:lang w:val="en-US" w:eastAsia="zh-CN"/>
        </w:rPr>
      </w:pPr>
      <w:bookmarkStart w:id="0" w:name="_Toc3503576"/>
    </w:p>
    <w:p w14:paraId="4EC5D27F">
      <w:pPr>
        <w:widowControl w:val="0"/>
        <w:spacing w:line="560" w:lineRule="exact"/>
        <w:ind w:firstLine="640" w:firstLineChars="200"/>
        <w:rPr>
          <w:rFonts w:hint="eastAsia" w:ascii="方正楷体_GBK" w:hAnsi="方正楷体_GBK" w:eastAsia="方正楷体_GBK"/>
          <w:sz w:val="32"/>
          <w:szCs w:val="24"/>
          <w:lang w:val="en-US" w:eastAsia="zh-CN"/>
        </w:rPr>
      </w:pPr>
      <w:r>
        <w:rPr>
          <w:rFonts w:hint="eastAsia" w:ascii="方正楷体_GBK" w:hAnsi="方正楷体_GBK" w:eastAsia="方正楷体_GBK"/>
          <w:sz w:val="32"/>
          <w:szCs w:val="24"/>
          <w:lang w:val="en-US" w:eastAsia="zh-CN"/>
        </w:rPr>
        <w:t>１.快检室选址</w:t>
      </w:r>
      <w:bookmarkEnd w:id="0"/>
    </w:p>
    <w:p w14:paraId="56396C3A">
      <w:pPr>
        <w:widowControl w:val="0"/>
        <w:spacing w:line="560" w:lineRule="exact"/>
        <w:ind w:firstLine="640"/>
        <w:jc w:val="left"/>
        <w:rPr>
          <w:rFonts w:hint="eastAsia" w:ascii="CESI仿宋-GB2312" w:hAnsi="CESI仿宋-GB2312" w:eastAsia="CESI仿宋-GB2312"/>
          <w:sz w:val="32"/>
          <w:szCs w:val="24"/>
        </w:rPr>
      </w:pPr>
      <w:r>
        <w:rPr>
          <w:rFonts w:hint="eastAsia" w:ascii="CESI仿宋-GB2312" w:hAnsi="CESI仿宋-GB2312" w:eastAsia="CESI仿宋-GB2312"/>
          <w:sz w:val="32"/>
          <w:szCs w:val="24"/>
          <w:lang w:eastAsia="zh-CN"/>
        </w:rPr>
        <w:t>农批</w:t>
      </w:r>
      <w:r>
        <w:rPr>
          <w:rFonts w:hint="eastAsia" w:ascii="CESI仿宋-GB2312" w:hAnsi="CESI仿宋-GB2312" w:eastAsia="CESI仿宋-GB2312"/>
          <w:sz w:val="32"/>
          <w:szCs w:val="24"/>
        </w:rPr>
        <w:t>市场快检室</w:t>
      </w:r>
      <w:r>
        <w:rPr>
          <w:rFonts w:hint="eastAsia" w:ascii="CESI仿宋-GB2312" w:hAnsi="CESI仿宋-GB2312" w:eastAsia="CESI仿宋-GB2312"/>
          <w:sz w:val="32"/>
          <w:szCs w:val="24"/>
          <w:lang w:eastAsia="zh-CN"/>
        </w:rPr>
        <w:t>建设完善是</w:t>
      </w:r>
      <w:r>
        <w:rPr>
          <w:rFonts w:hint="eastAsia" w:ascii="CESI仿宋-GB2312" w:hAnsi="CESI仿宋-GB2312" w:eastAsia="CESI仿宋-GB2312"/>
          <w:sz w:val="32"/>
          <w:szCs w:val="24"/>
        </w:rPr>
        <w:t>政府“</w:t>
      </w:r>
      <w:r>
        <w:rPr>
          <w:rFonts w:hint="eastAsia" w:ascii="CESI仿宋-GB2312" w:hAnsi="CESI仿宋-GB2312" w:eastAsia="CESI仿宋-GB2312"/>
          <w:sz w:val="32"/>
          <w:szCs w:val="24"/>
          <w:lang w:eastAsia="zh-CN"/>
        </w:rPr>
        <w:t>民生</w:t>
      </w:r>
      <w:r>
        <w:rPr>
          <w:rFonts w:hint="eastAsia" w:ascii="CESI仿宋-GB2312" w:hAnsi="CESI仿宋-GB2312" w:eastAsia="CESI仿宋-GB2312"/>
          <w:sz w:val="32"/>
          <w:szCs w:val="24"/>
        </w:rPr>
        <w:t>实事”的</w:t>
      </w:r>
      <w:r>
        <w:rPr>
          <w:rFonts w:hint="eastAsia" w:ascii="CESI仿宋-GB2312" w:hAnsi="CESI仿宋-GB2312" w:eastAsia="CESI仿宋-GB2312"/>
          <w:sz w:val="32"/>
          <w:szCs w:val="24"/>
          <w:lang w:eastAsia="zh-CN"/>
        </w:rPr>
        <w:t>体现</w:t>
      </w:r>
      <w:r>
        <w:rPr>
          <w:rFonts w:hint="eastAsia" w:ascii="CESI仿宋-GB2312" w:hAnsi="CESI仿宋-GB2312" w:eastAsia="CESI仿宋-GB2312"/>
          <w:sz w:val="32"/>
          <w:szCs w:val="24"/>
        </w:rPr>
        <w:t>，</w:t>
      </w:r>
      <w:r>
        <w:rPr>
          <w:rFonts w:hint="eastAsia" w:ascii="CESI仿宋-GB2312" w:hAnsi="CESI仿宋-GB2312" w:eastAsia="CESI仿宋-GB2312"/>
          <w:sz w:val="32"/>
          <w:szCs w:val="24"/>
          <w:lang w:eastAsia="zh-CN"/>
        </w:rPr>
        <w:t>也是</w:t>
      </w:r>
      <w:r>
        <w:rPr>
          <w:rFonts w:hint="eastAsia" w:ascii="CESI仿宋-GB2312" w:hAnsi="CESI仿宋-GB2312" w:eastAsia="CESI仿宋-GB2312"/>
          <w:sz w:val="32"/>
          <w:szCs w:val="24"/>
        </w:rPr>
        <w:t>普及宣传食品安全知识、提升市场经营户食品安全意识的宣传展示阵地，因此快检室的形象展示非常重要，</w:t>
      </w:r>
      <w:r>
        <w:rPr>
          <w:rFonts w:hint="eastAsia" w:ascii="CESI仿宋-GB2312" w:hAnsi="CESI仿宋-GB2312" w:eastAsia="CESI仿宋-GB2312"/>
          <w:sz w:val="32"/>
          <w:szCs w:val="24"/>
          <w:lang w:eastAsia="zh-CN"/>
        </w:rPr>
        <w:t>农批</w:t>
      </w:r>
      <w:r>
        <w:rPr>
          <w:rFonts w:hint="eastAsia" w:ascii="CESI仿宋-GB2312" w:hAnsi="CESI仿宋-GB2312" w:eastAsia="CESI仿宋-GB2312"/>
          <w:sz w:val="32"/>
          <w:szCs w:val="24"/>
        </w:rPr>
        <w:t>市场食品快检室建设选址遵循以下原则：</w:t>
      </w:r>
    </w:p>
    <w:p w14:paraId="71589252">
      <w:pPr>
        <w:widowControl w:val="0"/>
        <w:spacing w:line="560" w:lineRule="exact"/>
        <w:ind w:firstLine="640"/>
        <w:jc w:val="left"/>
        <w:rPr>
          <w:rFonts w:hint="eastAsia" w:ascii="CESI仿宋-GB2312" w:hAnsi="CESI仿宋-GB2312" w:eastAsia="CESI仿宋-GB2312"/>
          <w:sz w:val="32"/>
          <w:szCs w:val="24"/>
        </w:rPr>
      </w:pPr>
      <w:r>
        <w:rPr>
          <w:rFonts w:hint="eastAsia" w:ascii="CESI仿宋-GB2312" w:hAnsi="CESI仿宋-GB2312" w:eastAsia="CESI仿宋-GB2312"/>
          <w:b/>
          <w:sz w:val="32"/>
          <w:szCs w:val="24"/>
          <w:lang w:val="en-US" w:eastAsia="zh-CN"/>
        </w:rPr>
        <w:t>（1）</w:t>
      </w:r>
      <w:r>
        <w:rPr>
          <w:rFonts w:hint="eastAsia" w:ascii="CESI仿宋-GB2312" w:hAnsi="CESI仿宋-GB2312" w:eastAsia="CESI仿宋-GB2312"/>
          <w:b/>
          <w:sz w:val="32"/>
          <w:szCs w:val="24"/>
        </w:rPr>
        <w:t>快检室选址</w:t>
      </w:r>
      <w:r>
        <w:rPr>
          <w:rFonts w:hint="eastAsia" w:ascii="CESI仿宋-GB2312" w:hAnsi="CESI仿宋-GB2312" w:eastAsia="CESI仿宋-GB2312"/>
          <w:b/>
          <w:sz w:val="32"/>
          <w:szCs w:val="24"/>
          <w:lang w:eastAsia="zh-CN"/>
        </w:rPr>
        <w:t>。</w:t>
      </w:r>
      <w:r>
        <w:rPr>
          <w:rFonts w:hint="eastAsia" w:ascii="CESI仿宋-GB2312" w:hAnsi="CESI仿宋-GB2312" w:eastAsia="CESI仿宋-GB2312"/>
          <w:sz w:val="32"/>
          <w:szCs w:val="24"/>
        </w:rPr>
        <w:t>快检室需尽可能建设在市场的入口处或市场内显</w:t>
      </w:r>
      <w:r>
        <w:rPr>
          <w:rFonts w:hint="eastAsia" w:ascii="CESI仿宋-GB2312" w:hAnsi="CESI仿宋-GB2312" w:eastAsia="CESI仿宋-GB2312"/>
          <w:sz w:val="32"/>
          <w:szCs w:val="24"/>
          <w:lang w:eastAsia="zh-CN"/>
        </w:rPr>
        <w:t>著</w:t>
      </w:r>
      <w:r>
        <w:rPr>
          <w:rFonts w:hint="eastAsia" w:ascii="CESI仿宋-GB2312" w:hAnsi="CESI仿宋-GB2312" w:eastAsia="CESI仿宋-GB2312"/>
          <w:sz w:val="32"/>
          <w:szCs w:val="24"/>
        </w:rPr>
        <w:t>处。</w:t>
      </w:r>
    </w:p>
    <w:p w14:paraId="26AA6A6C">
      <w:pPr>
        <w:widowControl w:val="0"/>
        <w:spacing w:line="560" w:lineRule="exact"/>
        <w:ind w:firstLine="640"/>
        <w:jc w:val="left"/>
        <w:rPr>
          <w:rFonts w:hint="eastAsia" w:ascii="CESI仿宋-GB2312" w:hAnsi="CESI仿宋-GB2312" w:eastAsia="CESI仿宋-GB2312"/>
          <w:sz w:val="32"/>
          <w:szCs w:val="24"/>
        </w:rPr>
      </w:pPr>
      <w:r>
        <w:rPr>
          <w:rFonts w:hint="eastAsia" w:ascii="CESI仿宋-GB2312" w:hAnsi="CESI仿宋-GB2312" w:eastAsia="CESI仿宋-GB2312"/>
          <w:b/>
          <w:sz w:val="32"/>
          <w:szCs w:val="24"/>
          <w:lang w:val="en-US" w:eastAsia="zh-CN"/>
        </w:rPr>
        <w:t>（2）快检室建设。</w:t>
      </w:r>
      <w:r>
        <w:rPr>
          <w:rFonts w:hint="eastAsia" w:ascii="CESI仿宋-GB2312" w:hAnsi="CESI仿宋-GB2312" w:eastAsia="CESI仿宋-GB2312"/>
          <w:sz w:val="32"/>
          <w:szCs w:val="24"/>
        </w:rPr>
        <w:t>快检室实际使用面积</w:t>
      </w:r>
      <w:r>
        <w:rPr>
          <w:rFonts w:hint="eastAsia" w:ascii="CESI仿宋-GB2312" w:hAnsi="CESI仿宋-GB2312" w:eastAsia="CESI仿宋-GB2312"/>
          <w:sz w:val="32"/>
          <w:szCs w:val="24"/>
          <w:lang w:eastAsia="zh-CN"/>
        </w:rPr>
        <w:t>应不少于</w:t>
      </w:r>
      <w:r>
        <w:rPr>
          <w:rFonts w:hint="eastAsia" w:ascii="CESI仿宋-GB2312" w:hAnsi="CESI仿宋-GB2312" w:eastAsia="CESI仿宋-GB2312"/>
          <w:sz w:val="32"/>
          <w:szCs w:val="24"/>
          <w:lang w:val="en-US" w:eastAsia="zh-CN"/>
        </w:rPr>
        <w:t>20</w:t>
      </w:r>
      <w:r>
        <w:rPr>
          <w:rFonts w:hint="eastAsia" w:ascii="方正仿宋_GBK" w:hAnsi="方正仿宋_GBK" w:eastAsia="方正仿宋_GBK" w:cs="方正仿宋_GBK"/>
          <w:sz w:val="32"/>
          <w:szCs w:val="24"/>
          <w:lang w:val="en-US" w:eastAsia="zh-CN"/>
        </w:rPr>
        <w:t>㎡</w:t>
      </w:r>
      <w:r>
        <w:rPr>
          <w:rFonts w:hint="eastAsia" w:ascii="CESI仿宋-GB2312" w:hAnsi="CESI仿宋-GB2312" w:eastAsia="CESI仿宋-GB2312"/>
          <w:sz w:val="32"/>
          <w:szCs w:val="24"/>
          <w:lang w:val="en-US" w:eastAsia="zh-CN"/>
        </w:rPr>
        <w:t>，</w:t>
      </w:r>
      <w:r>
        <w:rPr>
          <w:rFonts w:hint="eastAsia" w:ascii="CESI仿宋-GB2312" w:hAnsi="CESI仿宋-GB2312" w:eastAsia="CESI仿宋-GB2312"/>
          <w:sz w:val="32"/>
          <w:szCs w:val="24"/>
          <w:lang w:eastAsia="zh-CN"/>
        </w:rPr>
        <w:t>与市场规模、入场销售者数量等快检需求相匹配，满足快检工作要求，</w:t>
      </w:r>
      <w:r>
        <w:rPr>
          <w:rFonts w:hint="eastAsia" w:ascii="CESI仿宋-GB2312" w:hAnsi="CESI仿宋-GB2312" w:eastAsia="CESI仿宋-GB2312"/>
          <w:sz w:val="32"/>
          <w:szCs w:val="24"/>
        </w:rPr>
        <w:t>通电、通水（含排水）、通网</w:t>
      </w:r>
      <w:r>
        <w:rPr>
          <w:rFonts w:hint="eastAsia" w:ascii="CESI仿宋-GB2312" w:hAnsi="CESI仿宋-GB2312" w:eastAsia="CESI仿宋-GB2312"/>
          <w:sz w:val="32"/>
          <w:szCs w:val="24"/>
          <w:lang w:eastAsia="zh-CN"/>
        </w:rPr>
        <w:t>、</w:t>
      </w:r>
      <w:r>
        <w:rPr>
          <w:rFonts w:hint="eastAsia" w:ascii="CESI仿宋-GB2312" w:hAnsi="CESI仿宋-GB2312" w:eastAsia="CESI仿宋-GB2312"/>
          <w:sz w:val="32"/>
          <w:szCs w:val="24"/>
        </w:rPr>
        <w:t>通风</w:t>
      </w:r>
      <w:r>
        <w:rPr>
          <w:rFonts w:hint="eastAsia" w:ascii="CESI仿宋-GB2312" w:hAnsi="CESI仿宋-GB2312" w:eastAsia="CESI仿宋-GB2312"/>
          <w:sz w:val="32"/>
          <w:szCs w:val="24"/>
          <w:lang w:eastAsia="zh-CN"/>
        </w:rPr>
        <w:t>，</w:t>
      </w:r>
      <w:r>
        <w:rPr>
          <w:rFonts w:hint="eastAsia" w:ascii="CESI仿宋-GB2312" w:hAnsi="CESI仿宋-GB2312" w:eastAsia="CESI仿宋-GB2312"/>
          <w:sz w:val="32"/>
          <w:szCs w:val="24"/>
        </w:rPr>
        <w:t>条件良好。</w:t>
      </w:r>
    </w:p>
    <w:p w14:paraId="0C13E695">
      <w:pPr>
        <w:widowControl w:val="0"/>
        <w:spacing w:line="560" w:lineRule="exact"/>
        <w:ind w:firstLine="640"/>
        <w:jc w:val="left"/>
        <w:rPr>
          <w:rFonts w:hint="eastAsia" w:ascii="CESI仿宋-GB2312" w:hAnsi="CESI仿宋-GB2312" w:eastAsia="CESI仿宋-GB2312"/>
          <w:sz w:val="32"/>
          <w:szCs w:val="24"/>
          <w:lang w:eastAsia="zh-CN"/>
        </w:rPr>
      </w:pPr>
      <w:r>
        <w:rPr>
          <w:rFonts w:hint="eastAsia" w:ascii="CESI仿宋-GB2312" w:hAnsi="CESI仿宋-GB2312" w:eastAsia="CESI仿宋-GB2312"/>
          <w:b/>
          <w:sz w:val="32"/>
          <w:szCs w:val="24"/>
          <w:lang w:val="en-US" w:eastAsia="zh-CN"/>
        </w:rPr>
        <w:t>（3）快检服务接待窗口。</w:t>
      </w:r>
      <w:r>
        <w:rPr>
          <w:rFonts w:hint="eastAsia" w:ascii="CESI仿宋-GB2312" w:hAnsi="CESI仿宋-GB2312" w:eastAsia="CESI仿宋-GB2312"/>
          <w:sz w:val="32"/>
          <w:szCs w:val="24"/>
          <w:lang w:val="en-US" w:eastAsia="zh-CN"/>
        </w:rPr>
        <w:t>快检室应</w:t>
      </w:r>
      <w:r>
        <w:rPr>
          <w:rFonts w:hint="eastAsia" w:ascii="CESI仿宋-GB2312" w:hAnsi="CESI仿宋-GB2312" w:eastAsia="CESI仿宋-GB2312"/>
          <w:sz w:val="32"/>
          <w:szCs w:val="24"/>
          <w:lang w:eastAsia="zh-CN"/>
        </w:rPr>
        <w:t>设立专门窗口，接受消费者可随时送快检室进行免费检测，可通过“你送我检”等多种形式，为群众“菜篮子”安全保驾护航。</w:t>
      </w:r>
    </w:p>
    <w:p w14:paraId="24E91D21">
      <w:pPr>
        <w:widowControl w:val="0"/>
        <w:spacing w:line="560" w:lineRule="exact"/>
        <w:ind w:firstLine="640" w:firstLineChars="200"/>
        <w:rPr>
          <w:rFonts w:hint="eastAsia" w:ascii="方正楷体_GBK" w:hAnsi="方正楷体_GBK" w:eastAsia="方正楷体_GBK"/>
          <w:sz w:val="32"/>
          <w:szCs w:val="24"/>
          <w:lang w:val="en-US" w:eastAsia="zh-CN"/>
        </w:rPr>
      </w:pPr>
      <w:bookmarkStart w:id="1" w:name="_Toc3503577"/>
      <w:r>
        <w:rPr>
          <w:rFonts w:hint="eastAsia" w:ascii="方正楷体_GBK" w:hAnsi="方正楷体_GBK" w:eastAsia="方正楷体_GBK"/>
          <w:sz w:val="32"/>
          <w:szCs w:val="24"/>
          <w:lang w:val="en-US" w:eastAsia="zh-CN"/>
        </w:rPr>
        <w:t>２.快检室装修</w:t>
      </w:r>
      <w:bookmarkEnd w:id="1"/>
    </w:p>
    <w:p w14:paraId="6118421F">
      <w:pPr>
        <w:widowControl w:val="0"/>
        <w:spacing w:line="560" w:lineRule="exact"/>
        <w:ind w:firstLine="640"/>
        <w:jc w:val="left"/>
        <w:rPr>
          <w:rFonts w:hint="eastAsia" w:ascii="CESI仿宋-GB2312" w:hAnsi="CESI仿宋-GB2312" w:eastAsia="CESI仿宋-GB2312"/>
          <w:sz w:val="32"/>
          <w:szCs w:val="24"/>
          <w:lang w:eastAsia="zh-CN"/>
        </w:rPr>
      </w:pPr>
      <w:r>
        <w:rPr>
          <w:rFonts w:hint="eastAsia" w:ascii="CESI仿宋-GB2312" w:hAnsi="CESI仿宋-GB2312" w:eastAsia="CESI仿宋-GB2312"/>
          <w:sz w:val="32"/>
          <w:szCs w:val="24"/>
        </w:rPr>
        <w:t>快检室整体装修风格应体现严谨、规范的视觉感官感受</w:t>
      </w:r>
      <w:r>
        <w:rPr>
          <w:rFonts w:hint="eastAsia" w:ascii="CESI仿宋-GB2312" w:hAnsi="CESI仿宋-GB2312" w:eastAsia="CESI仿宋-GB2312"/>
          <w:sz w:val="32"/>
          <w:szCs w:val="24"/>
          <w:lang w:eastAsia="zh-CN"/>
        </w:rPr>
        <w:t>。门头标识应简洁、醒目、直观、统一，具有较高辨识度和视觉冲击力，确保一定距离外可清楚辨认。</w:t>
      </w:r>
    </w:p>
    <w:p w14:paraId="150A8307">
      <w:pPr>
        <w:widowControl w:val="0"/>
        <w:spacing w:line="560" w:lineRule="exact"/>
        <w:ind w:firstLine="640" w:firstLineChars="200"/>
        <w:rPr>
          <w:rFonts w:hint="eastAsia" w:ascii="方正楷体_GBK" w:hAnsi="方正楷体_GBK" w:eastAsia="方正楷体_GBK"/>
          <w:sz w:val="32"/>
          <w:szCs w:val="24"/>
          <w:lang w:val="en-US" w:eastAsia="zh-CN"/>
        </w:rPr>
      </w:pPr>
      <w:bookmarkStart w:id="2" w:name="_Toc3503578"/>
      <w:r>
        <w:rPr>
          <w:rFonts w:hint="eastAsia" w:ascii="方正楷体_GBK" w:hAnsi="方正楷体_GBK" w:eastAsia="方正楷体_GBK"/>
          <w:sz w:val="32"/>
          <w:szCs w:val="24"/>
          <w:lang w:val="en-US" w:eastAsia="zh-CN"/>
        </w:rPr>
        <w:t>3.快检室办公环境建设</w:t>
      </w:r>
      <w:bookmarkEnd w:id="2"/>
    </w:p>
    <w:p w14:paraId="2475093B">
      <w:pPr>
        <w:widowControl w:val="0"/>
        <w:spacing w:line="560" w:lineRule="exact"/>
        <w:ind w:firstLine="640" w:firstLineChars="200"/>
        <w:rPr>
          <w:rFonts w:hint="eastAsia" w:ascii="CESI仿宋-GB2312" w:hAnsi="CESI仿宋-GB2312" w:eastAsia="CESI仿宋-GB2312"/>
          <w:sz w:val="32"/>
          <w:szCs w:val="24"/>
          <w:lang w:eastAsia="zh-CN"/>
        </w:rPr>
      </w:pPr>
      <w:r>
        <w:rPr>
          <w:rFonts w:hint="eastAsia" w:ascii="CESI仿宋-GB2312" w:hAnsi="CESI仿宋-GB2312" w:eastAsia="CESI仿宋-GB2312"/>
          <w:sz w:val="32"/>
          <w:szCs w:val="24"/>
        </w:rPr>
        <w:t>快检室配置应满足日常工作需要，基本配置</w:t>
      </w:r>
      <w:r>
        <w:rPr>
          <w:rFonts w:hint="eastAsia" w:ascii="CESI仿宋-GB2312" w:hAnsi="CESI仿宋-GB2312" w:eastAsia="CESI仿宋-GB2312"/>
          <w:sz w:val="32"/>
          <w:szCs w:val="24"/>
          <w:lang w:eastAsia="zh-CN"/>
        </w:rPr>
        <w:t>应</w:t>
      </w:r>
      <w:r>
        <w:rPr>
          <w:rFonts w:hint="eastAsia" w:ascii="CESI仿宋-GB2312" w:hAnsi="CESI仿宋-GB2312" w:eastAsia="CESI仿宋-GB2312"/>
          <w:sz w:val="32"/>
          <w:szCs w:val="24"/>
        </w:rPr>
        <w:t>包括办公桌椅</w:t>
      </w:r>
      <w:r>
        <w:rPr>
          <w:rFonts w:hint="eastAsia" w:ascii="CESI仿宋-GB2312" w:hAnsi="CESI仿宋-GB2312" w:eastAsia="CESI仿宋-GB2312"/>
          <w:sz w:val="32"/>
          <w:szCs w:val="24"/>
          <w:lang w:eastAsia="zh-CN"/>
        </w:rPr>
        <w:t>、</w:t>
      </w:r>
      <w:r>
        <w:rPr>
          <w:rFonts w:hint="eastAsia" w:ascii="CESI仿宋-GB2312" w:hAnsi="CESI仿宋-GB2312" w:eastAsia="CESI仿宋-GB2312"/>
          <w:sz w:val="32"/>
          <w:szCs w:val="24"/>
        </w:rPr>
        <w:t>打印机</w:t>
      </w:r>
      <w:r>
        <w:rPr>
          <w:rFonts w:hint="eastAsia" w:ascii="CESI仿宋-GB2312" w:hAnsi="CESI仿宋-GB2312" w:eastAsia="CESI仿宋-GB2312"/>
          <w:sz w:val="32"/>
          <w:szCs w:val="24"/>
          <w:lang w:eastAsia="zh-CN"/>
        </w:rPr>
        <w:t>、</w:t>
      </w:r>
      <w:r>
        <w:rPr>
          <w:rFonts w:hint="eastAsia" w:ascii="CESI仿宋-GB2312" w:hAnsi="CESI仿宋-GB2312" w:eastAsia="CESI仿宋-GB2312"/>
          <w:sz w:val="32"/>
          <w:szCs w:val="24"/>
        </w:rPr>
        <w:t>文件柜</w:t>
      </w:r>
      <w:r>
        <w:rPr>
          <w:rFonts w:hint="eastAsia" w:ascii="CESI仿宋-GB2312" w:hAnsi="CESI仿宋-GB2312" w:eastAsia="CESI仿宋-GB2312"/>
          <w:sz w:val="32"/>
          <w:szCs w:val="24"/>
          <w:lang w:eastAsia="zh-CN"/>
        </w:rPr>
        <w:t>（</w:t>
      </w:r>
      <w:r>
        <w:rPr>
          <w:rFonts w:hint="eastAsia" w:ascii="CESI仿宋-GB2312" w:hAnsi="CESI仿宋-GB2312" w:eastAsia="CESI仿宋-GB2312"/>
          <w:sz w:val="32"/>
          <w:szCs w:val="24"/>
          <w:lang w:val="en-US" w:eastAsia="zh-CN"/>
        </w:rPr>
        <w:t>2组以上</w:t>
      </w:r>
      <w:r>
        <w:rPr>
          <w:rFonts w:hint="eastAsia" w:ascii="CESI仿宋-GB2312" w:hAnsi="CESI仿宋-GB2312" w:eastAsia="CESI仿宋-GB2312"/>
          <w:sz w:val="32"/>
          <w:szCs w:val="24"/>
          <w:lang w:eastAsia="zh-CN"/>
        </w:rPr>
        <w:t>）、</w:t>
      </w:r>
      <w:r>
        <w:rPr>
          <w:rFonts w:hint="eastAsia" w:ascii="CESI仿宋-GB2312" w:hAnsi="CESI仿宋-GB2312" w:eastAsia="CESI仿宋-GB2312"/>
          <w:sz w:val="32"/>
          <w:szCs w:val="24"/>
        </w:rPr>
        <w:t>办公电脑</w:t>
      </w:r>
      <w:bookmarkStart w:id="3" w:name="_Toc3503579"/>
      <w:r>
        <w:rPr>
          <w:rFonts w:hint="eastAsia" w:ascii="CESI仿宋-GB2312" w:hAnsi="CESI仿宋-GB2312" w:eastAsia="CESI仿宋-GB2312"/>
          <w:sz w:val="32"/>
          <w:szCs w:val="24"/>
          <w:lang w:eastAsia="zh-CN"/>
        </w:rPr>
        <w:t>等。</w:t>
      </w:r>
    </w:p>
    <w:p w14:paraId="02D9776D">
      <w:pPr>
        <w:widowControl w:val="0"/>
        <w:spacing w:line="560" w:lineRule="exact"/>
        <w:ind w:firstLine="640" w:firstLineChars="200"/>
        <w:rPr>
          <w:rFonts w:hint="eastAsia" w:ascii="方正楷体_GBK" w:hAnsi="方正楷体_GBK" w:eastAsia="方正楷体_GBK"/>
          <w:sz w:val="32"/>
          <w:szCs w:val="24"/>
          <w:lang w:val="en-US" w:eastAsia="zh-CN"/>
        </w:rPr>
      </w:pPr>
      <w:r>
        <w:rPr>
          <w:rFonts w:hint="eastAsia" w:ascii="方正楷体_GBK" w:hAnsi="方正楷体_GBK" w:eastAsia="方正楷体_GBK"/>
          <w:sz w:val="32"/>
          <w:szCs w:val="24"/>
          <w:lang w:val="en-US" w:eastAsia="zh-CN"/>
        </w:rPr>
        <w:t>４.快检室网络环境建设</w:t>
      </w:r>
      <w:bookmarkEnd w:id="3"/>
      <w:r>
        <w:rPr>
          <w:rFonts w:hint="eastAsia" w:ascii="方正楷体_GBK" w:hAnsi="方正楷体_GBK" w:eastAsia="方正楷体_GBK"/>
          <w:sz w:val="32"/>
          <w:szCs w:val="24"/>
          <w:lang w:val="en-US" w:eastAsia="zh-CN"/>
        </w:rPr>
        <w:t xml:space="preserve"> </w:t>
      </w:r>
    </w:p>
    <w:p w14:paraId="56421F16">
      <w:pPr>
        <w:widowControl w:val="0"/>
        <w:spacing w:line="560" w:lineRule="exact"/>
        <w:ind w:firstLine="640"/>
        <w:rPr>
          <w:rFonts w:hint="eastAsia" w:ascii="CESI仿宋-GB2312" w:hAnsi="CESI仿宋-GB2312" w:eastAsia="CESI仿宋-GB2312"/>
          <w:sz w:val="32"/>
          <w:szCs w:val="24"/>
        </w:rPr>
      </w:pPr>
      <w:r>
        <w:rPr>
          <w:rFonts w:hint="eastAsia" w:ascii="CESI仿宋-GB2312" w:hAnsi="CESI仿宋-GB2312" w:eastAsia="CESI仿宋-GB2312"/>
          <w:b w:val="0"/>
          <w:bCs/>
          <w:sz w:val="32"/>
          <w:szCs w:val="24"/>
          <w:lang w:val="en-US" w:eastAsia="zh-CN"/>
        </w:rPr>
        <w:t>网络</w:t>
      </w:r>
      <w:r>
        <w:rPr>
          <w:rFonts w:hint="eastAsia" w:ascii="CESI仿宋-GB2312" w:hAnsi="CESI仿宋-GB2312" w:eastAsia="CESI仿宋-GB2312"/>
          <w:b w:val="0"/>
          <w:bCs/>
          <w:sz w:val="32"/>
          <w:szCs w:val="24"/>
        </w:rPr>
        <w:t>配</w:t>
      </w:r>
      <w:r>
        <w:rPr>
          <w:rFonts w:hint="eastAsia" w:ascii="CESI仿宋-GB2312" w:hAnsi="CESI仿宋-GB2312" w:eastAsia="CESI仿宋-GB2312"/>
          <w:sz w:val="32"/>
          <w:szCs w:val="24"/>
        </w:rPr>
        <w:t>置</w:t>
      </w:r>
      <w:r>
        <w:rPr>
          <w:rFonts w:hint="eastAsia" w:ascii="CESI仿宋-GB2312" w:hAnsi="CESI仿宋-GB2312" w:eastAsia="CESI仿宋-GB2312"/>
          <w:sz w:val="32"/>
          <w:szCs w:val="24"/>
          <w:lang w:eastAsia="zh-CN"/>
        </w:rPr>
        <w:t>应能够</w:t>
      </w:r>
      <w:r>
        <w:rPr>
          <w:rFonts w:hint="eastAsia" w:ascii="CESI仿宋-GB2312" w:hAnsi="CESI仿宋-GB2312" w:eastAsia="CESI仿宋-GB2312"/>
          <w:sz w:val="32"/>
          <w:szCs w:val="24"/>
        </w:rPr>
        <w:t>实现</w:t>
      </w:r>
      <w:r>
        <w:rPr>
          <w:rFonts w:hint="eastAsia" w:ascii="CESI仿宋-GB2312" w:hAnsi="CESI仿宋-GB2312" w:eastAsia="CESI仿宋-GB2312" w:cs="Times New Roman"/>
          <w:sz w:val="32"/>
          <w:szCs w:val="24"/>
          <w:lang w:val="en-US" w:eastAsia="zh-CN"/>
        </w:rPr>
        <w:t>与省市场监管局检验检测信息平台实时对接，合适位置</w:t>
      </w:r>
      <w:r>
        <w:rPr>
          <w:rFonts w:hint="eastAsia" w:ascii="CESI仿宋-GB2312" w:hAnsi="CESI仿宋-GB2312" w:eastAsia="CESI仿宋-GB2312"/>
          <w:sz w:val="32"/>
          <w:szCs w:val="24"/>
        </w:rPr>
        <w:t>安装视频监控摄像头</w:t>
      </w:r>
      <w:r>
        <w:rPr>
          <w:rFonts w:hint="eastAsia" w:ascii="CESI仿宋-GB2312" w:hAnsi="CESI仿宋-GB2312" w:eastAsia="CESI仿宋-GB2312"/>
          <w:sz w:val="32"/>
          <w:szCs w:val="24"/>
          <w:lang w:eastAsia="zh-CN"/>
        </w:rPr>
        <w:t>，可适时查看操作人员的实验动作</w:t>
      </w:r>
      <w:r>
        <w:rPr>
          <w:rFonts w:hint="eastAsia" w:ascii="CESI仿宋-GB2312" w:hAnsi="CESI仿宋-GB2312" w:eastAsia="CESI仿宋-GB2312" w:cs="Times New Roman"/>
          <w:sz w:val="32"/>
          <w:szCs w:val="24"/>
          <w:lang w:val="en-US" w:eastAsia="zh-CN"/>
        </w:rPr>
        <w:t>。</w:t>
      </w:r>
    </w:p>
    <w:p w14:paraId="2B0FD1EA">
      <w:pPr>
        <w:widowControl w:val="0"/>
        <w:spacing w:line="560" w:lineRule="exact"/>
        <w:ind w:firstLine="640" w:firstLineChars="200"/>
        <w:rPr>
          <w:rFonts w:hint="eastAsia" w:ascii="方正楷体_GBK" w:hAnsi="方正楷体_GBK" w:eastAsia="方正楷体_GBK"/>
          <w:sz w:val="32"/>
          <w:szCs w:val="24"/>
          <w:lang w:val="en-US" w:eastAsia="zh-CN"/>
        </w:rPr>
      </w:pPr>
      <w:bookmarkStart w:id="4" w:name="_Toc3503580"/>
      <w:r>
        <w:rPr>
          <w:rFonts w:hint="eastAsia" w:ascii="方正楷体_GBK" w:hAnsi="方正楷体_GBK" w:eastAsia="方正楷体_GBK"/>
          <w:sz w:val="32"/>
          <w:szCs w:val="24"/>
          <w:lang w:val="en-US" w:eastAsia="zh-CN"/>
        </w:rPr>
        <w:t>５.快检室基础设施建设</w:t>
      </w:r>
      <w:bookmarkEnd w:id="4"/>
    </w:p>
    <w:p w14:paraId="3F59E61D">
      <w:pPr>
        <w:widowControl w:val="0"/>
        <w:spacing w:line="560" w:lineRule="exact"/>
        <w:ind w:firstLine="640"/>
        <w:rPr>
          <w:rFonts w:hint="eastAsia" w:ascii="CESI仿宋-GB2312" w:hAnsi="CESI仿宋-GB2312" w:eastAsia="CESI仿宋-GB2312"/>
          <w:sz w:val="32"/>
          <w:szCs w:val="24"/>
        </w:rPr>
      </w:pPr>
      <w:r>
        <w:rPr>
          <w:rFonts w:hint="eastAsia" w:ascii="CESI仿宋-GB2312" w:hAnsi="CESI仿宋-GB2312" w:eastAsia="CESI仿宋-GB2312"/>
          <w:sz w:val="32"/>
          <w:szCs w:val="24"/>
        </w:rPr>
        <w:t>基础设施建设可根据快检室的实际环境进行配置，包括以下设备：</w:t>
      </w:r>
    </w:p>
    <w:tbl>
      <w:tblPr>
        <w:tblStyle w:val="8"/>
        <w:tblW w:w="927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6"/>
        <w:gridCol w:w="2765"/>
        <w:gridCol w:w="4695"/>
        <w:gridCol w:w="945"/>
      </w:tblGrid>
      <w:tr w14:paraId="320DF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single" w:color="auto" w:sz="4" w:space="0"/>
              <w:left w:val="single" w:color="auto" w:sz="4" w:space="0"/>
              <w:bottom w:val="single" w:color="auto" w:sz="4" w:space="0"/>
              <w:right w:val="single" w:color="auto" w:sz="4" w:space="0"/>
            </w:tcBorders>
            <w:noWrap w:val="0"/>
            <w:vAlign w:val="center"/>
          </w:tcPr>
          <w:p w14:paraId="36C61B70">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序号</w:t>
            </w:r>
          </w:p>
        </w:tc>
        <w:tc>
          <w:tcPr>
            <w:tcW w:w="2765" w:type="dxa"/>
            <w:tcBorders>
              <w:top w:val="single" w:color="auto" w:sz="4" w:space="0"/>
              <w:left w:val="nil"/>
              <w:bottom w:val="single" w:color="auto" w:sz="4" w:space="0"/>
              <w:right w:val="single" w:color="auto" w:sz="4" w:space="0"/>
            </w:tcBorders>
            <w:noWrap w:val="0"/>
            <w:vAlign w:val="center"/>
          </w:tcPr>
          <w:p w14:paraId="63485FF3">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设备名称</w:t>
            </w:r>
          </w:p>
        </w:tc>
        <w:tc>
          <w:tcPr>
            <w:tcW w:w="4695" w:type="dxa"/>
            <w:tcBorders>
              <w:top w:val="single" w:color="auto" w:sz="4" w:space="0"/>
              <w:left w:val="nil"/>
              <w:bottom w:val="single" w:color="auto" w:sz="4" w:space="0"/>
              <w:right w:val="single" w:color="auto" w:sz="4" w:space="0"/>
            </w:tcBorders>
            <w:noWrap w:val="0"/>
            <w:vAlign w:val="center"/>
          </w:tcPr>
          <w:p w14:paraId="3609E976">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规格及技术参数要求</w:t>
            </w:r>
          </w:p>
        </w:tc>
        <w:tc>
          <w:tcPr>
            <w:tcW w:w="945" w:type="dxa"/>
            <w:tcBorders>
              <w:top w:val="single" w:color="auto" w:sz="4" w:space="0"/>
              <w:left w:val="nil"/>
              <w:bottom w:val="single" w:color="auto" w:sz="4" w:space="0"/>
              <w:right w:val="single" w:color="auto" w:sz="4" w:space="0"/>
            </w:tcBorders>
            <w:noWrap w:val="0"/>
            <w:vAlign w:val="center"/>
          </w:tcPr>
          <w:p w14:paraId="6A31E16E">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数量</w:t>
            </w:r>
          </w:p>
        </w:tc>
      </w:tr>
      <w:tr w14:paraId="365C9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single" w:color="auto" w:sz="4" w:space="0"/>
              <w:left w:val="single" w:color="auto" w:sz="4" w:space="0"/>
              <w:bottom w:val="single" w:color="auto" w:sz="4" w:space="0"/>
              <w:right w:val="single" w:color="auto" w:sz="4" w:space="0"/>
            </w:tcBorders>
            <w:noWrap w:val="0"/>
            <w:vAlign w:val="center"/>
          </w:tcPr>
          <w:p w14:paraId="3407BC73">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2765" w:type="dxa"/>
            <w:tcBorders>
              <w:top w:val="single" w:color="auto" w:sz="4" w:space="0"/>
              <w:left w:val="nil"/>
              <w:bottom w:val="single" w:color="auto" w:sz="4" w:space="0"/>
              <w:right w:val="single" w:color="auto" w:sz="4" w:space="0"/>
            </w:tcBorders>
            <w:noWrap w:val="0"/>
            <w:vAlign w:val="center"/>
          </w:tcPr>
          <w:p w14:paraId="5645B211">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冷冻冰箱</w:t>
            </w:r>
          </w:p>
        </w:tc>
        <w:tc>
          <w:tcPr>
            <w:tcW w:w="4695" w:type="dxa"/>
            <w:tcBorders>
              <w:top w:val="single" w:color="auto" w:sz="4" w:space="0"/>
              <w:left w:val="nil"/>
              <w:bottom w:val="single" w:color="auto" w:sz="4" w:space="0"/>
              <w:right w:val="single" w:color="auto" w:sz="4" w:space="0"/>
            </w:tcBorders>
            <w:noWrap w:val="0"/>
            <w:vAlign w:val="center"/>
          </w:tcPr>
          <w:p w14:paraId="15B6B6FB">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冷冻室≥100L</w:t>
            </w:r>
          </w:p>
        </w:tc>
        <w:tc>
          <w:tcPr>
            <w:tcW w:w="945" w:type="dxa"/>
            <w:tcBorders>
              <w:top w:val="single" w:color="auto" w:sz="4" w:space="0"/>
              <w:left w:val="nil"/>
              <w:bottom w:val="single" w:color="auto" w:sz="4" w:space="0"/>
              <w:right w:val="single" w:color="auto" w:sz="4" w:space="0"/>
            </w:tcBorders>
            <w:noWrap w:val="0"/>
            <w:vAlign w:val="center"/>
          </w:tcPr>
          <w:p w14:paraId="4431FB6F">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1台</w:t>
            </w:r>
          </w:p>
        </w:tc>
      </w:tr>
      <w:tr w14:paraId="21953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nil"/>
              <w:left w:val="single" w:color="auto" w:sz="4" w:space="0"/>
              <w:bottom w:val="single" w:color="auto" w:sz="4" w:space="0"/>
              <w:right w:val="single" w:color="auto" w:sz="4" w:space="0"/>
            </w:tcBorders>
            <w:noWrap w:val="0"/>
            <w:vAlign w:val="center"/>
          </w:tcPr>
          <w:p w14:paraId="1DBBD56E">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2765" w:type="dxa"/>
            <w:tcBorders>
              <w:top w:val="nil"/>
              <w:left w:val="nil"/>
              <w:bottom w:val="single" w:color="auto" w:sz="4" w:space="0"/>
              <w:right w:val="single" w:color="auto" w:sz="4" w:space="0"/>
            </w:tcBorders>
            <w:noWrap w:val="0"/>
            <w:vAlign w:val="center"/>
          </w:tcPr>
          <w:p w14:paraId="33BBFF1D">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防腐蚀实验操作台</w:t>
            </w:r>
          </w:p>
        </w:tc>
        <w:tc>
          <w:tcPr>
            <w:tcW w:w="4695" w:type="dxa"/>
            <w:tcBorders>
              <w:top w:val="nil"/>
              <w:left w:val="nil"/>
              <w:bottom w:val="single" w:color="auto" w:sz="4" w:space="0"/>
              <w:right w:val="single" w:color="auto" w:sz="4" w:space="0"/>
            </w:tcBorders>
            <w:noWrap w:val="0"/>
            <w:vAlign w:val="center"/>
          </w:tcPr>
          <w:p w14:paraId="2FDB6BDD">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120*250cm</w:t>
            </w:r>
          </w:p>
        </w:tc>
        <w:tc>
          <w:tcPr>
            <w:tcW w:w="945" w:type="dxa"/>
            <w:tcBorders>
              <w:top w:val="nil"/>
              <w:left w:val="nil"/>
              <w:bottom w:val="single" w:color="auto" w:sz="4" w:space="0"/>
              <w:right w:val="single" w:color="auto" w:sz="4" w:space="0"/>
            </w:tcBorders>
            <w:noWrap w:val="0"/>
            <w:vAlign w:val="center"/>
          </w:tcPr>
          <w:p w14:paraId="671F81FA">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1组</w:t>
            </w:r>
          </w:p>
        </w:tc>
      </w:tr>
      <w:tr w14:paraId="67130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nil"/>
              <w:left w:val="single" w:color="auto" w:sz="4" w:space="0"/>
              <w:bottom w:val="single" w:color="auto" w:sz="4" w:space="0"/>
              <w:right w:val="single" w:color="auto" w:sz="4" w:space="0"/>
            </w:tcBorders>
            <w:noWrap w:val="0"/>
            <w:vAlign w:val="center"/>
          </w:tcPr>
          <w:p w14:paraId="7076C676">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2765" w:type="dxa"/>
            <w:tcBorders>
              <w:top w:val="nil"/>
              <w:left w:val="nil"/>
              <w:bottom w:val="single" w:color="auto" w:sz="4" w:space="0"/>
              <w:right w:val="single" w:color="auto" w:sz="4" w:space="0"/>
            </w:tcBorders>
            <w:noWrap w:val="0"/>
            <w:vAlign w:val="center"/>
          </w:tcPr>
          <w:p w14:paraId="1DC87D90">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水槽及洗手台</w:t>
            </w:r>
          </w:p>
        </w:tc>
        <w:tc>
          <w:tcPr>
            <w:tcW w:w="4695" w:type="dxa"/>
            <w:tcBorders>
              <w:top w:val="nil"/>
              <w:left w:val="nil"/>
              <w:bottom w:val="single" w:color="auto" w:sz="4" w:space="0"/>
              <w:right w:val="single" w:color="auto" w:sz="4" w:space="0"/>
            </w:tcBorders>
            <w:noWrap w:val="0"/>
            <w:vAlign w:val="center"/>
          </w:tcPr>
          <w:p w14:paraId="307CD9AA">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120*250cm</w:t>
            </w:r>
          </w:p>
        </w:tc>
        <w:tc>
          <w:tcPr>
            <w:tcW w:w="945" w:type="dxa"/>
            <w:tcBorders>
              <w:top w:val="nil"/>
              <w:left w:val="nil"/>
              <w:bottom w:val="single" w:color="auto" w:sz="4" w:space="0"/>
              <w:right w:val="single" w:color="auto" w:sz="4" w:space="0"/>
            </w:tcBorders>
            <w:noWrap w:val="0"/>
            <w:vAlign w:val="center"/>
          </w:tcPr>
          <w:p w14:paraId="0417F9D3">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1组</w:t>
            </w:r>
          </w:p>
        </w:tc>
      </w:tr>
      <w:tr w14:paraId="1C2C2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nil"/>
              <w:left w:val="single" w:color="auto" w:sz="4" w:space="0"/>
              <w:bottom w:val="single" w:color="auto" w:sz="4" w:space="0"/>
              <w:right w:val="single" w:color="auto" w:sz="4" w:space="0"/>
            </w:tcBorders>
            <w:noWrap w:val="0"/>
            <w:vAlign w:val="center"/>
          </w:tcPr>
          <w:p w14:paraId="6C2154A7">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c>
          <w:tcPr>
            <w:tcW w:w="2765" w:type="dxa"/>
            <w:tcBorders>
              <w:top w:val="nil"/>
              <w:left w:val="nil"/>
              <w:bottom w:val="single" w:color="auto" w:sz="4" w:space="0"/>
              <w:right w:val="single" w:color="auto" w:sz="4" w:space="0"/>
            </w:tcBorders>
            <w:noWrap w:val="0"/>
            <w:vAlign w:val="center"/>
          </w:tcPr>
          <w:p w14:paraId="67580DBF">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通风厨</w:t>
            </w:r>
          </w:p>
        </w:tc>
        <w:tc>
          <w:tcPr>
            <w:tcW w:w="4695" w:type="dxa"/>
            <w:tcBorders>
              <w:top w:val="nil"/>
              <w:left w:val="nil"/>
              <w:bottom w:val="single" w:color="auto" w:sz="4" w:space="0"/>
              <w:right w:val="single" w:color="auto" w:sz="4" w:space="0"/>
            </w:tcBorders>
            <w:noWrap w:val="0"/>
            <w:vAlign w:val="center"/>
          </w:tcPr>
          <w:p w14:paraId="12404D21">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120*85*235cm</w:t>
            </w:r>
          </w:p>
        </w:tc>
        <w:tc>
          <w:tcPr>
            <w:tcW w:w="945" w:type="dxa"/>
            <w:tcBorders>
              <w:top w:val="nil"/>
              <w:left w:val="nil"/>
              <w:bottom w:val="single" w:color="auto" w:sz="4" w:space="0"/>
              <w:right w:val="single" w:color="auto" w:sz="4" w:space="0"/>
            </w:tcBorders>
            <w:noWrap w:val="0"/>
            <w:vAlign w:val="center"/>
          </w:tcPr>
          <w:p w14:paraId="0FC76CE8">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1组</w:t>
            </w:r>
          </w:p>
        </w:tc>
      </w:tr>
      <w:tr w14:paraId="05182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nil"/>
              <w:left w:val="single" w:color="auto" w:sz="4" w:space="0"/>
              <w:bottom w:val="single" w:color="auto" w:sz="4" w:space="0"/>
              <w:right w:val="single" w:color="auto" w:sz="4" w:space="0"/>
            </w:tcBorders>
            <w:noWrap w:val="0"/>
            <w:vAlign w:val="center"/>
          </w:tcPr>
          <w:p w14:paraId="26F1F79C">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c>
          <w:tcPr>
            <w:tcW w:w="2765" w:type="dxa"/>
            <w:tcBorders>
              <w:top w:val="nil"/>
              <w:left w:val="nil"/>
              <w:bottom w:val="single" w:color="auto" w:sz="4" w:space="0"/>
              <w:right w:val="single" w:color="auto" w:sz="4" w:space="0"/>
            </w:tcBorders>
            <w:noWrap w:val="0"/>
            <w:vAlign w:val="center"/>
          </w:tcPr>
          <w:p w14:paraId="1268A9BD">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常规采样箱</w:t>
            </w:r>
          </w:p>
        </w:tc>
        <w:tc>
          <w:tcPr>
            <w:tcW w:w="4695" w:type="dxa"/>
            <w:tcBorders>
              <w:top w:val="nil"/>
              <w:left w:val="nil"/>
              <w:bottom w:val="single" w:color="auto" w:sz="4" w:space="0"/>
              <w:right w:val="single" w:color="auto" w:sz="4" w:space="0"/>
            </w:tcBorders>
            <w:noWrap w:val="0"/>
            <w:vAlign w:val="center"/>
          </w:tcPr>
          <w:p w14:paraId="1AB939DA">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≥40L</w:t>
            </w:r>
          </w:p>
        </w:tc>
        <w:tc>
          <w:tcPr>
            <w:tcW w:w="945" w:type="dxa"/>
            <w:tcBorders>
              <w:top w:val="nil"/>
              <w:left w:val="nil"/>
              <w:bottom w:val="single" w:color="auto" w:sz="4" w:space="0"/>
              <w:right w:val="single" w:color="auto" w:sz="4" w:space="0"/>
            </w:tcBorders>
            <w:noWrap w:val="0"/>
            <w:vAlign w:val="center"/>
          </w:tcPr>
          <w:p w14:paraId="457E5A51">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1个</w:t>
            </w:r>
          </w:p>
        </w:tc>
      </w:tr>
      <w:tr w14:paraId="315F7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nil"/>
              <w:left w:val="single" w:color="auto" w:sz="4" w:space="0"/>
              <w:bottom w:val="single" w:color="auto" w:sz="4" w:space="0"/>
              <w:right w:val="single" w:color="auto" w:sz="4" w:space="0"/>
            </w:tcBorders>
            <w:noWrap w:val="0"/>
            <w:vAlign w:val="center"/>
          </w:tcPr>
          <w:p w14:paraId="754C7215">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w:t>
            </w:r>
          </w:p>
        </w:tc>
        <w:tc>
          <w:tcPr>
            <w:tcW w:w="2765" w:type="dxa"/>
            <w:tcBorders>
              <w:top w:val="nil"/>
              <w:left w:val="nil"/>
              <w:bottom w:val="single" w:color="auto" w:sz="4" w:space="0"/>
              <w:right w:val="single" w:color="auto" w:sz="4" w:space="0"/>
            </w:tcBorders>
            <w:noWrap w:val="0"/>
            <w:vAlign w:val="center"/>
          </w:tcPr>
          <w:p w14:paraId="12DBF5D3">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多量程移液枪</w:t>
            </w:r>
          </w:p>
        </w:tc>
        <w:tc>
          <w:tcPr>
            <w:tcW w:w="4695" w:type="dxa"/>
            <w:tcBorders>
              <w:top w:val="nil"/>
              <w:left w:val="nil"/>
              <w:bottom w:val="single" w:color="auto" w:sz="4" w:space="0"/>
              <w:right w:val="single" w:color="auto" w:sz="4" w:space="0"/>
            </w:tcBorders>
            <w:noWrap w:val="0"/>
            <w:vAlign w:val="center"/>
          </w:tcPr>
          <w:p w14:paraId="74511B1E">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含</w:t>
            </w:r>
            <w:r>
              <w:rPr>
                <w:rFonts w:hint="eastAsia" w:ascii="仿宋_GB2312" w:hAnsi="仿宋_GB2312" w:eastAsia="仿宋_GB2312" w:cs="仿宋_GB2312"/>
                <w:kern w:val="0"/>
                <w:sz w:val="28"/>
                <w:szCs w:val="28"/>
              </w:rPr>
              <w:t>10ul</w:t>
            </w:r>
            <w:r>
              <w:rPr>
                <w:rFonts w:hint="eastAsia" w:ascii="仿宋_GB2312" w:hAnsi="仿宋_GB2312" w:eastAsia="仿宋_GB2312" w:cs="仿宋_GB2312"/>
                <w:color w:val="000000"/>
                <w:kern w:val="0"/>
                <w:sz w:val="28"/>
                <w:szCs w:val="28"/>
              </w:rPr>
              <w:t>，200ul，1ml，5ml</w:t>
            </w:r>
          </w:p>
        </w:tc>
        <w:tc>
          <w:tcPr>
            <w:tcW w:w="945" w:type="dxa"/>
            <w:tcBorders>
              <w:top w:val="nil"/>
              <w:left w:val="nil"/>
              <w:bottom w:val="single" w:color="auto" w:sz="4" w:space="0"/>
              <w:right w:val="single" w:color="auto" w:sz="4" w:space="0"/>
            </w:tcBorders>
            <w:noWrap w:val="0"/>
            <w:vAlign w:val="center"/>
          </w:tcPr>
          <w:p w14:paraId="137F1AFA">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2套</w:t>
            </w:r>
          </w:p>
        </w:tc>
      </w:tr>
      <w:tr w14:paraId="354DF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nil"/>
              <w:left w:val="single" w:color="auto" w:sz="4" w:space="0"/>
              <w:bottom w:val="single" w:color="auto" w:sz="4" w:space="0"/>
              <w:right w:val="single" w:color="auto" w:sz="4" w:space="0"/>
            </w:tcBorders>
            <w:noWrap w:val="0"/>
            <w:vAlign w:val="center"/>
          </w:tcPr>
          <w:p w14:paraId="6AC1877D">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w:t>
            </w:r>
          </w:p>
        </w:tc>
        <w:tc>
          <w:tcPr>
            <w:tcW w:w="2765" w:type="dxa"/>
            <w:tcBorders>
              <w:top w:val="nil"/>
              <w:left w:val="nil"/>
              <w:bottom w:val="single" w:color="auto" w:sz="4" w:space="0"/>
              <w:right w:val="single" w:color="auto" w:sz="4" w:space="0"/>
            </w:tcBorders>
            <w:noWrap w:val="0"/>
            <w:vAlign w:val="center"/>
          </w:tcPr>
          <w:p w14:paraId="210CC3B2">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电子天平</w:t>
            </w:r>
          </w:p>
        </w:tc>
        <w:tc>
          <w:tcPr>
            <w:tcW w:w="4695" w:type="dxa"/>
            <w:tcBorders>
              <w:top w:val="nil"/>
              <w:left w:val="nil"/>
              <w:bottom w:val="single" w:color="auto" w:sz="4" w:space="0"/>
              <w:right w:val="single" w:color="auto" w:sz="4" w:space="0"/>
            </w:tcBorders>
            <w:noWrap w:val="0"/>
            <w:vAlign w:val="center"/>
          </w:tcPr>
          <w:p w14:paraId="60EADEFB">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最大量程≥200g；精度0.01g以上</w:t>
            </w:r>
          </w:p>
        </w:tc>
        <w:tc>
          <w:tcPr>
            <w:tcW w:w="945" w:type="dxa"/>
            <w:tcBorders>
              <w:top w:val="nil"/>
              <w:left w:val="nil"/>
              <w:bottom w:val="single" w:color="auto" w:sz="4" w:space="0"/>
              <w:right w:val="single" w:color="auto" w:sz="4" w:space="0"/>
            </w:tcBorders>
            <w:noWrap w:val="0"/>
            <w:vAlign w:val="center"/>
          </w:tcPr>
          <w:p w14:paraId="389CEFD6">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1台</w:t>
            </w:r>
          </w:p>
        </w:tc>
      </w:tr>
      <w:tr w14:paraId="104C6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nil"/>
              <w:left w:val="single" w:color="auto" w:sz="4" w:space="0"/>
              <w:bottom w:val="single" w:color="auto" w:sz="4" w:space="0"/>
              <w:right w:val="single" w:color="auto" w:sz="4" w:space="0"/>
            </w:tcBorders>
            <w:noWrap w:val="0"/>
            <w:vAlign w:val="center"/>
          </w:tcPr>
          <w:p w14:paraId="27178F3E">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w:t>
            </w:r>
          </w:p>
        </w:tc>
        <w:tc>
          <w:tcPr>
            <w:tcW w:w="2765" w:type="dxa"/>
            <w:tcBorders>
              <w:top w:val="nil"/>
              <w:left w:val="nil"/>
              <w:bottom w:val="single" w:color="auto" w:sz="4" w:space="0"/>
              <w:right w:val="single" w:color="auto" w:sz="4" w:space="0"/>
            </w:tcBorders>
            <w:noWrap w:val="0"/>
            <w:vAlign w:val="center"/>
          </w:tcPr>
          <w:p w14:paraId="2CD2A863">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实验用器皿</w:t>
            </w:r>
          </w:p>
        </w:tc>
        <w:tc>
          <w:tcPr>
            <w:tcW w:w="4695" w:type="dxa"/>
            <w:tcBorders>
              <w:top w:val="nil"/>
              <w:left w:val="nil"/>
              <w:bottom w:val="single" w:color="auto" w:sz="4" w:space="0"/>
              <w:right w:val="single" w:color="auto" w:sz="4" w:space="0"/>
            </w:tcBorders>
            <w:noWrap w:val="0"/>
            <w:vAlign w:val="center"/>
          </w:tcPr>
          <w:p w14:paraId="62626311">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包含烧杯、量筒、试管等常用器皿</w:t>
            </w:r>
          </w:p>
        </w:tc>
        <w:tc>
          <w:tcPr>
            <w:tcW w:w="945" w:type="dxa"/>
            <w:tcBorders>
              <w:top w:val="nil"/>
              <w:left w:val="nil"/>
              <w:bottom w:val="single" w:color="auto" w:sz="4" w:space="0"/>
              <w:right w:val="single" w:color="auto" w:sz="4" w:space="0"/>
            </w:tcBorders>
            <w:noWrap w:val="0"/>
            <w:vAlign w:val="center"/>
          </w:tcPr>
          <w:p w14:paraId="4B6FFC48">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1组</w:t>
            </w:r>
          </w:p>
        </w:tc>
      </w:tr>
      <w:tr w14:paraId="61244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nil"/>
              <w:left w:val="single" w:color="auto" w:sz="4" w:space="0"/>
              <w:bottom w:val="single" w:color="auto" w:sz="4" w:space="0"/>
              <w:right w:val="single" w:color="auto" w:sz="4" w:space="0"/>
            </w:tcBorders>
            <w:noWrap w:val="0"/>
            <w:vAlign w:val="center"/>
          </w:tcPr>
          <w:p w14:paraId="6B9CF618">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w:t>
            </w:r>
          </w:p>
        </w:tc>
        <w:tc>
          <w:tcPr>
            <w:tcW w:w="2765" w:type="dxa"/>
            <w:tcBorders>
              <w:top w:val="nil"/>
              <w:left w:val="nil"/>
              <w:bottom w:val="single" w:color="auto" w:sz="4" w:space="0"/>
              <w:right w:val="single" w:color="auto" w:sz="4" w:space="0"/>
            </w:tcBorders>
            <w:noWrap w:val="0"/>
            <w:vAlign w:val="center"/>
          </w:tcPr>
          <w:p w14:paraId="0F648FE7">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试管架</w:t>
            </w:r>
          </w:p>
        </w:tc>
        <w:tc>
          <w:tcPr>
            <w:tcW w:w="4695" w:type="dxa"/>
            <w:tcBorders>
              <w:top w:val="nil"/>
              <w:left w:val="nil"/>
              <w:bottom w:val="single" w:color="auto" w:sz="4" w:space="0"/>
              <w:right w:val="single" w:color="auto" w:sz="4" w:space="0"/>
            </w:tcBorders>
            <w:noWrap w:val="0"/>
            <w:vAlign w:val="center"/>
          </w:tcPr>
          <w:p w14:paraId="3D75F7C3">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防腐蚀材质</w:t>
            </w:r>
          </w:p>
        </w:tc>
        <w:tc>
          <w:tcPr>
            <w:tcW w:w="945" w:type="dxa"/>
            <w:tcBorders>
              <w:top w:val="nil"/>
              <w:left w:val="nil"/>
              <w:bottom w:val="single" w:color="auto" w:sz="4" w:space="0"/>
              <w:right w:val="single" w:color="auto" w:sz="4" w:space="0"/>
            </w:tcBorders>
            <w:noWrap w:val="0"/>
            <w:vAlign w:val="center"/>
          </w:tcPr>
          <w:p w14:paraId="54FF002A">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1个</w:t>
            </w:r>
          </w:p>
        </w:tc>
      </w:tr>
      <w:tr w14:paraId="2298E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6" w:type="dxa"/>
            <w:tcBorders>
              <w:top w:val="nil"/>
              <w:left w:val="single" w:color="auto" w:sz="4" w:space="0"/>
              <w:bottom w:val="single" w:color="auto" w:sz="4" w:space="0"/>
              <w:right w:val="single" w:color="auto" w:sz="4" w:space="0"/>
            </w:tcBorders>
            <w:noWrap w:val="0"/>
            <w:vAlign w:val="center"/>
          </w:tcPr>
          <w:p w14:paraId="3CB2ED0D">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10</w:t>
            </w:r>
          </w:p>
        </w:tc>
        <w:tc>
          <w:tcPr>
            <w:tcW w:w="2765" w:type="dxa"/>
            <w:tcBorders>
              <w:top w:val="nil"/>
              <w:left w:val="nil"/>
              <w:bottom w:val="single" w:color="auto" w:sz="4" w:space="0"/>
              <w:right w:val="single" w:color="auto" w:sz="4" w:space="0"/>
            </w:tcBorders>
            <w:noWrap w:val="0"/>
            <w:vAlign w:val="center"/>
          </w:tcPr>
          <w:p w14:paraId="1B0407ED">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其他常规耗材</w:t>
            </w:r>
          </w:p>
        </w:tc>
        <w:tc>
          <w:tcPr>
            <w:tcW w:w="4695" w:type="dxa"/>
            <w:tcBorders>
              <w:top w:val="nil"/>
              <w:left w:val="nil"/>
              <w:bottom w:val="single" w:color="auto" w:sz="4" w:space="0"/>
              <w:right w:val="single" w:color="auto" w:sz="4" w:space="0"/>
            </w:tcBorders>
            <w:noWrap w:val="0"/>
            <w:vAlign w:val="center"/>
          </w:tcPr>
          <w:p w14:paraId="1319E7C1">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包含实验服、移液器枪头等常规耗材</w:t>
            </w:r>
          </w:p>
        </w:tc>
        <w:tc>
          <w:tcPr>
            <w:tcW w:w="945" w:type="dxa"/>
            <w:tcBorders>
              <w:top w:val="nil"/>
              <w:left w:val="nil"/>
              <w:bottom w:val="single" w:color="auto" w:sz="4" w:space="0"/>
              <w:right w:val="single" w:color="auto" w:sz="4" w:space="0"/>
            </w:tcBorders>
            <w:noWrap w:val="0"/>
            <w:vAlign w:val="center"/>
          </w:tcPr>
          <w:p w14:paraId="209FCAEB">
            <w:pPr>
              <w:keepNext w:val="0"/>
              <w:keepLines w:val="0"/>
              <w:pageBreakBefore w:val="0"/>
              <w:widowControl/>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1套</w:t>
            </w:r>
          </w:p>
        </w:tc>
      </w:tr>
    </w:tbl>
    <w:p w14:paraId="6A1F4F89">
      <w:pPr>
        <w:pStyle w:val="7"/>
        <w:rPr>
          <w:rFonts w:hint="eastAsia"/>
        </w:rPr>
      </w:pPr>
    </w:p>
    <w:p w14:paraId="259CD94B">
      <w:pPr>
        <w:widowControl w:val="0"/>
        <w:spacing w:line="560" w:lineRule="exact"/>
        <w:ind w:firstLine="640" w:firstLineChars="200"/>
        <w:rPr>
          <w:rFonts w:hint="eastAsia" w:ascii="方正楷体_GBK" w:hAnsi="方正楷体_GBK" w:eastAsia="方正楷体_GBK"/>
          <w:sz w:val="32"/>
          <w:szCs w:val="24"/>
          <w:lang w:val="en-US" w:eastAsia="zh-CN"/>
        </w:rPr>
      </w:pPr>
      <w:bookmarkStart w:id="5" w:name="_Toc3503581"/>
      <w:r>
        <w:rPr>
          <w:rFonts w:hint="eastAsia" w:ascii="方正楷体_GBK" w:hAnsi="方正楷体_GBK" w:eastAsia="方正楷体_GBK"/>
          <w:sz w:val="32"/>
          <w:szCs w:val="24"/>
          <w:lang w:val="en-US" w:eastAsia="zh-CN"/>
        </w:rPr>
        <w:t>６.快检室样品前处理设备配置</w:t>
      </w:r>
      <w:bookmarkEnd w:id="5"/>
    </w:p>
    <w:p w14:paraId="3D1FB3D1">
      <w:pPr>
        <w:widowControl w:val="0"/>
        <w:spacing w:line="560" w:lineRule="exact"/>
        <w:ind w:firstLine="640" w:firstLineChars="200"/>
        <w:rPr>
          <w:rFonts w:hint="eastAsia" w:ascii="CESI仿宋-GB2312" w:hAnsi="CESI仿宋-GB2312" w:eastAsia="CESI仿宋-GB2312"/>
          <w:sz w:val="32"/>
          <w:szCs w:val="24"/>
        </w:rPr>
      </w:pPr>
      <w:r>
        <w:rPr>
          <w:rFonts w:hint="eastAsia" w:ascii="CESI仿宋-GB2312" w:hAnsi="CESI仿宋-GB2312" w:eastAsia="CESI仿宋-GB2312"/>
          <w:sz w:val="32"/>
          <w:szCs w:val="24"/>
        </w:rPr>
        <w:t>快检室配置的检测样品前处理设备可根据检测项目需求进行调整，以满足日常检测要求为准</w:t>
      </w:r>
      <w:r>
        <w:rPr>
          <w:rFonts w:hint="eastAsia" w:ascii="CESI仿宋-GB2312" w:hAnsi="CESI仿宋-GB2312" w:eastAsia="CESI仿宋-GB2312"/>
          <w:sz w:val="32"/>
          <w:szCs w:val="24"/>
          <w:lang w:eastAsia="zh-CN"/>
        </w:rPr>
        <w:t>，</w:t>
      </w:r>
      <w:r>
        <w:rPr>
          <w:rFonts w:hint="eastAsia" w:ascii="CESI仿宋-GB2312" w:hAnsi="CESI仿宋-GB2312" w:eastAsia="CESI仿宋-GB2312"/>
          <w:sz w:val="32"/>
          <w:szCs w:val="24"/>
        </w:rPr>
        <w:t>同时兼顾未来检测项目扩展的需求，避免重复建设，配置的前处理设备</w:t>
      </w:r>
      <w:r>
        <w:rPr>
          <w:rFonts w:hint="eastAsia" w:ascii="CESI仿宋-GB2312" w:hAnsi="CESI仿宋-GB2312" w:eastAsia="CESI仿宋-GB2312"/>
          <w:sz w:val="32"/>
          <w:szCs w:val="24"/>
          <w:lang w:eastAsia="zh-CN"/>
        </w:rPr>
        <w:t>一般包括</w:t>
      </w:r>
      <w:r>
        <w:rPr>
          <w:rFonts w:hint="eastAsia" w:ascii="CESI仿宋-GB2312" w:hAnsi="CESI仿宋-GB2312" w:eastAsia="CESI仿宋-GB2312"/>
          <w:sz w:val="32"/>
          <w:szCs w:val="24"/>
        </w:rPr>
        <w:t>：</w:t>
      </w:r>
    </w:p>
    <w:tbl>
      <w:tblPr>
        <w:tblStyle w:val="8"/>
        <w:tblW w:w="9039" w:type="dxa"/>
        <w:tblInd w:w="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5"/>
        <w:gridCol w:w="1905"/>
        <w:gridCol w:w="4733"/>
        <w:gridCol w:w="1276"/>
      </w:tblGrid>
      <w:tr w14:paraId="00502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25" w:type="dxa"/>
            <w:tcBorders>
              <w:top w:val="single" w:color="auto" w:sz="4" w:space="0"/>
              <w:left w:val="single" w:color="auto" w:sz="4" w:space="0"/>
              <w:bottom w:val="single" w:color="auto" w:sz="4" w:space="0"/>
              <w:right w:val="single" w:color="auto" w:sz="4" w:space="0"/>
              <w:tl2br w:val="nil"/>
              <w:tr2bl w:val="nil"/>
            </w:tcBorders>
            <w:noWrap w:val="0"/>
            <w:vAlign w:val="top"/>
          </w:tcPr>
          <w:p w14:paraId="2B47350E">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序号</w:t>
            </w:r>
          </w:p>
        </w:tc>
        <w:tc>
          <w:tcPr>
            <w:tcW w:w="1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8BAA87">
            <w:pPr>
              <w:spacing w:line="400" w:lineRule="exact"/>
              <w:jc w:val="left"/>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设备名称</w:t>
            </w:r>
          </w:p>
        </w:tc>
        <w:tc>
          <w:tcPr>
            <w:tcW w:w="4733" w:type="dxa"/>
            <w:tcBorders>
              <w:top w:val="single" w:color="auto" w:sz="4" w:space="0"/>
              <w:left w:val="nil"/>
              <w:bottom w:val="single" w:color="auto" w:sz="4" w:space="0"/>
              <w:right w:val="single" w:color="auto" w:sz="4" w:space="0"/>
              <w:tl2br w:val="nil"/>
              <w:tr2bl w:val="nil"/>
            </w:tcBorders>
            <w:noWrap w:val="0"/>
            <w:vAlign w:val="center"/>
          </w:tcPr>
          <w:p w14:paraId="62A1E9B4">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技术参数要求</w:t>
            </w:r>
          </w:p>
        </w:tc>
        <w:tc>
          <w:tcPr>
            <w:tcW w:w="1276" w:type="dxa"/>
            <w:tcBorders>
              <w:top w:val="single" w:color="auto" w:sz="4" w:space="0"/>
              <w:left w:val="nil"/>
              <w:bottom w:val="single" w:color="auto" w:sz="4" w:space="0"/>
              <w:right w:val="single" w:color="auto" w:sz="4" w:space="0"/>
              <w:tl2br w:val="nil"/>
              <w:tr2bl w:val="nil"/>
            </w:tcBorders>
            <w:noWrap w:val="0"/>
            <w:vAlign w:val="center"/>
          </w:tcPr>
          <w:p w14:paraId="7B7ABAB9">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数量</w:t>
            </w:r>
          </w:p>
        </w:tc>
      </w:tr>
      <w:tr w14:paraId="68211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25" w:type="dxa"/>
            <w:tcBorders>
              <w:top w:val="single" w:color="auto" w:sz="4" w:space="0"/>
              <w:left w:val="single" w:color="auto" w:sz="4" w:space="0"/>
              <w:bottom w:val="single" w:color="auto" w:sz="4" w:space="0"/>
              <w:right w:val="single" w:color="auto" w:sz="4" w:space="0"/>
              <w:tl2br w:val="nil"/>
              <w:tr2bl w:val="nil"/>
            </w:tcBorders>
            <w:noWrap w:val="0"/>
            <w:vAlign w:val="top"/>
          </w:tcPr>
          <w:p w14:paraId="5AF745AA">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w:t>
            </w:r>
          </w:p>
        </w:tc>
        <w:tc>
          <w:tcPr>
            <w:tcW w:w="1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295222">
            <w:pPr>
              <w:spacing w:line="400" w:lineRule="exact"/>
              <w:jc w:val="left"/>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离心机</w:t>
            </w:r>
          </w:p>
        </w:tc>
        <w:tc>
          <w:tcPr>
            <w:tcW w:w="4733" w:type="dxa"/>
            <w:tcBorders>
              <w:top w:val="single" w:color="auto" w:sz="4" w:space="0"/>
              <w:left w:val="nil"/>
              <w:bottom w:val="single" w:color="auto" w:sz="4" w:space="0"/>
              <w:right w:val="single" w:color="auto" w:sz="4" w:space="0"/>
              <w:tl2br w:val="nil"/>
              <w:tr2bl w:val="nil"/>
            </w:tcBorders>
            <w:noWrap w:val="0"/>
            <w:vAlign w:val="center"/>
          </w:tcPr>
          <w:p w14:paraId="67EC271B">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最大转速≥4000r/min</w:t>
            </w:r>
          </w:p>
        </w:tc>
        <w:tc>
          <w:tcPr>
            <w:tcW w:w="1276" w:type="dxa"/>
            <w:tcBorders>
              <w:top w:val="single" w:color="auto" w:sz="4" w:space="0"/>
              <w:left w:val="nil"/>
              <w:bottom w:val="single" w:color="auto" w:sz="4" w:space="0"/>
              <w:right w:val="single" w:color="auto" w:sz="4" w:space="0"/>
              <w:tl2br w:val="nil"/>
              <w:tr2bl w:val="nil"/>
            </w:tcBorders>
            <w:noWrap w:val="0"/>
            <w:vAlign w:val="center"/>
          </w:tcPr>
          <w:p w14:paraId="391FACE8">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1台</w:t>
            </w:r>
          </w:p>
        </w:tc>
      </w:tr>
      <w:tr w14:paraId="524A7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25" w:type="dxa"/>
            <w:tcBorders>
              <w:top w:val="nil"/>
              <w:left w:val="single" w:color="auto" w:sz="4" w:space="0"/>
              <w:bottom w:val="single" w:color="auto" w:sz="4" w:space="0"/>
              <w:right w:val="single" w:color="auto" w:sz="4" w:space="0"/>
              <w:tl2br w:val="nil"/>
              <w:tr2bl w:val="nil"/>
            </w:tcBorders>
            <w:noWrap w:val="0"/>
            <w:vAlign w:val="top"/>
          </w:tcPr>
          <w:p w14:paraId="357B0500">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2</w:t>
            </w:r>
          </w:p>
        </w:tc>
        <w:tc>
          <w:tcPr>
            <w:tcW w:w="1905" w:type="dxa"/>
            <w:tcBorders>
              <w:top w:val="nil"/>
              <w:left w:val="single" w:color="auto" w:sz="4" w:space="0"/>
              <w:bottom w:val="single" w:color="auto" w:sz="4" w:space="0"/>
              <w:right w:val="single" w:color="auto" w:sz="4" w:space="0"/>
              <w:tl2br w:val="nil"/>
              <w:tr2bl w:val="nil"/>
            </w:tcBorders>
            <w:noWrap w:val="0"/>
            <w:vAlign w:val="center"/>
          </w:tcPr>
          <w:p w14:paraId="792E65F6">
            <w:pPr>
              <w:spacing w:line="400" w:lineRule="exact"/>
              <w:jc w:val="left"/>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震荡器</w:t>
            </w:r>
          </w:p>
        </w:tc>
        <w:tc>
          <w:tcPr>
            <w:tcW w:w="4733" w:type="dxa"/>
            <w:tcBorders>
              <w:top w:val="nil"/>
              <w:left w:val="nil"/>
              <w:bottom w:val="single" w:color="auto" w:sz="4" w:space="0"/>
              <w:right w:val="single" w:color="auto" w:sz="4" w:space="0"/>
              <w:tl2br w:val="nil"/>
              <w:tr2bl w:val="nil"/>
            </w:tcBorders>
            <w:noWrap w:val="0"/>
            <w:vAlign w:val="center"/>
          </w:tcPr>
          <w:p w14:paraId="6E4927C4">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无极调速≥0-3000rpm，振幅≥5mm</w:t>
            </w:r>
          </w:p>
        </w:tc>
        <w:tc>
          <w:tcPr>
            <w:tcW w:w="1276" w:type="dxa"/>
            <w:tcBorders>
              <w:top w:val="nil"/>
              <w:left w:val="nil"/>
              <w:bottom w:val="single" w:color="auto" w:sz="4" w:space="0"/>
              <w:right w:val="single" w:color="auto" w:sz="4" w:space="0"/>
              <w:tl2br w:val="nil"/>
              <w:tr2bl w:val="nil"/>
            </w:tcBorders>
            <w:noWrap w:val="0"/>
            <w:vAlign w:val="center"/>
          </w:tcPr>
          <w:p w14:paraId="41080453">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1台</w:t>
            </w:r>
          </w:p>
        </w:tc>
      </w:tr>
      <w:tr w14:paraId="39212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25" w:type="dxa"/>
            <w:tcBorders>
              <w:top w:val="nil"/>
              <w:left w:val="single" w:color="auto" w:sz="4" w:space="0"/>
              <w:bottom w:val="single" w:color="auto" w:sz="4" w:space="0"/>
              <w:right w:val="single" w:color="auto" w:sz="4" w:space="0"/>
              <w:tl2br w:val="nil"/>
              <w:tr2bl w:val="nil"/>
            </w:tcBorders>
            <w:noWrap w:val="0"/>
            <w:vAlign w:val="top"/>
          </w:tcPr>
          <w:p w14:paraId="08F91BEB">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3</w:t>
            </w:r>
          </w:p>
        </w:tc>
        <w:tc>
          <w:tcPr>
            <w:tcW w:w="1905" w:type="dxa"/>
            <w:tcBorders>
              <w:top w:val="nil"/>
              <w:left w:val="single" w:color="auto" w:sz="4" w:space="0"/>
              <w:bottom w:val="single" w:color="auto" w:sz="4" w:space="0"/>
              <w:right w:val="single" w:color="auto" w:sz="4" w:space="0"/>
              <w:tl2br w:val="nil"/>
              <w:tr2bl w:val="nil"/>
            </w:tcBorders>
            <w:noWrap w:val="0"/>
            <w:vAlign w:val="center"/>
          </w:tcPr>
          <w:p w14:paraId="261DAAF4">
            <w:pPr>
              <w:spacing w:line="400" w:lineRule="exact"/>
              <w:jc w:val="left"/>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恒温水浴锅</w:t>
            </w:r>
          </w:p>
        </w:tc>
        <w:tc>
          <w:tcPr>
            <w:tcW w:w="4733" w:type="dxa"/>
            <w:tcBorders>
              <w:top w:val="nil"/>
              <w:left w:val="nil"/>
              <w:bottom w:val="single" w:color="auto" w:sz="4" w:space="0"/>
              <w:right w:val="single" w:color="auto" w:sz="4" w:space="0"/>
              <w:tl2br w:val="nil"/>
              <w:tr2bl w:val="nil"/>
            </w:tcBorders>
            <w:noWrap w:val="0"/>
            <w:vAlign w:val="center"/>
          </w:tcPr>
          <w:p w14:paraId="7774D10A">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温度：室温-100℃</w:t>
            </w:r>
          </w:p>
        </w:tc>
        <w:tc>
          <w:tcPr>
            <w:tcW w:w="1276" w:type="dxa"/>
            <w:tcBorders>
              <w:top w:val="nil"/>
              <w:left w:val="nil"/>
              <w:bottom w:val="single" w:color="auto" w:sz="4" w:space="0"/>
              <w:right w:val="single" w:color="auto" w:sz="4" w:space="0"/>
              <w:tl2br w:val="nil"/>
              <w:tr2bl w:val="nil"/>
            </w:tcBorders>
            <w:noWrap w:val="0"/>
            <w:vAlign w:val="center"/>
          </w:tcPr>
          <w:p w14:paraId="413349B8">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1台</w:t>
            </w:r>
          </w:p>
        </w:tc>
      </w:tr>
      <w:tr w14:paraId="08C3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25" w:type="dxa"/>
            <w:tcBorders>
              <w:top w:val="nil"/>
              <w:left w:val="single" w:color="auto" w:sz="4" w:space="0"/>
              <w:bottom w:val="single" w:color="auto" w:sz="4" w:space="0"/>
              <w:right w:val="single" w:color="auto" w:sz="4" w:space="0"/>
              <w:tl2br w:val="nil"/>
              <w:tr2bl w:val="nil"/>
            </w:tcBorders>
            <w:noWrap w:val="0"/>
            <w:vAlign w:val="top"/>
          </w:tcPr>
          <w:p w14:paraId="3C458AF5">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4</w:t>
            </w:r>
          </w:p>
        </w:tc>
        <w:tc>
          <w:tcPr>
            <w:tcW w:w="1905" w:type="dxa"/>
            <w:tcBorders>
              <w:top w:val="nil"/>
              <w:left w:val="single" w:color="auto" w:sz="4" w:space="0"/>
              <w:bottom w:val="single" w:color="auto" w:sz="4" w:space="0"/>
              <w:right w:val="single" w:color="auto" w:sz="4" w:space="0"/>
              <w:tl2br w:val="nil"/>
              <w:tr2bl w:val="nil"/>
            </w:tcBorders>
            <w:noWrap w:val="0"/>
            <w:vAlign w:val="center"/>
          </w:tcPr>
          <w:p w14:paraId="38A68811">
            <w:pPr>
              <w:spacing w:line="400" w:lineRule="exact"/>
              <w:jc w:val="left"/>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样品粉碎机</w:t>
            </w:r>
          </w:p>
        </w:tc>
        <w:tc>
          <w:tcPr>
            <w:tcW w:w="4733" w:type="dxa"/>
            <w:tcBorders>
              <w:top w:val="nil"/>
              <w:left w:val="nil"/>
              <w:bottom w:val="single" w:color="auto" w:sz="4" w:space="0"/>
              <w:right w:val="single" w:color="auto" w:sz="4" w:space="0"/>
              <w:tl2br w:val="nil"/>
              <w:tr2bl w:val="nil"/>
            </w:tcBorders>
            <w:noWrap w:val="0"/>
            <w:vAlign w:val="center"/>
          </w:tcPr>
          <w:p w14:paraId="7943DB61">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转速：12000rpm以上</w:t>
            </w:r>
          </w:p>
        </w:tc>
        <w:tc>
          <w:tcPr>
            <w:tcW w:w="1276" w:type="dxa"/>
            <w:tcBorders>
              <w:top w:val="nil"/>
              <w:left w:val="nil"/>
              <w:bottom w:val="single" w:color="auto" w:sz="4" w:space="0"/>
              <w:right w:val="single" w:color="auto" w:sz="4" w:space="0"/>
              <w:tl2br w:val="nil"/>
              <w:tr2bl w:val="nil"/>
            </w:tcBorders>
            <w:noWrap w:val="0"/>
            <w:vAlign w:val="center"/>
          </w:tcPr>
          <w:p w14:paraId="40A3A00B">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1台</w:t>
            </w:r>
          </w:p>
        </w:tc>
      </w:tr>
      <w:tr w14:paraId="2D304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25" w:type="dxa"/>
            <w:tcBorders>
              <w:top w:val="nil"/>
              <w:left w:val="single" w:color="auto" w:sz="4" w:space="0"/>
              <w:bottom w:val="single" w:color="auto" w:sz="4" w:space="0"/>
              <w:right w:val="single" w:color="auto" w:sz="4" w:space="0"/>
              <w:tl2br w:val="nil"/>
              <w:tr2bl w:val="nil"/>
            </w:tcBorders>
            <w:noWrap w:val="0"/>
            <w:vAlign w:val="top"/>
          </w:tcPr>
          <w:p w14:paraId="163C5EC5">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5</w:t>
            </w:r>
          </w:p>
        </w:tc>
        <w:tc>
          <w:tcPr>
            <w:tcW w:w="1905" w:type="dxa"/>
            <w:tcBorders>
              <w:top w:val="nil"/>
              <w:left w:val="single" w:color="auto" w:sz="4" w:space="0"/>
              <w:bottom w:val="single" w:color="auto" w:sz="4" w:space="0"/>
              <w:right w:val="single" w:color="auto" w:sz="4" w:space="0"/>
              <w:tl2br w:val="nil"/>
              <w:tr2bl w:val="nil"/>
            </w:tcBorders>
            <w:noWrap w:val="0"/>
            <w:vAlign w:val="center"/>
          </w:tcPr>
          <w:p w14:paraId="0C1CB565">
            <w:pPr>
              <w:spacing w:line="400" w:lineRule="exact"/>
              <w:jc w:val="left"/>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样品浓缩仪</w:t>
            </w:r>
          </w:p>
        </w:tc>
        <w:tc>
          <w:tcPr>
            <w:tcW w:w="4733" w:type="dxa"/>
            <w:tcBorders>
              <w:top w:val="nil"/>
              <w:left w:val="nil"/>
              <w:bottom w:val="single" w:color="auto" w:sz="4" w:space="0"/>
              <w:right w:val="single" w:color="auto" w:sz="4" w:space="0"/>
              <w:tl2br w:val="nil"/>
              <w:tr2bl w:val="nil"/>
            </w:tcBorders>
            <w:noWrap w:val="0"/>
            <w:vAlign w:val="center"/>
          </w:tcPr>
          <w:p w14:paraId="4CD2F54F">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可同时处理10个以上样品</w:t>
            </w:r>
          </w:p>
        </w:tc>
        <w:tc>
          <w:tcPr>
            <w:tcW w:w="1276" w:type="dxa"/>
            <w:tcBorders>
              <w:top w:val="nil"/>
              <w:left w:val="nil"/>
              <w:bottom w:val="single" w:color="auto" w:sz="4" w:space="0"/>
              <w:right w:val="single" w:color="auto" w:sz="4" w:space="0"/>
              <w:tl2br w:val="nil"/>
              <w:tr2bl w:val="nil"/>
            </w:tcBorders>
            <w:noWrap w:val="0"/>
            <w:vAlign w:val="center"/>
          </w:tcPr>
          <w:p w14:paraId="7F1FD72A">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1台</w:t>
            </w:r>
          </w:p>
        </w:tc>
      </w:tr>
    </w:tbl>
    <w:p w14:paraId="340FF590">
      <w:pPr>
        <w:widowControl w:val="0"/>
        <w:spacing w:line="560" w:lineRule="exact"/>
        <w:ind w:firstLine="640" w:firstLineChars="200"/>
        <w:rPr>
          <w:rFonts w:hint="eastAsia" w:ascii="方正楷体_GBK" w:hAnsi="方正楷体_GBK" w:eastAsia="方正楷体_GBK"/>
          <w:sz w:val="32"/>
          <w:szCs w:val="24"/>
          <w:lang w:val="en-US" w:eastAsia="zh-CN"/>
        </w:rPr>
      </w:pPr>
      <w:bookmarkStart w:id="6" w:name="_Toc3503582"/>
      <w:r>
        <w:rPr>
          <w:rFonts w:hint="eastAsia" w:ascii="方正楷体_GBK" w:hAnsi="方正楷体_GBK" w:eastAsia="方正楷体_GBK"/>
          <w:sz w:val="32"/>
          <w:szCs w:val="24"/>
          <w:lang w:val="en-US" w:eastAsia="zh-CN"/>
        </w:rPr>
        <w:t>７.检测仪器设备配置</w:t>
      </w:r>
      <w:bookmarkEnd w:id="6"/>
    </w:p>
    <w:p w14:paraId="0920F633">
      <w:pPr>
        <w:widowControl w:val="0"/>
        <w:spacing w:line="560" w:lineRule="exact"/>
        <w:ind w:firstLine="640" w:firstLineChars="200"/>
        <w:rPr>
          <w:rFonts w:hint="eastAsia" w:ascii="CESI仿宋-GB2312" w:hAnsi="CESI仿宋-GB2312" w:eastAsia="CESI仿宋-GB2312"/>
          <w:sz w:val="32"/>
          <w:szCs w:val="24"/>
        </w:rPr>
      </w:pPr>
      <w:r>
        <w:rPr>
          <w:rFonts w:hint="eastAsia" w:ascii="CESI仿宋-GB2312" w:hAnsi="CESI仿宋-GB2312" w:eastAsia="CESI仿宋-GB2312"/>
          <w:sz w:val="32"/>
          <w:szCs w:val="24"/>
          <w:lang w:val="en-US" w:eastAsia="zh-CN"/>
        </w:rPr>
        <w:t>（1）</w:t>
      </w:r>
      <w:r>
        <w:rPr>
          <w:rFonts w:hint="eastAsia" w:ascii="CESI仿宋-GB2312" w:hAnsi="CESI仿宋-GB2312" w:eastAsia="CESI仿宋-GB2312"/>
          <w:sz w:val="32"/>
          <w:szCs w:val="24"/>
        </w:rPr>
        <w:t>快检室配置的快检仪器种类可根据市场经营的产品种类及食品安全检测监管的需求增加检测设备配置，</w:t>
      </w:r>
      <w:r>
        <w:rPr>
          <w:rFonts w:hint="eastAsia" w:ascii="CESI仿宋-GB2312" w:hAnsi="CESI仿宋-GB2312" w:eastAsia="CESI仿宋-GB2312"/>
          <w:sz w:val="32"/>
          <w:szCs w:val="24"/>
          <w:lang w:eastAsia="zh-CN"/>
        </w:rPr>
        <w:t>应至少配备</w:t>
      </w:r>
      <w:r>
        <w:rPr>
          <w:rFonts w:hint="eastAsia" w:ascii="CESI仿宋-GB2312" w:hAnsi="CESI仿宋-GB2312" w:eastAsia="CESI仿宋-GB2312"/>
          <w:sz w:val="32"/>
          <w:szCs w:val="24"/>
        </w:rPr>
        <w:t>下表中所列的</w:t>
      </w:r>
      <w:r>
        <w:rPr>
          <w:rFonts w:hint="eastAsia" w:ascii="CESI仿宋-GB2312" w:hAnsi="CESI仿宋-GB2312" w:eastAsia="CESI仿宋-GB2312"/>
          <w:sz w:val="32"/>
          <w:szCs w:val="24"/>
          <w:lang w:eastAsia="zh-CN"/>
        </w:rPr>
        <w:t>仪器设备</w:t>
      </w:r>
      <w:r>
        <w:rPr>
          <w:rFonts w:hint="eastAsia" w:ascii="CESI仿宋-GB2312" w:hAnsi="CESI仿宋-GB2312" w:eastAsia="CESI仿宋-GB2312"/>
          <w:sz w:val="32"/>
          <w:szCs w:val="24"/>
        </w:rPr>
        <w:t>：</w:t>
      </w:r>
    </w:p>
    <w:tbl>
      <w:tblPr>
        <w:tblStyle w:val="8"/>
        <w:tblW w:w="906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058"/>
        <w:gridCol w:w="5266"/>
        <w:gridCol w:w="845"/>
      </w:tblGrid>
      <w:tr w14:paraId="00EB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F898C2">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序号</w:t>
            </w:r>
          </w:p>
        </w:tc>
        <w:tc>
          <w:tcPr>
            <w:tcW w:w="205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C40B3B">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仪器设备名称</w:t>
            </w:r>
          </w:p>
        </w:tc>
        <w:tc>
          <w:tcPr>
            <w:tcW w:w="5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254D9">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功能描述</w:t>
            </w:r>
          </w:p>
        </w:tc>
        <w:tc>
          <w:tcPr>
            <w:tcW w:w="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D14E46">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数量</w:t>
            </w:r>
          </w:p>
        </w:tc>
      </w:tr>
      <w:tr w14:paraId="0C59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D87C30">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w:t>
            </w:r>
          </w:p>
        </w:tc>
        <w:tc>
          <w:tcPr>
            <w:tcW w:w="205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55BE62">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多功能食品安全检测仪</w:t>
            </w:r>
          </w:p>
        </w:tc>
        <w:tc>
          <w:tcPr>
            <w:tcW w:w="5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22CE20">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快速检测果蔬、水发产品、豆制品、加工类食品中的农药残留、非法添加物、违禁残留物等理化类检测项目</w:t>
            </w:r>
          </w:p>
        </w:tc>
        <w:tc>
          <w:tcPr>
            <w:tcW w:w="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67A75B">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1台</w:t>
            </w:r>
          </w:p>
        </w:tc>
      </w:tr>
      <w:tr w14:paraId="02C1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4941BC">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2</w:t>
            </w:r>
          </w:p>
        </w:tc>
        <w:tc>
          <w:tcPr>
            <w:tcW w:w="205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29BA71">
            <w:pPr>
              <w:spacing w:line="400" w:lineRule="exact"/>
              <w:jc w:val="center"/>
              <w:rPr>
                <w:rFonts w:hint="eastAsia" w:ascii="CESI仿宋-GB2312" w:hAnsi="CESI仿宋-GB2312" w:eastAsia="CESI仿宋-GB2312"/>
                <w:color w:val="000000"/>
                <w:kern w:val="0"/>
                <w:sz w:val="28"/>
                <w:szCs w:val="28"/>
                <w:lang w:eastAsia="zh-CN"/>
              </w:rPr>
            </w:pPr>
            <w:r>
              <w:rPr>
                <w:rFonts w:hint="eastAsia" w:ascii="CESI仿宋-GB2312" w:hAnsi="CESI仿宋-GB2312" w:eastAsia="CESI仿宋-GB2312"/>
                <w:color w:val="000000"/>
                <w:kern w:val="0"/>
                <w:sz w:val="28"/>
                <w:szCs w:val="28"/>
                <w:lang w:eastAsia="zh-CN"/>
              </w:rPr>
              <w:t>胶体金读卡仪（多功能检测仪没有此项功能的）</w:t>
            </w:r>
          </w:p>
        </w:tc>
        <w:tc>
          <w:tcPr>
            <w:tcW w:w="5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E5BBE6">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快速检测猪牛羊鸡鸭、水产品、谷物、粮油等中的瘦肉精、药物残留、非法添加、真菌毒素等。</w:t>
            </w:r>
          </w:p>
        </w:tc>
        <w:tc>
          <w:tcPr>
            <w:tcW w:w="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638F2A">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1台</w:t>
            </w:r>
          </w:p>
        </w:tc>
      </w:tr>
      <w:tr w14:paraId="4D50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921D9B">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3</w:t>
            </w:r>
          </w:p>
        </w:tc>
        <w:tc>
          <w:tcPr>
            <w:tcW w:w="205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7075E3">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肉类水分速测仪</w:t>
            </w:r>
          </w:p>
        </w:tc>
        <w:tc>
          <w:tcPr>
            <w:tcW w:w="5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8B4804">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快速检测猪、牛、羊肉水分含量。</w:t>
            </w:r>
          </w:p>
        </w:tc>
        <w:tc>
          <w:tcPr>
            <w:tcW w:w="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432196">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1台</w:t>
            </w:r>
          </w:p>
        </w:tc>
      </w:tr>
      <w:tr w14:paraId="1B45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D96B8A">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4</w:t>
            </w:r>
          </w:p>
        </w:tc>
        <w:tc>
          <w:tcPr>
            <w:tcW w:w="205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2F14C">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手持式采样仪</w:t>
            </w:r>
          </w:p>
        </w:tc>
        <w:tc>
          <w:tcPr>
            <w:tcW w:w="5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28CCF5">
            <w:pPr>
              <w:spacing w:line="400" w:lineRule="exact"/>
              <w:jc w:val="center"/>
              <w:rPr>
                <w:rFonts w:hint="eastAsia" w:ascii="CESI仿宋-GB2312" w:hAnsi="CESI仿宋-GB2312" w:eastAsia="CESI仿宋-GB2312"/>
                <w:color w:val="000000"/>
                <w:kern w:val="0"/>
                <w:sz w:val="28"/>
                <w:szCs w:val="28"/>
                <w:lang w:eastAsia="zh-CN"/>
              </w:rPr>
            </w:pPr>
            <w:r>
              <w:rPr>
                <w:rFonts w:hint="eastAsia" w:ascii="CESI仿宋-GB2312" w:hAnsi="CESI仿宋-GB2312" w:eastAsia="CESI仿宋-GB2312"/>
                <w:color w:val="000000"/>
                <w:kern w:val="0"/>
                <w:sz w:val="28"/>
                <w:szCs w:val="28"/>
              </w:rPr>
              <w:t>对检测样品采样过程全程影像化、图像化信息记录，实现检测样品采样过程痕迹、追溯管理</w:t>
            </w:r>
            <w:r>
              <w:rPr>
                <w:rFonts w:hint="eastAsia" w:ascii="CESI仿宋-GB2312" w:hAnsi="CESI仿宋-GB2312" w:eastAsia="CESI仿宋-GB2312"/>
                <w:color w:val="000000"/>
                <w:kern w:val="0"/>
                <w:sz w:val="28"/>
                <w:szCs w:val="28"/>
                <w:lang w:eastAsia="zh-CN"/>
              </w:rPr>
              <w:t>。（能实现上述功能的手机、平板亦可）</w:t>
            </w:r>
          </w:p>
        </w:tc>
        <w:tc>
          <w:tcPr>
            <w:tcW w:w="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CCFDBD">
            <w:pPr>
              <w:spacing w:line="400" w:lineRule="exact"/>
              <w:jc w:val="center"/>
              <w:rPr>
                <w:rFonts w:hint="eastAsia" w:ascii="CESI仿宋-GB2312" w:hAnsi="CESI仿宋-GB2312" w:eastAsia="CESI仿宋-GB2312"/>
                <w:color w:val="000000"/>
                <w:kern w:val="0"/>
                <w:sz w:val="28"/>
                <w:szCs w:val="28"/>
              </w:rPr>
            </w:pPr>
            <w:r>
              <w:rPr>
                <w:rFonts w:hint="eastAsia" w:ascii="CESI仿宋-GB2312" w:hAnsi="CESI仿宋-GB2312" w:eastAsia="CESI仿宋-GB2312"/>
                <w:color w:val="000000"/>
                <w:kern w:val="0"/>
                <w:sz w:val="28"/>
                <w:szCs w:val="28"/>
              </w:rPr>
              <w:t>1台</w:t>
            </w:r>
          </w:p>
        </w:tc>
      </w:tr>
    </w:tbl>
    <w:p w14:paraId="7198253E">
      <w:pPr>
        <w:widowControl w:val="0"/>
        <w:spacing w:line="560" w:lineRule="exact"/>
        <w:ind w:firstLine="643" w:firstLineChars="200"/>
        <w:rPr>
          <w:rFonts w:hint="eastAsia" w:ascii="CESI仿宋-GB2312" w:hAnsi="CESI仿宋-GB2312" w:eastAsia="CESI仿宋-GB2312"/>
          <w:sz w:val="32"/>
          <w:szCs w:val="24"/>
        </w:rPr>
      </w:pPr>
      <w:r>
        <w:rPr>
          <w:rFonts w:hint="eastAsia" w:ascii="CESI仿宋-GB2312" w:hAnsi="CESI仿宋-GB2312" w:eastAsia="CESI仿宋-GB2312"/>
          <w:b/>
          <w:sz w:val="32"/>
          <w:szCs w:val="24"/>
          <w:lang w:val="en-US" w:eastAsia="zh-CN"/>
        </w:rPr>
        <w:t>（2）所配置的检测仪器操作系统需满足以下信息化功能要求：</w:t>
      </w:r>
    </w:p>
    <w:p w14:paraId="5FEA3EB1">
      <w:pPr>
        <w:widowControl w:val="0"/>
        <w:spacing w:line="560" w:lineRule="exact"/>
        <w:ind w:firstLine="640" w:firstLineChars="200"/>
        <w:rPr>
          <w:rFonts w:hint="eastAsia" w:ascii="CESI仿宋-GB2312" w:hAnsi="CESI仿宋-GB2312" w:eastAsia="CESI仿宋-GB2312"/>
          <w:sz w:val="32"/>
          <w:szCs w:val="24"/>
        </w:rPr>
      </w:pPr>
      <w:r>
        <w:rPr>
          <w:rFonts w:hint="eastAsia" w:ascii="CESI仿宋-GB2312" w:hAnsi="CESI仿宋-GB2312" w:eastAsia="CESI仿宋-GB2312"/>
          <w:sz w:val="32"/>
          <w:szCs w:val="24"/>
        </w:rPr>
        <w:t>支持WIFI无线网络联网</w:t>
      </w:r>
      <w:r>
        <w:rPr>
          <w:rFonts w:hint="eastAsia" w:ascii="CESI仿宋-GB2312" w:hAnsi="CESI仿宋-GB2312" w:eastAsia="CESI仿宋-GB2312"/>
          <w:sz w:val="32"/>
          <w:szCs w:val="24"/>
          <w:lang w:eastAsia="zh-CN"/>
        </w:rPr>
        <w:t>；</w:t>
      </w:r>
      <w:r>
        <w:rPr>
          <w:rFonts w:hint="eastAsia" w:ascii="CESI仿宋-GB2312" w:hAnsi="CESI仿宋-GB2312" w:eastAsia="CESI仿宋-GB2312"/>
          <w:sz w:val="32"/>
          <w:szCs w:val="24"/>
        </w:rPr>
        <w:t>支持检测数据自动实时上传至</w:t>
      </w:r>
      <w:r>
        <w:rPr>
          <w:rFonts w:hint="eastAsia" w:ascii="CESI仿宋-GB2312" w:hAnsi="CESI仿宋-GB2312" w:eastAsia="CESI仿宋-GB2312"/>
          <w:sz w:val="32"/>
          <w:szCs w:val="24"/>
          <w:lang w:eastAsia="zh-CN"/>
        </w:rPr>
        <w:t>省级检验检测信息平台；</w:t>
      </w:r>
      <w:r>
        <w:rPr>
          <w:rFonts w:hint="eastAsia" w:ascii="CESI仿宋-GB2312" w:hAnsi="CESI仿宋-GB2312" w:eastAsia="CESI仿宋-GB2312"/>
          <w:sz w:val="32"/>
          <w:szCs w:val="24"/>
        </w:rPr>
        <w:t>支持凭账号/密码登录仪器</w:t>
      </w:r>
      <w:r>
        <w:rPr>
          <w:rFonts w:hint="eastAsia" w:ascii="CESI仿宋-GB2312" w:hAnsi="CESI仿宋-GB2312" w:eastAsia="CESI仿宋-GB2312"/>
          <w:sz w:val="32"/>
          <w:szCs w:val="24"/>
          <w:lang w:eastAsia="zh-CN"/>
        </w:rPr>
        <w:t>；能够实现开机自动定位并实时上传位置；</w:t>
      </w:r>
      <w:r>
        <w:rPr>
          <w:rFonts w:hint="eastAsia" w:ascii="CESI仿宋-GB2312" w:hAnsi="CESI仿宋-GB2312" w:eastAsia="CESI仿宋-GB2312"/>
          <w:sz w:val="32"/>
          <w:szCs w:val="24"/>
        </w:rPr>
        <w:t>支持仪器操作系统功能远程升级（不可选择单片机功能的仪器）。</w:t>
      </w:r>
      <w:bookmarkStart w:id="7" w:name="_Toc3503583"/>
    </w:p>
    <w:p w14:paraId="23989EA5">
      <w:pPr>
        <w:widowControl w:val="0"/>
        <w:spacing w:line="560" w:lineRule="exact"/>
        <w:ind w:firstLine="640" w:firstLineChars="200"/>
        <w:rPr>
          <w:rFonts w:hint="eastAsia" w:ascii="方正楷体_GBK" w:hAnsi="方正楷体_GBK" w:eastAsia="方正楷体_GBK"/>
          <w:sz w:val="32"/>
          <w:szCs w:val="24"/>
        </w:rPr>
      </w:pPr>
      <w:r>
        <w:rPr>
          <w:rFonts w:hint="eastAsia" w:ascii="方正楷体_GBK" w:hAnsi="方正楷体_GBK" w:eastAsia="方正楷体_GBK"/>
          <w:sz w:val="32"/>
          <w:szCs w:val="24"/>
          <w:lang w:val="en-US" w:eastAsia="zh-CN"/>
        </w:rPr>
        <w:t>８.</w:t>
      </w:r>
      <w:bookmarkEnd w:id="7"/>
      <w:bookmarkStart w:id="8" w:name="_Toc3503584"/>
      <w:r>
        <w:rPr>
          <w:rFonts w:hint="eastAsia" w:ascii="方正楷体_GBK" w:hAnsi="方正楷体_GBK" w:eastAsia="方正楷体_GBK"/>
          <w:sz w:val="32"/>
          <w:szCs w:val="24"/>
          <w:lang w:eastAsia="zh-CN"/>
        </w:rPr>
        <w:t>快检</w:t>
      </w:r>
      <w:r>
        <w:rPr>
          <w:rFonts w:hint="eastAsia" w:ascii="方正楷体_GBK" w:hAnsi="方正楷体_GBK" w:eastAsia="方正楷体_GBK"/>
          <w:sz w:val="32"/>
          <w:szCs w:val="24"/>
        </w:rPr>
        <w:t>信息公示系统建设</w:t>
      </w:r>
      <w:bookmarkEnd w:id="8"/>
    </w:p>
    <w:p w14:paraId="301E3EB1">
      <w:pPr>
        <w:pStyle w:val="14"/>
        <w:spacing w:beforeLines="0" w:afterLines="0" w:line="560" w:lineRule="exact"/>
        <w:ind w:firstLine="640" w:firstLineChars="200"/>
        <w:jc w:val="both"/>
        <w:rPr>
          <w:rFonts w:hint="eastAsia" w:ascii="CESI仿宋-GB2312" w:hAnsi="CESI仿宋-GB2312" w:eastAsia="CESI仿宋-GB2312"/>
          <w:sz w:val="32"/>
          <w:szCs w:val="24"/>
          <w:lang w:eastAsia="zh-CN"/>
        </w:rPr>
      </w:pPr>
      <w:r>
        <w:rPr>
          <w:rFonts w:hint="eastAsia" w:ascii="CESI仿宋-GB2312" w:hAnsi="CESI仿宋-GB2312" w:eastAsia="CESI仿宋-GB2312"/>
          <w:sz w:val="32"/>
          <w:szCs w:val="24"/>
          <w:lang w:eastAsia="zh-CN"/>
        </w:rPr>
        <w:t>农批市场布局在明显位置设立</w:t>
      </w:r>
      <w:r>
        <w:rPr>
          <w:rFonts w:hint="eastAsia" w:ascii="CESI仿宋-GB2312" w:hAnsi="CESI仿宋-GB2312" w:eastAsia="CESI仿宋-GB2312"/>
          <w:sz w:val="32"/>
          <w:szCs w:val="24"/>
        </w:rPr>
        <w:t>公示大屏</w:t>
      </w:r>
      <w:r>
        <w:rPr>
          <w:rFonts w:hint="eastAsia" w:ascii="CESI仿宋-GB2312" w:hAnsi="CESI仿宋-GB2312" w:eastAsia="CESI仿宋-GB2312"/>
          <w:sz w:val="32"/>
          <w:szCs w:val="24"/>
          <w:lang w:eastAsia="zh-CN"/>
        </w:rPr>
        <w:t>，不合格产品信息可及时进行公示。电子显示屏应保证画面清晰、亮度适中、可视角度广。</w:t>
      </w:r>
    </w:p>
    <w:p w14:paraId="7F117F53">
      <w:pPr>
        <w:pStyle w:val="14"/>
        <w:spacing w:beforeLines="0" w:afterLines="0" w:line="560" w:lineRule="exact"/>
        <w:jc w:val="both"/>
        <w:rPr>
          <w:rFonts w:hint="eastAsia" w:ascii="CESI仿宋-GB2312" w:hAnsi="CESI仿宋-GB2312" w:eastAsia="CESI仿宋-GB2312"/>
          <w:sz w:val="32"/>
          <w:szCs w:val="24"/>
          <w:lang w:eastAsia="zh-CN"/>
        </w:rPr>
      </w:pPr>
    </w:p>
    <w:p w14:paraId="17770BAB">
      <w:pPr>
        <w:pStyle w:val="6"/>
        <w:spacing w:line="240" w:lineRule="auto"/>
        <w:rPr>
          <w:rFonts w:hint="eastAsia" w:ascii="方正黑体_GBK" w:hAnsi="方正黑体_GBK" w:eastAsia="方正黑体_GBK" w:cs="方正黑体_GBK"/>
          <w:sz w:val="32"/>
          <w:szCs w:val="32"/>
          <w:lang w:eastAsia="zh-CN"/>
        </w:rPr>
      </w:pPr>
    </w:p>
    <w:p w14:paraId="1E2738DD">
      <w:pPr>
        <w:pStyle w:val="6"/>
        <w:spacing w:line="240" w:lineRule="auto"/>
        <w:rPr>
          <w:rFonts w:hint="eastAsia" w:ascii="方正黑体_GBK" w:hAnsi="方正黑体_GBK" w:eastAsia="方正黑体_GBK" w:cs="方正黑体_GBK"/>
          <w:sz w:val="32"/>
          <w:szCs w:val="32"/>
          <w:lang w:eastAsia="zh-CN"/>
        </w:rPr>
      </w:pPr>
    </w:p>
    <w:p w14:paraId="3042C665">
      <w:pPr>
        <w:pStyle w:val="6"/>
        <w:spacing w:line="240" w:lineRule="auto"/>
        <w:rPr>
          <w:rFonts w:hint="eastAsia" w:ascii="方正黑体_GBK" w:hAnsi="方正黑体_GBK" w:eastAsia="方正黑体_GBK" w:cs="方正黑体_GBK"/>
          <w:sz w:val="32"/>
          <w:szCs w:val="32"/>
          <w:lang w:eastAsia="zh-CN"/>
        </w:rPr>
      </w:pPr>
    </w:p>
    <w:p w14:paraId="26DBD584">
      <w:pPr>
        <w:pStyle w:val="6"/>
        <w:spacing w:line="240" w:lineRule="auto"/>
        <w:rPr>
          <w:rFonts w:hint="eastAsia" w:ascii="方正黑体_GBK" w:hAnsi="方正黑体_GBK" w:eastAsia="方正黑体_GBK" w:cs="方正黑体_GBK"/>
          <w:sz w:val="32"/>
          <w:szCs w:val="32"/>
          <w:lang w:eastAsia="zh-CN"/>
        </w:rPr>
      </w:pPr>
    </w:p>
    <w:p w14:paraId="6096F85E">
      <w:pPr>
        <w:pStyle w:val="6"/>
        <w:spacing w:line="240" w:lineRule="auto"/>
        <w:rPr>
          <w:rFonts w:hint="eastAsia" w:ascii="方正黑体_GBK" w:hAnsi="方正黑体_GBK" w:eastAsia="方正黑体_GBK" w:cs="方正黑体_GBK"/>
          <w:sz w:val="32"/>
          <w:szCs w:val="32"/>
          <w:lang w:eastAsia="zh-CN"/>
        </w:rPr>
      </w:pPr>
    </w:p>
    <w:p w14:paraId="16CB0B25">
      <w:pPr>
        <w:pStyle w:val="6"/>
        <w:spacing w:line="240" w:lineRule="auto"/>
        <w:rPr>
          <w:rFonts w:hint="eastAsia" w:ascii="方正黑体_GBK" w:hAnsi="方正黑体_GBK" w:eastAsia="方正黑体_GBK" w:cs="方正黑体_GBK"/>
          <w:sz w:val="32"/>
          <w:szCs w:val="32"/>
          <w:lang w:eastAsia="zh-CN"/>
        </w:rPr>
      </w:pPr>
    </w:p>
    <w:p w14:paraId="6D55DC4D">
      <w:pPr>
        <w:pStyle w:val="6"/>
        <w:spacing w:line="240" w:lineRule="auto"/>
        <w:rPr>
          <w:rFonts w:hint="eastAsia" w:ascii="方正黑体_GBK" w:hAnsi="方正黑体_GBK" w:eastAsia="方正黑体_GBK" w:cs="方正黑体_GBK"/>
          <w:sz w:val="32"/>
          <w:szCs w:val="32"/>
          <w:lang w:eastAsia="zh-CN"/>
        </w:rPr>
      </w:pPr>
    </w:p>
    <w:p w14:paraId="3CF56331">
      <w:pPr>
        <w:pStyle w:val="6"/>
        <w:spacing w:line="240" w:lineRule="auto"/>
        <w:rPr>
          <w:rFonts w:hint="eastAsia" w:ascii="方正黑体_GBK" w:hAnsi="方正黑体_GBK" w:eastAsia="方正黑体_GBK" w:cs="方正黑体_GBK"/>
          <w:sz w:val="32"/>
          <w:szCs w:val="32"/>
          <w:lang w:eastAsia="zh-CN"/>
        </w:rPr>
      </w:pPr>
    </w:p>
    <w:p w14:paraId="16BF8EEB">
      <w:pPr>
        <w:pStyle w:val="6"/>
        <w:spacing w:line="240" w:lineRule="auto"/>
        <w:rPr>
          <w:rFonts w:hint="eastAsia" w:ascii="方正黑体_GBK" w:hAnsi="方正黑体_GBK" w:eastAsia="方正黑体_GBK" w:cs="方正黑体_GBK"/>
          <w:sz w:val="32"/>
          <w:szCs w:val="32"/>
          <w:lang w:eastAsia="zh-CN"/>
        </w:rPr>
      </w:pPr>
    </w:p>
    <w:p w14:paraId="05149C18">
      <w:pPr>
        <w:pStyle w:val="6"/>
        <w:spacing w:line="240" w:lineRule="auto"/>
        <w:rPr>
          <w:rFonts w:hint="eastAsia" w:ascii="方正黑体_GBK" w:hAnsi="方正黑体_GBK" w:eastAsia="方正黑体_GBK" w:cs="方正黑体_GBK"/>
          <w:sz w:val="32"/>
          <w:szCs w:val="32"/>
          <w:lang w:eastAsia="zh-CN"/>
        </w:rPr>
      </w:pPr>
    </w:p>
    <w:p w14:paraId="5B91E19D">
      <w:pPr>
        <w:pStyle w:val="6"/>
        <w:spacing w:line="240" w:lineRule="auto"/>
        <w:rPr>
          <w:rFonts w:hint="eastAsia" w:ascii="方正黑体_GBK" w:hAnsi="方正黑体_GBK" w:eastAsia="方正黑体_GBK" w:cs="方正黑体_GBK"/>
          <w:sz w:val="32"/>
          <w:szCs w:val="32"/>
          <w:lang w:eastAsia="zh-CN"/>
        </w:rPr>
      </w:pPr>
    </w:p>
    <w:p w14:paraId="4FCF0449">
      <w:pPr>
        <w:pStyle w:val="6"/>
        <w:spacing w:line="240" w:lineRule="auto"/>
        <w:rPr>
          <w:rFonts w:hint="eastAsia" w:ascii="方正黑体_GBK" w:hAnsi="方正黑体_GBK" w:eastAsia="方正黑体_GBK" w:cs="方正黑体_GBK"/>
          <w:sz w:val="32"/>
          <w:szCs w:val="32"/>
          <w:lang w:eastAsia="zh-CN"/>
        </w:rPr>
      </w:pPr>
    </w:p>
    <w:p w14:paraId="02DB2B7C">
      <w:pPr>
        <w:pStyle w:val="6"/>
        <w:spacing w:line="240" w:lineRule="auto"/>
        <w:rPr>
          <w:rFonts w:hint="eastAsia" w:ascii="方正黑体_GBK" w:hAnsi="方正黑体_GBK" w:eastAsia="方正黑体_GBK" w:cs="方正黑体_GBK"/>
          <w:sz w:val="32"/>
          <w:szCs w:val="32"/>
          <w:lang w:eastAsia="zh-CN"/>
        </w:rPr>
      </w:pPr>
    </w:p>
    <w:p w14:paraId="2F74B775">
      <w:pPr>
        <w:pStyle w:val="6"/>
        <w:spacing w:line="240" w:lineRule="auto"/>
        <w:rPr>
          <w:rFonts w:hint="eastAsia" w:ascii="方正黑体_GBK" w:hAnsi="方正黑体_GBK" w:eastAsia="方正黑体_GBK" w:cs="方正黑体_GBK"/>
          <w:sz w:val="32"/>
          <w:szCs w:val="32"/>
          <w:lang w:eastAsia="zh-CN"/>
        </w:rPr>
      </w:pPr>
    </w:p>
    <w:p w14:paraId="0D99C235">
      <w:pPr>
        <w:pStyle w:val="6"/>
        <w:spacing w:line="240" w:lineRule="auto"/>
        <w:rPr>
          <w:rFonts w:hint="eastAsia" w:ascii="方正黑体_GBK" w:hAnsi="方正黑体_GBK" w:eastAsia="方正黑体_GBK" w:cs="方正黑体_GBK"/>
          <w:sz w:val="32"/>
          <w:szCs w:val="32"/>
          <w:lang w:eastAsia="zh-CN"/>
        </w:rPr>
      </w:pPr>
    </w:p>
    <w:p w14:paraId="0390631B">
      <w:pPr>
        <w:pStyle w:val="6"/>
        <w:spacing w:line="240" w:lineRule="auto"/>
        <w:rPr>
          <w:rFonts w:hint="eastAsia" w:ascii="方正黑体_GBK" w:hAnsi="方正黑体_GBK" w:eastAsia="方正黑体_GBK" w:cs="方正黑体_GBK"/>
          <w:sz w:val="32"/>
          <w:szCs w:val="32"/>
          <w:lang w:eastAsia="zh-CN"/>
        </w:rPr>
      </w:pPr>
    </w:p>
    <w:p w14:paraId="11005C9B">
      <w:pPr>
        <w:pStyle w:val="6"/>
        <w:spacing w:line="240" w:lineRule="auto"/>
        <w:rPr>
          <w:rFonts w:hint="eastAsia" w:ascii="方正黑体_GBK" w:hAnsi="方正黑体_GBK" w:eastAsia="方正黑体_GBK" w:cs="方正黑体_GBK"/>
          <w:sz w:val="32"/>
          <w:szCs w:val="32"/>
          <w:lang w:eastAsia="zh-CN"/>
        </w:rPr>
      </w:pPr>
    </w:p>
    <w:p w14:paraId="7ACC5C46">
      <w:pPr>
        <w:pStyle w:val="10"/>
        <w:spacing w:beforeLines="0" w:afterLines="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24"/>
          <w:lang w:eastAsia="zh-CN"/>
        </w:rPr>
        <w:t>附件</w:t>
      </w:r>
      <w:r>
        <w:rPr>
          <w:rFonts w:hint="eastAsia" w:ascii="方正黑体_GBK" w:hAnsi="方正黑体_GBK" w:eastAsia="方正黑体_GBK" w:cs="方正黑体_GBK"/>
          <w:sz w:val="32"/>
          <w:szCs w:val="24"/>
          <w:lang w:val="en-US" w:eastAsia="zh-CN"/>
        </w:rPr>
        <w:t>4</w:t>
      </w:r>
    </w:p>
    <w:p w14:paraId="35CAE9D0">
      <w:pPr>
        <w:pStyle w:val="6"/>
        <w:spacing w:line="240" w:lineRule="auto"/>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农批市场快检能力评价表</w:t>
      </w:r>
    </w:p>
    <w:tbl>
      <w:tblPr>
        <w:tblStyle w:val="12"/>
        <w:tblW w:w="99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9"/>
        <w:gridCol w:w="590"/>
        <w:gridCol w:w="1488"/>
        <w:gridCol w:w="662"/>
        <w:gridCol w:w="5003"/>
        <w:gridCol w:w="529"/>
        <w:gridCol w:w="1075"/>
      </w:tblGrid>
      <w:tr w14:paraId="43775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blHeader/>
          <w:jc w:val="center"/>
        </w:trPr>
        <w:tc>
          <w:tcPr>
            <w:tcW w:w="599" w:type="dxa"/>
            <w:noWrap w:val="0"/>
            <w:textDirection w:val="tbRlV"/>
            <w:vAlign w:val="top"/>
          </w:tcPr>
          <w:p w14:paraId="1FA039DC">
            <w:pPr>
              <w:keepNext w:val="0"/>
              <w:keepLines w:val="0"/>
              <w:pageBreakBefore w:val="0"/>
              <w:wordWrap/>
              <w:overflowPunct/>
              <w:topLinePunct w:val="0"/>
              <w:bidi w:val="0"/>
              <w:spacing w:before="170" w:line="360" w:lineRule="exact"/>
              <w:ind w:left="128"/>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pacing w:val="3"/>
                <w:sz w:val="28"/>
                <w:szCs w:val="28"/>
              </w:rPr>
              <w:t>序号</w:t>
            </w:r>
          </w:p>
        </w:tc>
        <w:tc>
          <w:tcPr>
            <w:tcW w:w="590" w:type="dxa"/>
            <w:noWrap w:val="0"/>
            <w:textDirection w:val="tbRlV"/>
            <w:vAlign w:val="top"/>
          </w:tcPr>
          <w:p w14:paraId="3B1D82F1">
            <w:pPr>
              <w:keepNext w:val="0"/>
              <w:keepLines w:val="0"/>
              <w:pageBreakBefore w:val="0"/>
              <w:wordWrap/>
              <w:overflowPunct/>
              <w:topLinePunct w:val="0"/>
              <w:bidi w:val="0"/>
              <w:spacing w:before="168" w:line="360" w:lineRule="exact"/>
              <w:ind w:left="128"/>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pacing w:val="3"/>
                <w:sz w:val="28"/>
                <w:szCs w:val="28"/>
              </w:rPr>
              <w:t>项目</w:t>
            </w:r>
          </w:p>
        </w:tc>
        <w:tc>
          <w:tcPr>
            <w:tcW w:w="1488" w:type="dxa"/>
            <w:noWrap w:val="0"/>
            <w:vAlign w:val="top"/>
          </w:tcPr>
          <w:p w14:paraId="308682EE">
            <w:pPr>
              <w:keepNext w:val="0"/>
              <w:keepLines w:val="0"/>
              <w:pageBreakBefore w:val="0"/>
              <w:wordWrap/>
              <w:overflowPunct/>
              <w:topLinePunct w:val="0"/>
              <w:bidi w:val="0"/>
              <w:spacing w:before="317" w:line="360" w:lineRule="exact"/>
              <w:ind w:left="345"/>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pacing w:val="-7"/>
                <w:sz w:val="28"/>
                <w:szCs w:val="28"/>
              </w:rPr>
              <w:t>评价内容</w:t>
            </w:r>
          </w:p>
        </w:tc>
        <w:tc>
          <w:tcPr>
            <w:tcW w:w="662" w:type="dxa"/>
            <w:noWrap w:val="0"/>
            <w:textDirection w:val="tbRlV"/>
            <w:vAlign w:val="top"/>
          </w:tcPr>
          <w:p w14:paraId="38FFCACF">
            <w:pPr>
              <w:keepNext w:val="0"/>
              <w:keepLines w:val="0"/>
              <w:pageBreakBefore w:val="0"/>
              <w:wordWrap/>
              <w:overflowPunct/>
              <w:topLinePunct w:val="0"/>
              <w:bidi w:val="0"/>
              <w:spacing w:before="146" w:line="360" w:lineRule="exact"/>
              <w:ind w:left="128"/>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pacing w:val="3"/>
                <w:sz w:val="28"/>
                <w:szCs w:val="28"/>
              </w:rPr>
              <w:t>分值</w:t>
            </w:r>
          </w:p>
        </w:tc>
        <w:tc>
          <w:tcPr>
            <w:tcW w:w="5003" w:type="dxa"/>
            <w:noWrap w:val="0"/>
            <w:vAlign w:val="top"/>
          </w:tcPr>
          <w:p w14:paraId="50B7B14C">
            <w:pPr>
              <w:keepNext w:val="0"/>
              <w:keepLines w:val="0"/>
              <w:pageBreakBefore w:val="0"/>
              <w:wordWrap/>
              <w:overflowPunct/>
              <w:topLinePunct w:val="0"/>
              <w:bidi w:val="0"/>
              <w:spacing w:before="318" w:line="360" w:lineRule="exact"/>
              <w:ind w:left="2026"/>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pacing w:val="-7"/>
                <w:sz w:val="28"/>
                <w:szCs w:val="28"/>
                <w:lang w:eastAsia="zh-CN"/>
              </w:rPr>
              <w:t>评</w:t>
            </w:r>
            <w:r>
              <w:rPr>
                <w:rFonts w:hint="eastAsia" w:ascii="CESI仿宋-GB2312" w:hAnsi="CESI仿宋-GB2312" w:eastAsia="CESI仿宋-GB2312" w:cs="CESI仿宋-GB2312"/>
                <w:b/>
                <w:bCs/>
                <w:spacing w:val="-7"/>
                <w:sz w:val="28"/>
                <w:szCs w:val="28"/>
              </w:rPr>
              <w:t>分标准</w:t>
            </w:r>
          </w:p>
        </w:tc>
        <w:tc>
          <w:tcPr>
            <w:tcW w:w="529" w:type="dxa"/>
            <w:noWrap w:val="0"/>
            <w:textDirection w:val="tbRlV"/>
            <w:vAlign w:val="top"/>
          </w:tcPr>
          <w:p w14:paraId="6504413B">
            <w:pPr>
              <w:keepNext w:val="0"/>
              <w:keepLines w:val="0"/>
              <w:pageBreakBefore w:val="0"/>
              <w:wordWrap/>
              <w:overflowPunct/>
              <w:topLinePunct w:val="0"/>
              <w:bidi w:val="0"/>
              <w:spacing w:before="177" w:line="360" w:lineRule="exact"/>
              <w:ind w:left="128"/>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pacing w:val="3"/>
                <w:sz w:val="28"/>
                <w:szCs w:val="28"/>
              </w:rPr>
              <w:t>得分</w:t>
            </w:r>
          </w:p>
        </w:tc>
        <w:tc>
          <w:tcPr>
            <w:tcW w:w="1075" w:type="dxa"/>
            <w:noWrap w:val="0"/>
            <w:vAlign w:val="center"/>
          </w:tcPr>
          <w:p w14:paraId="36621669">
            <w:pPr>
              <w:keepNext w:val="0"/>
              <w:keepLines w:val="0"/>
              <w:pageBreakBefore w:val="0"/>
              <w:wordWrap/>
              <w:overflowPunct/>
              <w:topLinePunct w:val="0"/>
              <w:bidi w:val="0"/>
              <w:spacing w:before="129" w:line="360" w:lineRule="exact"/>
              <w:ind w:left="208" w:right="189" w:hanging="1"/>
              <w:jc w:val="center"/>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pacing w:val="-10"/>
                <w:sz w:val="28"/>
                <w:szCs w:val="28"/>
              </w:rPr>
              <w:t>扣分原因</w:t>
            </w:r>
          </w:p>
        </w:tc>
      </w:tr>
      <w:tr w14:paraId="3D33F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1" w:hRule="atLeast"/>
          <w:jc w:val="center"/>
        </w:trPr>
        <w:tc>
          <w:tcPr>
            <w:tcW w:w="599" w:type="dxa"/>
            <w:vMerge w:val="restart"/>
            <w:noWrap w:val="0"/>
            <w:vAlign w:val="center"/>
          </w:tcPr>
          <w:p w14:paraId="4DA7CFCA">
            <w:pPr>
              <w:keepNext w:val="0"/>
              <w:keepLines w:val="0"/>
              <w:pageBreakBefore w:val="0"/>
              <w:wordWrap/>
              <w:overflowPunct/>
              <w:topLinePunct w:val="0"/>
              <w:bidi w:val="0"/>
              <w:spacing w:before="69" w:line="360" w:lineRule="exact"/>
              <w:ind w:left="268"/>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1</w:t>
            </w:r>
          </w:p>
        </w:tc>
        <w:tc>
          <w:tcPr>
            <w:tcW w:w="590" w:type="dxa"/>
            <w:vMerge w:val="restart"/>
            <w:noWrap w:val="0"/>
            <w:textDirection w:val="tbRlV"/>
            <w:vAlign w:val="center"/>
          </w:tcPr>
          <w:p w14:paraId="10FE4027">
            <w:pPr>
              <w:pStyle w:val="13"/>
              <w:keepNext w:val="0"/>
              <w:keepLines w:val="0"/>
              <w:pageBreakBefore w:val="0"/>
              <w:wordWrap/>
              <w:overflowPunct/>
              <w:topLinePunct w:val="0"/>
              <w:bidi w:val="0"/>
              <w:spacing w:before="168" w:line="360" w:lineRule="exact"/>
              <w:jc w:val="center"/>
              <w:rPr>
                <w:rFonts w:hint="eastAsia" w:ascii="CESI仿宋-GB2312" w:hAnsi="CESI仿宋-GB2312" w:eastAsia="CESI仿宋-GB2312" w:cs="CESI仿宋-GB2312"/>
                <w:sz w:val="28"/>
                <w:szCs w:val="28"/>
              </w:rPr>
            </w:pPr>
            <w:r>
              <w:rPr>
                <w:rFonts w:hint="eastAsia" w:ascii="CESI仿宋-GB2312" w:hAnsi="CESI仿宋-GB2312" w:eastAsia="CESI仿宋-GB2312" w:cs="CESI仿宋-GB2312"/>
                <w:spacing w:val="-1"/>
                <w:sz w:val="28"/>
                <w:szCs w:val="28"/>
              </w:rPr>
              <w:t>责任落实</w:t>
            </w:r>
          </w:p>
        </w:tc>
        <w:tc>
          <w:tcPr>
            <w:tcW w:w="1488" w:type="dxa"/>
            <w:tcBorders>
              <w:bottom w:val="single" w:color="auto" w:sz="4" w:space="0"/>
            </w:tcBorders>
            <w:noWrap w:val="0"/>
            <w:vAlign w:val="center"/>
          </w:tcPr>
          <w:p w14:paraId="7E581411">
            <w:pPr>
              <w:pStyle w:val="13"/>
              <w:keepNext w:val="0"/>
              <w:keepLines w:val="0"/>
              <w:pageBreakBefore w:val="0"/>
              <w:wordWrap/>
              <w:overflowPunct/>
              <w:topLinePunct w:val="0"/>
              <w:bidi w:val="0"/>
              <w:spacing w:before="78" w:line="360" w:lineRule="exact"/>
              <w:ind w:left="115" w:right="100" w:firstLine="11"/>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2"/>
                <w:sz w:val="28"/>
                <w:szCs w:val="28"/>
                <w:lang w:eastAsia="zh-CN"/>
              </w:rPr>
              <w:t>农批市场主体责任落实情况</w:t>
            </w:r>
          </w:p>
        </w:tc>
        <w:tc>
          <w:tcPr>
            <w:tcW w:w="662" w:type="dxa"/>
            <w:tcBorders>
              <w:bottom w:val="single" w:color="auto" w:sz="4" w:space="0"/>
            </w:tcBorders>
            <w:noWrap w:val="0"/>
            <w:vAlign w:val="center"/>
          </w:tcPr>
          <w:p w14:paraId="0117C157">
            <w:pPr>
              <w:keepNext w:val="0"/>
              <w:keepLines w:val="0"/>
              <w:pageBreakBefore w:val="0"/>
              <w:wordWrap/>
              <w:overflowPunct/>
              <w:topLinePunct w:val="0"/>
              <w:bidi w:val="0"/>
              <w:spacing w:before="69" w:line="360" w:lineRule="exact"/>
              <w:ind w:left="222"/>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val="en-US" w:eastAsia="zh-CN"/>
              </w:rPr>
              <w:t>0.8</w:t>
            </w:r>
          </w:p>
        </w:tc>
        <w:tc>
          <w:tcPr>
            <w:tcW w:w="5003" w:type="dxa"/>
            <w:tcBorders>
              <w:bottom w:val="single" w:color="auto" w:sz="4" w:space="0"/>
            </w:tcBorders>
            <w:noWrap w:val="0"/>
            <w:vAlign w:val="center"/>
          </w:tcPr>
          <w:p w14:paraId="3E1055D5">
            <w:pPr>
              <w:pStyle w:val="13"/>
              <w:keepNext w:val="0"/>
              <w:keepLines w:val="0"/>
              <w:pageBreakBefore w:val="0"/>
              <w:wordWrap/>
              <w:overflowPunct/>
              <w:topLinePunct w:val="0"/>
              <w:bidi w:val="0"/>
              <w:spacing w:before="66" w:line="360" w:lineRule="exact"/>
              <w:ind w:left="111" w:right="92" w:firstLine="4"/>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0"/>
                <w:sz w:val="28"/>
                <w:szCs w:val="28"/>
                <w:lang w:eastAsia="zh-CN"/>
              </w:rPr>
              <w:t>农批市场建立健全食品安全相关管理制度，明确各环节管理要求和责任人员；</w:t>
            </w:r>
            <w:r>
              <w:rPr>
                <w:rFonts w:hint="eastAsia" w:ascii="CESI仿宋-GB2312" w:hAnsi="CESI仿宋-GB2312" w:eastAsia="CESI仿宋-GB2312" w:cs="CESI仿宋-GB2312"/>
                <w:spacing w:val="-14"/>
                <w:sz w:val="28"/>
                <w:szCs w:val="28"/>
                <w:lang w:eastAsia="zh-CN"/>
              </w:rPr>
              <w:t>按要求配备专职检测人员，检测人员经过上岗培</w:t>
            </w:r>
            <w:r>
              <w:rPr>
                <w:rFonts w:hint="eastAsia" w:ascii="CESI仿宋-GB2312" w:hAnsi="CESI仿宋-GB2312" w:eastAsia="CESI仿宋-GB2312" w:cs="CESI仿宋-GB2312"/>
                <w:spacing w:val="-10"/>
                <w:sz w:val="28"/>
                <w:szCs w:val="28"/>
                <w:lang w:eastAsia="zh-CN"/>
              </w:rPr>
              <w:t>训，具备相应检测能力</w:t>
            </w:r>
            <w:r>
              <w:rPr>
                <w:rFonts w:hint="eastAsia" w:ascii="CESI仿宋-GB2312" w:hAnsi="CESI仿宋-GB2312" w:eastAsia="CESI仿宋-GB2312" w:cs="CESI仿宋-GB2312"/>
                <w:spacing w:val="-9"/>
                <w:sz w:val="28"/>
                <w:szCs w:val="28"/>
                <w:lang w:eastAsia="zh-CN"/>
              </w:rPr>
              <w:t>；</w:t>
            </w:r>
            <w:r>
              <w:rPr>
                <w:rFonts w:hint="eastAsia" w:ascii="CESI仿宋-GB2312" w:hAnsi="CESI仿宋-GB2312" w:eastAsia="CESI仿宋-GB2312" w:cs="CESI仿宋-GB2312"/>
                <w:spacing w:val="-10"/>
                <w:sz w:val="28"/>
                <w:szCs w:val="28"/>
                <w:lang w:eastAsia="zh-CN"/>
              </w:rPr>
              <w:t>严格审查入场销售者的经营资格，确保入场销售者具备合法经营资质；对无法提供承诺达标合格证</w:t>
            </w:r>
            <w:r>
              <w:rPr>
                <w:rFonts w:hint="eastAsia" w:ascii="CESI仿宋-GB2312" w:hAnsi="CESI仿宋-GB2312" w:eastAsia="CESI仿宋-GB2312" w:cs="CESI仿宋-GB2312"/>
                <w:spacing w:val="-9"/>
                <w:sz w:val="28"/>
                <w:szCs w:val="28"/>
                <w:lang w:eastAsia="zh-CN"/>
              </w:rPr>
              <w:t>等产品质量合格凭证的食用农产品实施批批快</w:t>
            </w:r>
            <w:r>
              <w:rPr>
                <w:rFonts w:hint="eastAsia" w:ascii="CESI仿宋-GB2312" w:hAnsi="CESI仿宋-GB2312" w:eastAsia="CESI仿宋-GB2312" w:cs="CESI仿宋-GB2312"/>
                <w:spacing w:val="-14"/>
                <w:sz w:val="28"/>
                <w:szCs w:val="28"/>
                <w:lang w:eastAsia="zh-CN"/>
              </w:rPr>
              <w:t>检。</w:t>
            </w:r>
          </w:p>
        </w:tc>
        <w:tc>
          <w:tcPr>
            <w:tcW w:w="529" w:type="dxa"/>
            <w:tcBorders>
              <w:bottom w:val="single" w:color="auto" w:sz="4" w:space="0"/>
            </w:tcBorders>
            <w:noWrap w:val="0"/>
            <w:vAlign w:val="center"/>
          </w:tcPr>
          <w:p w14:paraId="6B300630">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bottom w:val="single" w:color="auto" w:sz="4" w:space="0"/>
            </w:tcBorders>
            <w:noWrap w:val="0"/>
            <w:vAlign w:val="center"/>
          </w:tcPr>
          <w:p w14:paraId="1AED9A46">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17931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99" w:type="dxa"/>
            <w:vMerge w:val="continue"/>
            <w:tcBorders>
              <w:bottom w:val="single" w:color="auto" w:sz="4" w:space="0"/>
            </w:tcBorders>
            <w:noWrap w:val="0"/>
            <w:vAlign w:val="center"/>
          </w:tcPr>
          <w:p w14:paraId="57B5E070">
            <w:pPr>
              <w:keepNext w:val="0"/>
              <w:keepLines w:val="0"/>
              <w:pageBreakBefore w:val="0"/>
              <w:wordWrap/>
              <w:overflowPunct/>
              <w:topLinePunct w:val="0"/>
              <w:bidi w:val="0"/>
              <w:spacing w:before="69" w:line="360" w:lineRule="exact"/>
              <w:ind w:left="268"/>
              <w:rPr>
                <w:rFonts w:hint="eastAsia" w:ascii="CESI仿宋-GB2312" w:hAnsi="CESI仿宋-GB2312" w:eastAsia="CESI仿宋-GB2312" w:cs="CESI仿宋-GB2312"/>
                <w:sz w:val="28"/>
                <w:szCs w:val="28"/>
              </w:rPr>
            </w:pPr>
          </w:p>
        </w:tc>
        <w:tc>
          <w:tcPr>
            <w:tcW w:w="590" w:type="dxa"/>
            <w:vMerge w:val="continue"/>
            <w:tcBorders>
              <w:bottom w:val="single" w:color="auto" w:sz="4" w:space="0"/>
            </w:tcBorders>
            <w:noWrap w:val="0"/>
            <w:textDirection w:val="tbRlV"/>
            <w:vAlign w:val="center"/>
          </w:tcPr>
          <w:p w14:paraId="5FA1840F">
            <w:pPr>
              <w:pStyle w:val="13"/>
              <w:keepNext w:val="0"/>
              <w:keepLines w:val="0"/>
              <w:pageBreakBefore w:val="0"/>
              <w:wordWrap/>
              <w:overflowPunct/>
              <w:topLinePunct w:val="0"/>
              <w:bidi w:val="0"/>
              <w:spacing w:before="168" w:line="360" w:lineRule="exact"/>
              <w:jc w:val="center"/>
              <w:rPr>
                <w:rFonts w:hint="eastAsia" w:ascii="CESI仿宋-GB2312" w:hAnsi="CESI仿宋-GB2312" w:eastAsia="CESI仿宋-GB2312" w:cs="CESI仿宋-GB2312"/>
                <w:spacing w:val="-1"/>
                <w:sz w:val="28"/>
                <w:szCs w:val="28"/>
              </w:rPr>
            </w:pPr>
          </w:p>
        </w:tc>
        <w:tc>
          <w:tcPr>
            <w:tcW w:w="1488" w:type="dxa"/>
            <w:tcBorders>
              <w:top w:val="single" w:color="auto" w:sz="4" w:space="0"/>
              <w:bottom w:val="single" w:color="auto" w:sz="4" w:space="0"/>
            </w:tcBorders>
            <w:noWrap w:val="0"/>
            <w:vAlign w:val="center"/>
          </w:tcPr>
          <w:p w14:paraId="04B8E9F3">
            <w:pPr>
              <w:pStyle w:val="13"/>
              <w:keepNext w:val="0"/>
              <w:keepLines w:val="0"/>
              <w:pageBreakBefore w:val="0"/>
              <w:wordWrap/>
              <w:overflowPunct/>
              <w:topLinePunct w:val="0"/>
              <w:bidi w:val="0"/>
              <w:spacing w:before="78" w:line="360" w:lineRule="exact"/>
              <w:ind w:left="115" w:right="100" w:firstLine="11"/>
              <w:jc w:val="center"/>
              <w:rPr>
                <w:rFonts w:hint="eastAsia" w:ascii="CESI仿宋-GB2312" w:hAnsi="CESI仿宋-GB2312" w:eastAsia="CESI仿宋-GB2312" w:cs="CESI仿宋-GB2312"/>
                <w:spacing w:val="-12"/>
                <w:sz w:val="28"/>
                <w:szCs w:val="28"/>
                <w:lang w:eastAsia="zh-CN"/>
              </w:rPr>
            </w:pPr>
            <w:r>
              <w:rPr>
                <w:rFonts w:hint="eastAsia" w:ascii="CESI仿宋-GB2312" w:hAnsi="CESI仿宋-GB2312" w:eastAsia="CESI仿宋-GB2312" w:cs="CESI仿宋-GB2312"/>
                <w:spacing w:val="-10"/>
                <w:sz w:val="28"/>
                <w:szCs w:val="28"/>
                <w:lang w:eastAsia="zh-CN"/>
              </w:rPr>
              <w:t>入场销售</w:t>
            </w:r>
            <w:r>
              <w:rPr>
                <w:rFonts w:hint="eastAsia" w:ascii="CESI仿宋-GB2312" w:hAnsi="CESI仿宋-GB2312" w:eastAsia="CESI仿宋-GB2312" w:cs="CESI仿宋-GB2312"/>
                <w:spacing w:val="-8"/>
                <w:sz w:val="28"/>
                <w:szCs w:val="28"/>
                <w:lang w:eastAsia="zh-CN"/>
              </w:rPr>
              <w:t>者主体责任落实情况</w:t>
            </w:r>
          </w:p>
        </w:tc>
        <w:tc>
          <w:tcPr>
            <w:tcW w:w="662" w:type="dxa"/>
            <w:tcBorders>
              <w:top w:val="single" w:color="auto" w:sz="4" w:space="0"/>
            </w:tcBorders>
            <w:noWrap w:val="0"/>
            <w:vAlign w:val="center"/>
          </w:tcPr>
          <w:p w14:paraId="75414DE5">
            <w:pPr>
              <w:keepNext w:val="0"/>
              <w:keepLines w:val="0"/>
              <w:pageBreakBefore w:val="0"/>
              <w:wordWrap/>
              <w:overflowPunct/>
              <w:topLinePunct w:val="0"/>
              <w:bidi w:val="0"/>
              <w:spacing w:before="69" w:line="360" w:lineRule="exact"/>
              <w:ind w:left="222"/>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0.6</w:t>
            </w:r>
          </w:p>
        </w:tc>
        <w:tc>
          <w:tcPr>
            <w:tcW w:w="5003" w:type="dxa"/>
            <w:tcBorders>
              <w:top w:val="single" w:color="auto" w:sz="4" w:space="0"/>
            </w:tcBorders>
            <w:noWrap w:val="0"/>
            <w:vAlign w:val="center"/>
          </w:tcPr>
          <w:p w14:paraId="47FCA35B">
            <w:pPr>
              <w:pStyle w:val="13"/>
              <w:keepNext w:val="0"/>
              <w:keepLines w:val="0"/>
              <w:pageBreakBefore w:val="0"/>
              <w:wordWrap/>
              <w:overflowPunct/>
              <w:topLinePunct w:val="0"/>
              <w:bidi w:val="0"/>
              <w:spacing w:before="66" w:line="360" w:lineRule="exact"/>
              <w:ind w:left="111" w:right="92" w:firstLine="4"/>
              <w:rPr>
                <w:rFonts w:hint="eastAsia" w:ascii="CESI仿宋-GB2312" w:hAnsi="CESI仿宋-GB2312" w:eastAsia="CESI仿宋-GB2312" w:cs="CESI仿宋-GB2312"/>
                <w:spacing w:val="-10"/>
                <w:sz w:val="28"/>
                <w:szCs w:val="28"/>
                <w:lang w:eastAsia="zh-CN"/>
              </w:rPr>
            </w:pPr>
            <w:r>
              <w:rPr>
                <w:rFonts w:hint="eastAsia" w:ascii="CESI仿宋-GB2312" w:hAnsi="CESI仿宋-GB2312" w:eastAsia="CESI仿宋-GB2312" w:cs="CESI仿宋-GB2312"/>
                <w:spacing w:val="-14"/>
                <w:sz w:val="28"/>
                <w:szCs w:val="28"/>
                <w:lang w:eastAsia="zh-CN"/>
              </w:rPr>
              <w:t>入场销售者严格落实索证索票制度，确保产品来源可溯；发现不合格食用农产品立即停止销售，采取下架、召回等措施，并向相关监管部门报告；积极配合做好食用农产品抽样、不合格产品后续处置等相关工作。</w:t>
            </w:r>
          </w:p>
        </w:tc>
        <w:tc>
          <w:tcPr>
            <w:tcW w:w="529" w:type="dxa"/>
            <w:tcBorders>
              <w:top w:val="single" w:color="auto" w:sz="4" w:space="0"/>
            </w:tcBorders>
            <w:noWrap w:val="0"/>
            <w:vAlign w:val="center"/>
          </w:tcPr>
          <w:p w14:paraId="05EABE3A">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top w:val="single" w:color="auto" w:sz="4" w:space="0"/>
            </w:tcBorders>
            <w:noWrap w:val="0"/>
            <w:vAlign w:val="center"/>
          </w:tcPr>
          <w:p w14:paraId="4B8C62B5">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7CFED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jc w:val="center"/>
        </w:trPr>
        <w:tc>
          <w:tcPr>
            <w:tcW w:w="599" w:type="dxa"/>
            <w:vMerge w:val="restart"/>
            <w:tcBorders>
              <w:top w:val="single" w:color="auto" w:sz="4" w:space="0"/>
            </w:tcBorders>
            <w:noWrap w:val="0"/>
            <w:vAlign w:val="center"/>
          </w:tcPr>
          <w:p w14:paraId="3863BB24">
            <w:pPr>
              <w:keepNext w:val="0"/>
              <w:keepLines w:val="0"/>
              <w:pageBreakBefore w:val="0"/>
              <w:wordWrap/>
              <w:overflowPunct/>
              <w:topLinePunct w:val="0"/>
              <w:bidi w:val="0"/>
              <w:spacing w:before="69" w:line="360" w:lineRule="exact"/>
              <w:ind w:left="245"/>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2</w:t>
            </w:r>
          </w:p>
        </w:tc>
        <w:tc>
          <w:tcPr>
            <w:tcW w:w="590" w:type="dxa"/>
            <w:vMerge w:val="restart"/>
            <w:tcBorders>
              <w:top w:val="single" w:color="auto" w:sz="4" w:space="0"/>
            </w:tcBorders>
            <w:noWrap w:val="0"/>
            <w:textDirection w:val="tbRlV"/>
            <w:vAlign w:val="center"/>
          </w:tcPr>
          <w:p w14:paraId="1F1F4848">
            <w:pPr>
              <w:pStyle w:val="13"/>
              <w:keepNext w:val="0"/>
              <w:keepLines w:val="0"/>
              <w:pageBreakBefore w:val="0"/>
              <w:wordWrap/>
              <w:overflowPunct/>
              <w:topLinePunct w:val="0"/>
              <w:bidi w:val="0"/>
              <w:spacing w:before="111" w:line="360" w:lineRule="exact"/>
              <w:ind w:left="113"/>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设备齐全</w:t>
            </w:r>
          </w:p>
        </w:tc>
        <w:tc>
          <w:tcPr>
            <w:tcW w:w="1488" w:type="dxa"/>
            <w:tcBorders>
              <w:top w:val="single" w:color="auto" w:sz="4" w:space="0"/>
              <w:bottom w:val="single" w:color="auto" w:sz="4" w:space="0"/>
            </w:tcBorders>
            <w:noWrap w:val="0"/>
            <w:vAlign w:val="center"/>
          </w:tcPr>
          <w:p w14:paraId="5ADCBC42">
            <w:pPr>
              <w:pStyle w:val="13"/>
              <w:keepNext w:val="0"/>
              <w:keepLines w:val="0"/>
              <w:pageBreakBefore w:val="0"/>
              <w:wordWrap/>
              <w:overflowPunct/>
              <w:topLinePunct w:val="0"/>
              <w:bidi w:val="0"/>
              <w:spacing w:before="78" w:line="360" w:lineRule="exact"/>
              <w:ind w:left="116" w:right="100" w:hanging="3"/>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快检室位置布局</w:t>
            </w:r>
          </w:p>
        </w:tc>
        <w:tc>
          <w:tcPr>
            <w:tcW w:w="662" w:type="dxa"/>
            <w:tcBorders>
              <w:bottom w:val="single" w:color="auto" w:sz="4" w:space="0"/>
            </w:tcBorders>
            <w:noWrap w:val="0"/>
            <w:vAlign w:val="center"/>
          </w:tcPr>
          <w:p w14:paraId="42DE24CD">
            <w:pPr>
              <w:keepNext w:val="0"/>
              <w:keepLines w:val="0"/>
              <w:pageBreakBefore w:val="0"/>
              <w:wordWrap/>
              <w:overflowPunct/>
              <w:topLinePunct w:val="0"/>
              <w:bidi w:val="0"/>
              <w:spacing w:before="69" w:line="360" w:lineRule="exact"/>
              <w:jc w:val="center"/>
              <w:rPr>
                <w:rFonts w:hint="default"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z w:val="28"/>
                <w:szCs w:val="28"/>
                <w:lang w:val="en-US" w:eastAsia="zh-CN"/>
              </w:rPr>
              <w:t>1.2</w:t>
            </w:r>
          </w:p>
        </w:tc>
        <w:tc>
          <w:tcPr>
            <w:tcW w:w="5003" w:type="dxa"/>
            <w:tcBorders>
              <w:bottom w:val="single" w:color="auto" w:sz="4" w:space="0"/>
            </w:tcBorders>
            <w:noWrap w:val="0"/>
            <w:vAlign w:val="center"/>
          </w:tcPr>
          <w:p w14:paraId="733C1656">
            <w:pPr>
              <w:pStyle w:val="13"/>
              <w:keepNext w:val="0"/>
              <w:keepLines w:val="0"/>
              <w:pageBreakBefore w:val="0"/>
              <w:wordWrap/>
              <w:overflowPunct/>
              <w:topLinePunct w:val="0"/>
              <w:bidi w:val="0"/>
              <w:spacing w:before="73" w:line="360" w:lineRule="exact"/>
              <w:ind w:left="111" w:leftChars="0" w:right="92" w:rightChars="0" w:firstLine="4" w:firstLineChars="0"/>
              <w:jc w:val="both"/>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pacing w:val="-14"/>
                <w:sz w:val="28"/>
                <w:szCs w:val="28"/>
                <w:lang w:eastAsia="zh-CN"/>
              </w:rPr>
              <w:t>农批市场快检室位置醒目，面积能满足需要，室内布局合理</w:t>
            </w:r>
            <w:r>
              <w:rPr>
                <w:rFonts w:hint="eastAsia" w:ascii="CESI仿宋-GB2312" w:hAnsi="CESI仿宋-GB2312" w:eastAsia="CESI仿宋-GB2312" w:cs="CESI仿宋-GB2312"/>
                <w:spacing w:val="-9"/>
                <w:sz w:val="28"/>
                <w:szCs w:val="28"/>
                <w:lang w:eastAsia="zh-CN"/>
              </w:rPr>
              <w:t>。</w:t>
            </w:r>
          </w:p>
        </w:tc>
        <w:tc>
          <w:tcPr>
            <w:tcW w:w="529" w:type="dxa"/>
            <w:tcBorders>
              <w:bottom w:val="single" w:color="auto" w:sz="4" w:space="0"/>
            </w:tcBorders>
            <w:noWrap w:val="0"/>
            <w:vAlign w:val="center"/>
          </w:tcPr>
          <w:p w14:paraId="199FE096">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bottom w:val="single" w:color="auto" w:sz="4" w:space="0"/>
            </w:tcBorders>
            <w:noWrap w:val="0"/>
            <w:vAlign w:val="center"/>
          </w:tcPr>
          <w:p w14:paraId="5C98AA0F">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5B36B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599" w:type="dxa"/>
            <w:vMerge w:val="continue"/>
            <w:noWrap w:val="0"/>
            <w:vAlign w:val="center"/>
          </w:tcPr>
          <w:p w14:paraId="4D19645A">
            <w:pPr>
              <w:keepNext w:val="0"/>
              <w:keepLines w:val="0"/>
              <w:pageBreakBefore w:val="0"/>
              <w:wordWrap/>
              <w:overflowPunct/>
              <w:topLinePunct w:val="0"/>
              <w:bidi w:val="0"/>
              <w:spacing w:before="69" w:line="360" w:lineRule="exact"/>
              <w:ind w:left="245"/>
              <w:rPr>
                <w:rFonts w:hint="eastAsia" w:ascii="CESI仿宋-GB2312" w:hAnsi="CESI仿宋-GB2312" w:eastAsia="CESI仿宋-GB2312" w:cs="CESI仿宋-GB2312"/>
                <w:sz w:val="28"/>
                <w:szCs w:val="28"/>
              </w:rPr>
            </w:pPr>
          </w:p>
        </w:tc>
        <w:tc>
          <w:tcPr>
            <w:tcW w:w="590" w:type="dxa"/>
            <w:vMerge w:val="continue"/>
            <w:noWrap w:val="0"/>
            <w:textDirection w:val="tbRlV"/>
            <w:vAlign w:val="center"/>
          </w:tcPr>
          <w:p w14:paraId="72F50EED">
            <w:pPr>
              <w:pStyle w:val="13"/>
              <w:keepNext w:val="0"/>
              <w:keepLines w:val="0"/>
              <w:pageBreakBefore w:val="0"/>
              <w:wordWrap/>
              <w:overflowPunct/>
              <w:topLinePunct w:val="0"/>
              <w:bidi w:val="0"/>
              <w:spacing w:before="111" w:line="360" w:lineRule="exact"/>
              <w:ind w:left="113"/>
              <w:jc w:val="center"/>
              <w:rPr>
                <w:rFonts w:hint="eastAsia" w:ascii="CESI仿宋-GB2312" w:hAnsi="CESI仿宋-GB2312" w:eastAsia="CESI仿宋-GB2312" w:cs="CESI仿宋-GB2312"/>
                <w:sz w:val="28"/>
                <w:szCs w:val="28"/>
                <w:lang w:eastAsia="zh-CN"/>
              </w:rPr>
            </w:pPr>
          </w:p>
        </w:tc>
        <w:tc>
          <w:tcPr>
            <w:tcW w:w="1488" w:type="dxa"/>
            <w:tcBorders>
              <w:top w:val="single" w:color="auto" w:sz="4" w:space="0"/>
              <w:bottom w:val="single" w:color="auto" w:sz="4" w:space="0"/>
            </w:tcBorders>
            <w:noWrap w:val="0"/>
            <w:vAlign w:val="center"/>
          </w:tcPr>
          <w:p w14:paraId="6DA37AF5">
            <w:pPr>
              <w:pStyle w:val="13"/>
              <w:keepNext w:val="0"/>
              <w:keepLines w:val="0"/>
              <w:pageBreakBefore w:val="0"/>
              <w:wordWrap/>
              <w:overflowPunct/>
              <w:topLinePunct w:val="0"/>
              <w:bidi w:val="0"/>
              <w:spacing w:before="78" w:line="360" w:lineRule="exact"/>
              <w:ind w:left="116" w:right="100" w:hanging="3"/>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快检室设备配备</w:t>
            </w:r>
          </w:p>
        </w:tc>
        <w:tc>
          <w:tcPr>
            <w:tcW w:w="662" w:type="dxa"/>
            <w:tcBorders>
              <w:top w:val="single" w:color="auto" w:sz="4" w:space="0"/>
              <w:bottom w:val="single" w:color="auto" w:sz="4" w:space="0"/>
            </w:tcBorders>
            <w:noWrap w:val="0"/>
            <w:vAlign w:val="center"/>
          </w:tcPr>
          <w:p w14:paraId="765A300A">
            <w:pPr>
              <w:keepNext w:val="0"/>
              <w:keepLines w:val="0"/>
              <w:pageBreakBefore w:val="0"/>
              <w:wordWrap/>
              <w:overflowPunct/>
              <w:topLinePunct w:val="0"/>
              <w:bidi w:val="0"/>
              <w:spacing w:before="69" w:line="360" w:lineRule="exact"/>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0.4</w:t>
            </w:r>
          </w:p>
        </w:tc>
        <w:tc>
          <w:tcPr>
            <w:tcW w:w="5003" w:type="dxa"/>
            <w:tcBorders>
              <w:top w:val="single" w:color="auto" w:sz="4" w:space="0"/>
              <w:bottom w:val="single" w:color="auto" w:sz="4" w:space="0"/>
            </w:tcBorders>
            <w:noWrap w:val="0"/>
            <w:vAlign w:val="center"/>
          </w:tcPr>
          <w:p w14:paraId="46A7353B">
            <w:pPr>
              <w:pStyle w:val="13"/>
              <w:keepNext w:val="0"/>
              <w:keepLines w:val="0"/>
              <w:pageBreakBefore w:val="0"/>
              <w:wordWrap/>
              <w:overflowPunct/>
              <w:topLinePunct w:val="0"/>
              <w:bidi w:val="0"/>
              <w:spacing w:before="73" w:line="360" w:lineRule="exact"/>
              <w:ind w:left="111" w:leftChars="0" w:right="92" w:rightChars="0" w:firstLine="4" w:firstLineChars="0"/>
              <w:jc w:val="both"/>
              <w:rPr>
                <w:rFonts w:hint="eastAsia" w:ascii="CESI仿宋-GB2312" w:hAnsi="CESI仿宋-GB2312" w:eastAsia="CESI仿宋-GB2312" w:cs="CESI仿宋-GB2312"/>
                <w:spacing w:val="-14"/>
                <w:sz w:val="28"/>
                <w:szCs w:val="28"/>
                <w:lang w:eastAsia="zh-CN"/>
              </w:rPr>
            </w:pPr>
            <w:r>
              <w:rPr>
                <w:rFonts w:hint="eastAsia" w:ascii="CESI仿宋-GB2312" w:hAnsi="CESI仿宋-GB2312" w:eastAsia="CESI仿宋-GB2312" w:cs="CESI仿宋-GB2312"/>
                <w:spacing w:val="-14"/>
                <w:sz w:val="28"/>
                <w:szCs w:val="28"/>
                <w:lang w:eastAsia="zh-CN"/>
              </w:rPr>
              <w:t>农批市场快检室配置与检测类型、检测要求相符合的快检设备、辅助设备和</w:t>
            </w:r>
            <w:r>
              <w:rPr>
                <w:rFonts w:hint="eastAsia" w:ascii="CESI仿宋-GB2312" w:hAnsi="CESI仿宋-GB2312" w:eastAsia="CESI仿宋-GB2312" w:cs="CESI仿宋-GB2312"/>
                <w:spacing w:val="-9"/>
                <w:sz w:val="28"/>
                <w:szCs w:val="28"/>
                <w:lang w:eastAsia="zh-CN"/>
              </w:rPr>
              <w:t>检测试剂等。</w:t>
            </w:r>
          </w:p>
        </w:tc>
        <w:tc>
          <w:tcPr>
            <w:tcW w:w="529" w:type="dxa"/>
            <w:tcBorders>
              <w:top w:val="single" w:color="auto" w:sz="4" w:space="0"/>
              <w:bottom w:val="single" w:color="auto" w:sz="4" w:space="0"/>
            </w:tcBorders>
            <w:noWrap w:val="0"/>
            <w:vAlign w:val="center"/>
          </w:tcPr>
          <w:p w14:paraId="3DEFD210">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top w:val="single" w:color="auto" w:sz="4" w:space="0"/>
              <w:bottom w:val="single" w:color="auto" w:sz="4" w:space="0"/>
            </w:tcBorders>
            <w:noWrap w:val="0"/>
            <w:vAlign w:val="center"/>
          </w:tcPr>
          <w:p w14:paraId="390D313B">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1D400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99" w:type="dxa"/>
            <w:vMerge w:val="continue"/>
            <w:noWrap w:val="0"/>
            <w:vAlign w:val="center"/>
          </w:tcPr>
          <w:p w14:paraId="131376DF">
            <w:pPr>
              <w:keepNext w:val="0"/>
              <w:keepLines w:val="0"/>
              <w:pageBreakBefore w:val="0"/>
              <w:wordWrap/>
              <w:overflowPunct/>
              <w:topLinePunct w:val="0"/>
              <w:bidi w:val="0"/>
              <w:spacing w:before="69" w:line="360" w:lineRule="exact"/>
              <w:ind w:left="245"/>
              <w:rPr>
                <w:rFonts w:hint="eastAsia" w:ascii="CESI仿宋-GB2312" w:hAnsi="CESI仿宋-GB2312" w:eastAsia="CESI仿宋-GB2312" w:cs="CESI仿宋-GB2312"/>
                <w:sz w:val="28"/>
                <w:szCs w:val="28"/>
              </w:rPr>
            </w:pPr>
          </w:p>
        </w:tc>
        <w:tc>
          <w:tcPr>
            <w:tcW w:w="590" w:type="dxa"/>
            <w:vMerge w:val="continue"/>
            <w:noWrap w:val="0"/>
            <w:textDirection w:val="tbRlV"/>
            <w:vAlign w:val="center"/>
          </w:tcPr>
          <w:p w14:paraId="7C44C5F5">
            <w:pPr>
              <w:pStyle w:val="13"/>
              <w:keepNext w:val="0"/>
              <w:keepLines w:val="0"/>
              <w:pageBreakBefore w:val="0"/>
              <w:wordWrap/>
              <w:overflowPunct/>
              <w:topLinePunct w:val="0"/>
              <w:bidi w:val="0"/>
              <w:spacing w:before="111" w:line="360" w:lineRule="exact"/>
              <w:ind w:left="113"/>
              <w:jc w:val="center"/>
              <w:rPr>
                <w:rFonts w:hint="eastAsia" w:ascii="CESI仿宋-GB2312" w:hAnsi="CESI仿宋-GB2312" w:eastAsia="CESI仿宋-GB2312" w:cs="CESI仿宋-GB2312"/>
                <w:sz w:val="28"/>
                <w:szCs w:val="28"/>
                <w:lang w:eastAsia="zh-CN"/>
              </w:rPr>
            </w:pPr>
          </w:p>
        </w:tc>
        <w:tc>
          <w:tcPr>
            <w:tcW w:w="1488" w:type="dxa"/>
            <w:tcBorders>
              <w:top w:val="single" w:color="auto" w:sz="4" w:space="0"/>
              <w:bottom w:val="single" w:color="auto" w:sz="4" w:space="0"/>
            </w:tcBorders>
            <w:noWrap w:val="0"/>
            <w:vAlign w:val="center"/>
          </w:tcPr>
          <w:p w14:paraId="1BD83AAF">
            <w:pPr>
              <w:pStyle w:val="13"/>
              <w:keepNext w:val="0"/>
              <w:keepLines w:val="0"/>
              <w:pageBreakBefore w:val="0"/>
              <w:wordWrap/>
              <w:overflowPunct/>
              <w:topLinePunct w:val="0"/>
              <w:bidi w:val="0"/>
              <w:spacing w:before="78" w:line="360" w:lineRule="exact"/>
              <w:ind w:left="116" w:leftChars="0" w:right="100" w:rightChars="0" w:hanging="3" w:firstLineChars="0"/>
              <w:jc w:val="center"/>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z w:val="28"/>
                <w:szCs w:val="28"/>
                <w:lang w:eastAsia="zh-CN"/>
              </w:rPr>
              <w:t>设备配备校准</w:t>
            </w:r>
          </w:p>
        </w:tc>
        <w:tc>
          <w:tcPr>
            <w:tcW w:w="662" w:type="dxa"/>
            <w:tcBorders>
              <w:top w:val="single" w:color="auto" w:sz="4" w:space="0"/>
              <w:bottom w:val="single" w:color="auto" w:sz="4" w:space="0"/>
            </w:tcBorders>
            <w:noWrap w:val="0"/>
            <w:vAlign w:val="center"/>
          </w:tcPr>
          <w:p w14:paraId="2D0870B9">
            <w:pPr>
              <w:keepNext w:val="0"/>
              <w:keepLines w:val="0"/>
              <w:pageBreakBefore w:val="0"/>
              <w:wordWrap/>
              <w:overflowPunct/>
              <w:topLinePunct w:val="0"/>
              <w:bidi w:val="0"/>
              <w:spacing w:before="69" w:line="360" w:lineRule="exact"/>
              <w:jc w:val="center"/>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pacing w:val="-15"/>
                <w:sz w:val="28"/>
                <w:szCs w:val="28"/>
                <w:lang w:val="en-US" w:eastAsia="zh-CN"/>
              </w:rPr>
              <w:t>0.4</w:t>
            </w:r>
          </w:p>
        </w:tc>
        <w:tc>
          <w:tcPr>
            <w:tcW w:w="5003" w:type="dxa"/>
            <w:tcBorders>
              <w:top w:val="single" w:color="auto" w:sz="4" w:space="0"/>
              <w:bottom w:val="single" w:color="auto" w:sz="4" w:space="0"/>
            </w:tcBorders>
            <w:noWrap w:val="0"/>
            <w:vAlign w:val="center"/>
          </w:tcPr>
          <w:p w14:paraId="5E5D66E6">
            <w:pPr>
              <w:pStyle w:val="13"/>
              <w:keepNext w:val="0"/>
              <w:keepLines w:val="0"/>
              <w:pageBreakBefore w:val="0"/>
              <w:wordWrap/>
              <w:overflowPunct/>
              <w:topLinePunct w:val="0"/>
              <w:bidi w:val="0"/>
              <w:spacing w:before="74" w:line="360" w:lineRule="exact"/>
              <w:ind w:left="115" w:leftChars="0" w:right="95" w:rightChars="0" w:hanging="1" w:firstLineChars="0"/>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pacing w:val="-10"/>
                <w:sz w:val="28"/>
                <w:szCs w:val="28"/>
                <w:lang w:eastAsia="zh-CN"/>
              </w:rPr>
              <w:t>农批市场快检室</w:t>
            </w:r>
            <w:r>
              <w:rPr>
                <w:rFonts w:hint="eastAsia" w:ascii="CESI仿宋-GB2312" w:hAnsi="CESI仿宋-GB2312" w:eastAsia="CESI仿宋-GB2312" w:cs="CESI仿宋-GB2312"/>
                <w:spacing w:val="-15"/>
                <w:sz w:val="28"/>
                <w:szCs w:val="28"/>
                <w:lang w:eastAsia="zh-CN"/>
              </w:rPr>
              <w:t>的仪器设备定期校准，维护有计划并有效执行，相关记录规范齐全</w:t>
            </w:r>
            <w:r>
              <w:rPr>
                <w:rFonts w:hint="eastAsia" w:ascii="CESI仿宋-GB2312" w:hAnsi="CESI仿宋-GB2312" w:eastAsia="CESI仿宋-GB2312" w:cs="CESI仿宋-GB2312"/>
                <w:spacing w:val="-14"/>
                <w:sz w:val="28"/>
                <w:szCs w:val="28"/>
                <w:lang w:eastAsia="zh-CN"/>
              </w:rPr>
              <w:t>。</w:t>
            </w:r>
          </w:p>
        </w:tc>
        <w:tc>
          <w:tcPr>
            <w:tcW w:w="529" w:type="dxa"/>
            <w:tcBorders>
              <w:top w:val="single" w:color="auto" w:sz="4" w:space="0"/>
              <w:bottom w:val="single" w:color="auto" w:sz="4" w:space="0"/>
            </w:tcBorders>
            <w:noWrap w:val="0"/>
            <w:vAlign w:val="center"/>
          </w:tcPr>
          <w:p w14:paraId="30E5005E">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top w:val="single" w:color="auto" w:sz="4" w:space="0"/>
              <w:bottom w:val="single" w:color="auto" w:sz="4" w:space="0"/>
            </w:tcBorders>
            <w:noWrap w:val="0"/>
            <w:vAlign w:val="center"/>
          </w:tcPr>
          <w:p w14:paraId="0CEC5AD5">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2B261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jc w:val="center"/>
        </w:trPr>
        <w:tc>
          <w:tcPr>
            <w:tcW w:w="599" w:type="dxa"/>
            <w:vMerge w:val="continue"/>
            <w:tcBorders>
              <w:bottom w:val="single" w:color="auto" w:sz="4" w:space="0"/>
            </w:tcBorders>
            <w:noWrap w:val="0"/>
            <w:vAlign w:val="center"/>
          </w:tcPr>
          <w:p w14:paraId="5E6BE953">
            <w:pPr>
              <w:keepNext w:val="0"/>
              <w:keepLines w:val="0"/>
              <w:pageBreakBefore w:val="0"/>
              <w:wordWrap/>
              <w:overflowPunct/>
              <w:topLinePunct w:val="0"/>
              <w:bidi w:val="0"/>
              <w:spacing w:before="69" w:line="360" w:lineRule="exact"/>
              <w:ind w:left="245"/>
              <w:rPr>
                <w:rFonts w:hint="eastAsia" w:ascii="CESI仿宋-GB2312" w:hAnsi="CESI仿宋-GB2312" w:eastAsia="CESI仿宋-GB2312" w:cs="CESI仿宋-GB2312"/>
                <w:sz w:val="28"/>
                <w:szCs w:val="28"/>
              </w:rPr>
            </w:pPr>
          </w:p>
        </w:tc>
        <w:tc>
          <w:tcPr>
            <w:tcW w:w="590" w:type="dxa"/>
            <w:vMerge w:val="continue"/>
            <w:tcBorders>
              <w:bottom w:val="single" w:color="auto" w:sz="4" w:space="0"/>
            </w:tcBorders>
            <w:noWrap w:val="0"/>
            <w:textDirection w:val="tbRlV"/>
            <w:vAlign w:val="center"/>
          </w:tcPr>
          <w:p w14:paraId="2E48FCFD">
            <w:pPr>
              <w:pStyle w:val="13"/>
              <w:keepNext w:val="0"/>
              <w:keepLines w:val="0"/>
              <w:pageBreakBefore w:val="0"/>
              <w:wordWrap/>
              <w:overflowPunct/>
              <w:topLinePunct w:val="0"/>
              <w:bidi w:val="0"/>
              <w:spacing w:before="111" w:line="360" w:lineRule="exact"/>
              <w:ind w:left="113"/>
              <w:jc w:val="center"/>
              <w:rPr>
                <w:rFonts w:hint="eastAsia" w:ascii="CESI仿宋-GB2312" w:hAnsi="CESI仿宋-GB2312" w:eastAsia="CESI仿宋-GB2312" w:cs="CESI仿宋-GB2312"/>
                <w:spacing w:val="-1"/>
                <w:position w:val="-1"/>
                <w:sz w:val="28"/>
                <w:szCs w:val="28"/>
                <w:lang w:eastAsia="zh-CN"/>
              </w:rPr>
            </w:pPr>
          </w:p>
        </w:tc>
        <w:tc>
          <w:tcPr>
            <w:tcW w:w="1488" w:type="dxa"/>
            <w:tcBorders>
              <w:top w:val="single" w:color="auto" w:sz="4" w:space="0"/>
              <w:bottom w:val="single" w:color="auto" w:sz="4" w:space="0"/>
            </w:tcBorders>
            <w:noWrap w:val="0"/>
            <w:vAlign w:val="center"/>
          </w:tcPr>
          <w:p w14:paraId="3C4A1F82">
            <w:pPr>
              <w:pStyle w:val="13"/>
              <w:keepNext w:val="0"/>
              <w:keepLines w:val="0"/>
              <w:pageBreakBefore w:val="0"/>
              <w:wordWrap/>
              <w:overflowPunct/>
              <w:topLinePunct w:val="0"/>
              <w:bidi w:val="0"/>
              <w:spacing w:before="78" w:line="360" w:lineRule="exact"/>
              <w:ind w:left="116" w:right="100" w:hanging="3"/>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能力满足要求</w:t>
            </w:r>
          </w:p>
        </w:tc>
        <w:tc>
          <w:tcPr>
            <w:tcW w:w="662" w:type="dxa"/>
            <w:tcBorders>
              <w:top w:val="single" w:color="auto" w:sz="4" w:space="0"/>
            </w:tcBorders>
            <w:noWrap w:val="0"/>
            <w:vAlign w:val="center"/>
          </w:tcPr>
          <w:p w14:paraId="1A4DE514">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z w:val="28"/>
                <w:szCs w:val="28"/>
                <w:lang w:val="en-US" w:eastAsia="zh-CN"/>
              </w:rPr>
              <w:t>0.4</w:t>
            </w:r>
          </w:p>
        </w:tc>
        <w:tc>
          <w:tcPr>
            <w:tcW w:w="5003" w:type="dxa"/>
            <w:tcBorders>
              <w:top w:val="single" w:color="auto" w:sz="4" w:space="0"/>
            </w:tcBorders>
            <w:noWrap w:val="0"/>
            <w:vAlign w:val="center"/>
          </w:tcPr>
          <w:p w14:paraId="16040B06">
            <w:pPr>
              <w:pStyle w:val="13"/>
              <w:keepNext w:val="0"/>
              <w:keepLines w:val="0"/>
              <w:pageBreakBefore w:val="0"/>
              <w:wordWrap/>
              <w:overflowPunct/>
              <w:topLinePunct w:val="0"/>
              <w:bidi w:val="0"/>
              <w:spacing w:before="76" w:line="360" w:lineRule="exact"/>
              <w:ind w:left="121" w:leftChars="0" w:right="95" w:rightChars="0" w:hanging="5" w:firstLineChars="0"/>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pacing w:val="-10"/>
                <w:sz w:val="28"/>
                <w:szCs w:val="28"/>
                <w:lang w:eastAsia="zh-CN"/>
              </w:rPr>
              <w:t>农批市场快检室</w:t>
            </w:r>
            <w:r>
              <w:rPr>
                <w:rFonts w:hint="eastAsia" w:ascii="CESI仿宋-GB2312" w:hAnsi="CESI仿宋-GB2312" w:eastAsia="CESI仿宋-GB2312" w:cs="CESI仿宋-GB2312"/>
                <w:spacing w:val="-11"/>
                <w:sz w:val="28"/>
                <w:szCs w:val="28"/>
                <w:lang w:eastAsia="zh-CN"/>
              </w:rPr>
              <w:t>检测项目覆盖常见食用农产品的</w:t>
            </w:r>
            <w:r>
              <w:rPr>
                <w:rFonts w:hint="eastAsia" w:ascii="CESI仿宋-GB2312" w:hAnsi="CESI仿宋-GB2312" w:eastAsia="CESI仿宋-GB2312" w:cs="CESI仿宋-GB2312"/>
                <w:spacing w:val="-9"/>
                <w:sz w:val="28"/>
                <w:szCs w:val="28"/>
                <w:lang w:eastAsia="zh-CN"/>
              </w:rPr>
              <w:t>农兽药残留、重金属等</w:t>
            </w:r>
            <w:r>
              <w:rPr>
                <w:rFonts w:hint="eastAsia" w:ascii="CESI仿宋-GB2312" w:hAnsi="CESI仿宋-GB2312" w:eastAsia="CESI仿宋-GB2312" w:cs="CESI仿宋-GB2312"/>
                <w:spacing w:val="-11"/>
                <w:sz w:val="28"/>
                <w:szCs w:val="28"/>
                <w:lang w:eastAsia="zh-CN"/>
              </w:rPr>
              <w:t>主要</w:t>
            </w:r>
            <w:r>
              <w:rPr>
                <w:rFonts w:hint="eastAsia" w:ascii="CESI仿宋-GB2312" w:hAnsi="CESI仿宋-GB2312" w:eastAsia="CESI仿宋-GB2312" w:cs="CESI仿宋-GB2312"/>
                <w:spacing w:val="-9"/>
                <w:sz w:val="28"/>
                <w:szCs w:val="28"/>
                <w:lang w:eastAsia="zh-CN"/>
              </w:rPr>
              <w:t>检测项目</w:t>
            </w:r>
            <w:r>
              <w:rPr>
                <w:rFonts w:hint="eastAsia" w:ascii="CESI仿宋-GB2312" w:hAnsi="CESI仿宋-GB2312" w:eastAsia="CESI仿宋-GB2312" w:cs="CESI仿宋-GB2312"/>
                <w:spacing w:val="-11"/>
                <w:sz w:val="28"/>
                <w:szCs w:val="28"/>
                <w:lang w:eastAsia="zh-CN"/>
              </w:rPr>
              <w:t>；</w:t>
            </w:r>
            <w:r>
              <w:rPr>
                <w:rFonts w:hint="eastAsia" w:ascii="CESI仿宋-GB2312" w:hAnsi="CESI仿宋-GB2312" w:eastAsia="CESI仿宋-GB2312" w:cs="CESI仿宋-GB2312"/>
                <w:spacing w:val="-15"/>
                <w:sz w:val="28"/>
                <w:szCs w:val="28"/>
                <w:lang w:eastAsia="zh-CN"/>
              </w:rPr>
              <w:t>对于高风险、重点品类的检测采用胶体金法等精准度较高的快检技术和方法。</w:t>
            </w:r>
          </w:p>
        </w:tc>
        <w:tc>
          <w:tcPr>
            <w:tcW w:w="529" w:type="dxa"/>
            <w:tcBorders>
              <w:top w:val="single" w:color="auto" w:sz="4" w:space="0"/>
            </w:tcBorders>
            <w:noWrap w:val="0"/>
            <w:vAlign w:val="center"/>
          </w:tcPr>
          <w:p w14:paraId="0C1C45EF">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top w:val="single" w:color="auto" w:sz="4" w:space="0"/>
            </w:tcBorders>
            <w:noWrap w:val="0"/>
            <w:vAlign w:val="center"/>
          </w:tcPr>
          <w:p w14:paraId="39E14B56">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23A58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jc w:val="center"/>
        </w:trPr>
        <w:tc>
          <w:tcPr>
            <w:tcW w:w="599" w:type="dxa"/>
            <w:vMerge w:val="restart"/>
            <w:tcBorders>
              <w:top w:val="single" w:color="auto" w:sz="4" w:space="0"/>
            </w:tcBorders>
            <w:noWrap w:val="0"/>
            <w:vAlign w:val="center"/>
          </w:tcPr>
          <w:p w14:paraId="179FF3ED">
            <w:pPr>
              <w:keepNext w:val="0"/>
              <w:keepLines w:val="0"/>
              <w:pageBreakBefore w:val="0"/>
              <w:wordWrap/>
              <w:overflowPunct/>
              <w:topLinePunct w:val="0"/>
              <w:bidi w:val="0"/>
              <w:spacing w:line="360" w:lineRule="exact"/>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3</w:t>
            </w:r>
          </w:p>
        </w:tc>
        <w:tc>
          <w:tcPr>
            <w:tcW w:w="590" w:type="dxa"/>
            <w:vMerge w:val="restart"/>
            <w:tcBorders>
              <w:top w:val="single" w:color="auto" w:sz="4" w:space="0"/>
            </w:tcBorders>
            <w:noWrap w:val="0"/>
            <w:textDirection w:val="tbRlV"/>
            <w:vAlign w:val="center"/>
          </w:tcPr>
          <w:p w14:paraId="1EB83258">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流程规范</w:t>
            </w:r>
          </w:p>
        </w:tc>
        <w:tc>
          <w:tcPr>
            <w:tcW w:w="1488" w:type="dxa"/>
            <w:tcBorders>
              <w:top w:val="single" w:color="auto" w:sz="4" w:space="0"/>
              <w:bottom w:val="single" w:color="auto" w:sz="4" w:space="0"/>
            </w:tcBorders>
            <w:noWrap w:val="0"/>
            <w:vAlign w:val="center"/>
          </w:tcPr>
          <w:p w14:paraId="3733028B">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spacing w:val="-10"/>
                <w:sz w:val="28"/>
                <w:szCs w:val="28"/>
                <w:lang w:eastAsia="zh-CN"/>
              </w:rPr>
            </w:pPr>
            <w:r>
              <w:rPr>
                <w:rFonts w:hint="eastAsia" w:ascii="CESI仿宋-GB2312" w:hAnsi="CESI仿宋-GB2312" w:eastAsia="CESI仿宋-GB2312" w:cs="CESI仿宋-GB2312"/>
                <w:spacing w:val="-10"/>
                <w:sz w:val="28"/>
                <w:szCs w:val="28"/>
                <w:lang w:eastAsia="zh-CN"/>
              </w:rPr>
              <w:t>合理制定</w:t>
            </w:r>
          </w:p>
          <w:p w14:paraId="6FA1E4EE">
            <w:pPr>
              <w:keepNext w:val="0"/>
              <w:keepLines w:val="0"/>
              <w:pageBreakBefore w:val="0"/>
              <w:wordWrap/>
              <w:overflowPunct/>
              <w:topLinePunct w:val="0"/>
              <w:bidi w:val="0"/>
              <w:spacing w:line="360" w:lineRule="exact"/>
              <w:jc w:val="center"/>
              <w:rPr>
                <w:rFonts w:hint="default" w:ascii="CESI仿宋-GB2312" w:hAnsi="CESI仿宋-GB2312" w:eastAsia="CESI仿宋-GB2312" w:cs="CESI仿宋-GB2312"/>
                <w:spacing w:val="-10"/>
                <w:sz w:val="28"/>
                <w:szCs w:val="28"/>
                <w:lang w:val="en-US" w:eastAsia="zh-CN"/>
              </w:rPr>
            </w:pPr>
            <w:r>
              <w:rPr>
                <w:rFonts w:hint="eastAsia" w:ascii="CESI仿宋-GB2312" w:hAnsi="CESI仿宋-GB2312" w:eastAsia="CESI仿宋-GB2312" w:cs="CESI仿宋-GB2312"/>
                <w:spacing w:val="-10"/>
                <w:sz w:val="28"/>
                <w:szCs w:val="28"/>
                <w:lang w:eastAsia="zh-CN"/>
              </w:rPr>
              <w:t>快检计划</w:t>
            </w:r>
          </w:p>
        </w:tc>
        <w:tc>
          <w:tcPr>
            <w:tcW w:w="662" w:type="dxa"/>
            <w:tcBorders>
              <w:top w:val="single" w:color="auto" w:sz="4" w:space="0"/>
            </w:tcBorders>
            <w:noWrap w:val="0"/>
            <w:vAlign w:val="center"/>
          </w:tcPr>
          <w:p w14:paraId="0AFC0220">
            <w:pPr>
              <w:keepNext w:val="0"/>
              <w:keepLines w:val="0"/>
              <w:pageBreakBefore w:val="0"/>
              <w:wordWrap/>
              <w:overflowPunct/>
              <w:topLinePunct w:val="0"/>
              <w:bidi w:val="0"/>
              <w:spacing w:before="69" w:line="360" w:lineRule="exact"/>
              <w:ind w:left="215" w:leftChars="0"/>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z w:val="28"/>
                <w:szCs w:val="28"/>
                <w:lang w:val="en-US" w:eastAsia="zh-CN"/>
              </w:rPr>
              <w:t>0.4</w:t>
            </w:r>
          </w:p>
        </w:tc>
        <w:tc>
          <w:tcPr>
            <w:tcW w:w="5003" w:type="dxa"/>
            <w:tcBorders>
              <w:top w:val="single" w:color="auto" w:sz="4" w:space="0"/>
            </w:tcBorders>
            <w:noWrap w:val="0"/>
            <w:vAlign w:val="center"/>
          </w:tcPr>
          <w:p w14:paraId="21DF00F6">
            <w:pPr>
              <w:pStyle w:val="13"/>
              <w:keepNext w:val="0"/>
              <w:keepLines w:val="0"/>
              <w:pageBreakBefore w:val="0"/>
              <w:wordWrap/>
              <w:overflowPunct/>
              <w:topLinePunct w:val="0"/>
              <w:bidi w:val="0"/>
              <w:spacing w:before="103" w:line="360" w:lineRule="exact"/>
              <w:ind w:left="111" w:leftChars="0" w:right="95" w:rightChars="0" w:firstLine="10" w:firstLineChars="0"/>
              <w:jc w:val="both"/>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pacing w:val="-10"/>
                <w:sz w:val="28"/>
                <w:szCs w:val="28"/>
                <w:lang w:eastAsia="zh-CN"/>
              </w:rPr>
              <w:t>农批市场</w:t>
            </w:r>
            <w:r>
              <w:rPr>
                <w:rFonts w:hint="eastAsia" w:ascii="CESI仿宋-GB2312" w:hAnsi="CESI仿宋-GB2312" w:eastAsia="CESI仿宋-GB2312" w:cs="CESI仿宋-GB2312"/>
                <w:spacing w:val="-15"/>
                <w:sz w:val="28"/>
                <w:szCs w:val="28"/>
                <w:lang w:eastAsia="zh-CN"/>
              </w:rPr>
              <w:t>按照月度快检计划实施快检</w:t>
            </w:r>
            <w:r>
              <w:rPr>
                <w:rFonts w:hint="eastAsia" w:ascii="CESI仿宋-GB2312" w:hAnsi="CESI仿宋-GB2312" w:eastAsia="CESI仿宋-GB2312" w:cs="CESI仿宋-GB2312"/>
                <w:spacing w:val="-15"/>
                <w:sz w:val="28"/>
                <w:szCs w:val="28"/>
                <w:lang w:val="en-US" w:eastAsia="zh-CN"/>
              </w:rPr>
              <w:t>，</w:t>
            </w:r>
            <w:r>
              <w:rPr>
                <w:rFonts w:hint="eastAsia" w:ascii="CESI仿宋-GB2312" w:hAnsi="CESI仿宋-GB2312" w:eastAsia="CESI仿宋-GB2312" w:cs="CESI仿宋-GB2312"/>
                <w:spacing w:val="-14"/>
                <w:sz w:val="28"/>
                <w:szCs w:val="28"/>
                <w:lang w:eastAsia="zh-CN"/>
              </w:rPr>
              <w:t>动态调整快检计划；有序完成快检任务。</w:t>
            </w:r>
          </w:p>
        </w:tc>
        <w:tc>
          <w:tcPr>
            <w:tcW w:w="529" w:type="dxa"/>
            <w:tcBorders>
              <w:top w:val="single" w:color="auto" w:sz="4" w:space="0"/>
            </w:tcBorders>
            <w:noWrap w:val="0"/>
            <w:vAlign w:val="center"/>
          </w:tcPr>
          <w:p w14:paraId="5ECF6468">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top w:val="single" w:color="auto" w:sz="4" w:space="0"/>
            </w:tcBorders>
            <w:noWrap w:val="0"/>
            <w:vAlign w:val="center"/>
          </w:tcPr>
          <w:p w14:paraId="2FBD4A93">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74F29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jc w:val="center"/>
        </w:trPr>
        <w:tc>
          <w:tcPr>
            <w:tcW w:w="599" w:type="dxa"/>
            <w:vMerge w:val="continue"/>
            <w:noWrap w:val="0"/>
            <w:vAlign w:val="center"/>
          </w:tcPr>
          <w:p w14:paraId="4F80017B">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590" w:type="dxa"/>
            <w:vMerge w:val="continue"/>
            <w:noWrap w:val="0"/>
            <w:textDirection w:val="tbRlV"/>
            <w:vAlign w:val="center"/>
          </w:tcPr>
          <w:p w14:paraId="13F86760">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488" w:type="dxa"/>
            <w:tcBorders>
              <w:top w:val="single" w:color="auto" w:sz="4" w:space="0"/>
              <w:bottom w:val="single" w:color="auto" w:sz="4" w:space="0"/>
            </w:tcBorders>
            <w:noWrap w:val="0"/>
            <w:vAlign w:val="center"/>
          </w:tcPr>
          <w:p w14:paraId="614CED05">
            <w:pPr>
              <w:pStyle w:val="13"/>
              <w:keepNext w:val="0"/>
              <w:keepLines w:val="0"/>
              <w:pageBreakBefore w:val="0"/>
              <w:widowControl/>
              <w:kinsoku w:val="0"/>
              <w:wordWrap/>
              <w:overflowPunct/>
              <w:topLinePunct w:val="0"/>
              <w:autoSpaceDE w:val="0"/>
              <w:autoSpaceDN w:val="0"/>
              <w:bidi w:val="0"/>
              <w:adjustRightInd w:val="0"/>
              <w:snapToGrid w:val="0"/>
              <w:spacing w:line="360" w:lineRule="exact"/>
              <w:ind w:left="11" w:right="0" w:hanging="11"/>
              <w:jc w:val="center"/>
              <w:textAlignment w:val="baseline"/>
              <w:rPr>
                <w:rFonts w:hint="eastAsia" w:ascii="CESI仿宋-GB2312" w:hAnsi="CESI仿宋-GB2312" w:eastAsia="CESI仿宋-GB2312" w:cs="CESI仿宋-GB2312"/>
                <w:spacing w:val="-10"/>
                <w:sz w:val="28"/>
                <w:szCs w:val="28"/>
              </w:rPr>
            </w:pPr>
            <w:r>
              <w:rPr>
                <w:rFonts w:hint="eastAsia" w:ascii="CESI仿宋-GB2312" w:hAnsi="CESI仿宋-GB2312" w:eastAsia="CESI仿宋-GB2312" w:cs="CESI仿宋-GB2312"/>
                <w:spacing w:val="-10"/>
                <w:sz w:val="28"/>
                <w:szCs w:val="28"/>
              </w:rPr>
              <w:t>科学抽取</w:t>
            </w:r>
          </w:p>
          <w:p w14:paraId="6EA182E7">
            <w:pPr>
              <w:pStyle w:val="13"/>
              <w:keepNext w:val="0"/>
              <w:keepLines w:val="0"/>
              <w:pageBreakBefore w:val="0"/>
              <w:widowControl/>
              <w:kinsoku w:val="0"/>
              <w:wordWrap/>
              <w:overflowPunct/>
              <w:topLinePunct w:val="0"/>
              <w:autoSpaceDE w:val="0"/>
              <w:autoSpaceDN w:val="0"/>
              <w:bidi w:val="0"/>
              <w:adjustRightInd w:val="0"/>
              <w:snapToGrid w:val="0"/>
              <w:spacing w:line="360" w:lineRule="exact"/>
              <w:ind w:left="11" w:right="0" w:hanging="11"/>
              <w:jc w:val="center"/>
              <w:textAlignment w:val="baseline"/>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0"/>
                <w:sz w:val="28"/>
                <w:szCs w:val="28"/>
                <w:lang w:eastAsia="zh-CN"/>
              </w:rPr>
              <w:t>快检</w:t>
            </w:r>
            <w:r>
              <w:rPr>
                <w:rFonts w:hint="eastAsia" w:ascii="CESI仿宋-GB2312" w:hAnsi="CESI仿宋-GB2312" w:eastAsia="CESI仿宋-GB2312" w:cs="CESI仿宋-GB2312"/>
                <w:spacing w:val="-7"/>
                <w:sz w:val="28"/>
                <w:szCs w:val="28"/>
              </w:rPr>
              <w:t>样品</w:t>
            </w:r>
          </w:p>
        </w:tc>
        <w:tc>
          <w:tcPr>
            <w:tcW w:w="662" w:type="dxa"/>
            <w:tcBorders>
              <w:bottom w:val="single" w:color="auto" w:sz="4" w:space="0"/>
            </w:tcBorders>
            <w:noWrap w:val="0"/>
            <w:vAlign w:val="center"/>
          </w:tcPr>
          <w:p w14:paraId="62AE7913">
            <w:pPr>
              <w:keepNext w:val="0"/>
              <w:keepLines w:val="0"/>
              <w:pageBreakBefore w:val="0"/>
              <w:wordWrap/>
              <w:overflowPunct/>
              <w:topLinePunct w:val="0"/>
              <w:bidi w:val="0"/>
              <w:spacing w:before="69" w:line="360" w:lineRule="exact"/>
              <w:ind w:left="222" w:leftChars="0"/>
              <w:rPr>
                <w:rFonts w:hint="default"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z w:val="28"/>
                <w:szCs w:val="28"/>
                <w:lang w:val="en-US" w:eastAsia="zh-CN"/>
              </w:rPr>
              <w:t>0.2</w:t>
            </w:r>
          </w:p>
        </w:tc>
        <w:tc>
          <w:tcPr>
            <w:tcW w:w="5003" w:type="dxa"/>
            <w:noWrap w:val="0"/>
            <w:vAlign w:val="center"/>
          </w:tcPr>
          <w:p w14:paraId="7C1B5AD3">
            <w:pPr>
              <w:pStyle w:val="13"/>
              <w:keepNext w:val="0"/>
              <w:keepLines w:val="0"/>
              <w:pageBreakBefore w:val="0"/>
              <w:wordWrap/>
              <w:overflowPunct/>
              <w:topLinePunct w:val="0"/>
              <w:bidi w:val="0"/>
              <w:spacing w:before="115" w:line="360" w:lineRule="exact"/>
              <w:ind w:left="114" w:leftChars="0" w:right="95" w:rightChars="0"/>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pacing w:val="-10"/>
                <w:sz w:val="28"/>
                <w:szCs w:val="28"/>
                <w:lang w:eastAsia="zh-CN"/>
              </w:rPr>
              <w:t>农批市场</w:t>
            </w:r>
            <w:r>
              <w:rPr>
                <w:rFonts w:hint="eastAsia" w:ascii="CESI仿宋-GB2312" w:hAnsi="CESI仿宋-GB2312" w:eastAsia="CESI仿宋-GB2312" w:cs="CESI仿宋-GB2312"/>
                <w:spacing w:val="-14"/>
                <w:sz w:val="28"/>
                <w:szCs w:val="28"/>
                <w:lang w:eastAsia="zh-CN"/>
              </w:rPr>
              <w:t>聚焦“票证不齐产品、重点高风险品种”等要求，按照标准方法和要求进行样品采集，确保样品代表性</w:t>
            </w:r>
            <w:r>
              <w:rPr>
                <w:rFonts w:hint="eastAsia" w:ascii="CESI仿宋-GB2312" w:hAnsi="CESI仿宋-GB2312" w:eastAsia="CESI仿宋-GB2312" w:cs="CESI仿宋-GB2312"/>
                <w:spacing w:val="-9"/>
                <w:sz w:val="28"/>
                <w:szCs w:val="28"/>
                <w:lang w:eastAsia="zh-CN"/>
              </w:rPr>
              <w:t>。</w:t>
            </w:r>
          </w:p>
        </w:tc>
        <w:tc>
          <w:tcPr>
            <w:tcW w:w="529" w:type="dxa"/>
            <w:noWrap w:val="0"/>
            <w:vAlign w:val="center"/>
          </w:tcPr>
          <w:p w14:paraId="7AC4D4EA">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noWrap w:val="0"/>
            <w:vAlign w:val="center"/>
          </w:tcPr>
          <w:p w14:paraId="566F7856">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723E0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jc w:val="center"/>
        </w:trPr>
        <w:tc>
          <w:tcPr>
            <w:tcW w:w="599" w:type="dxa"/>
            <w:vMerge w:val="continue"/>
            <w:noWrap w:val="0"/>
            <w:vAlign w:val="center"/>
          </w:tcPr>
          <w:p w14:paraId="389F553F">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590" w:type="dxa"/>
            <w:vMerge w:val="continue"/>
            <w:noWrap w:val="0"/>
            <w:textDirection w:val="tbRlV"/>
            <w:vAlign w:val="center"/>
          </w:tcPr>
          <w:p w14:paraId="0136062C">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488" w:type="dxa"/>
            <w:tcBorders>
              <w:top w:val="single" w:color="auto" w:sz="4" w:space="0"/>
              <w:bottom w:val="single" w:color="auto" w:sz="4" w:space="0"/>
            </w:tcBorders>
            <w:noWrap w:val="0"/>
            <w:vAlign w:val="center"/>
          </w:tcPr>
          <w:p w14:paraId="68788D6B">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高效进行</w:t>
            </w:r>
          </w:p>
          <w:p w14:paraId="269F31A5">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样品赋码</w:t>
            </w:r>
          </w:p>
        </w:tc>
        <w:tc>
          <w:tcPr>
            <w:tcW w:w="662" w:type="dxa"/>
            <w:tcBorders>
              <w:top w:val="single" w:color="auto" w:sz="4" w:space="0"/>
            </w:tcBorders>
            <w:noWrap w:val="0"/>
            <w:vAlign w:val="center"/>
          </w:tcPr>
          <w:p w14:paraId="7C2641A9">
            <w:pPr>
              <w:keepNext w:val="0"/>
              <w:keepLines w:val="0"/>
              <w:pageBreakBefore w:val="0"/>
              <w:wordWrap/>
              <w:overflowPunct/>
              <w:topLinePunct w:val="0"/>
              <w:bidi w:val="0"/>
              <w:spacing w:before="69" w:line="360" w:lineRule="exact"/>
              <w:ind w:left="215" w:leftChars="0"/>
              <w:rPr>
                <w:rFonts w:hint="default"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z w:val="28"/>
                <w:szCs w:val="28"/>
                <w:lang w:val="en-US" w:eastAsia="zh-CN"/>
              </w:rPr>
              <w:t>0.4</w:t>
            </w:r>
          </w:p>
        </w:tc>
        <w:tc>
          <w:tcPr>
            <w:tcW w:w="5003" w:type="dxa"/>
            <w:noWrap w:val="0"/>
            <w:vAlign w:val="center"/>
          </w:tcPr>
          <w:p w14:paraId="2A034766">
            <w:pPr>
              <w:pStyle w:val="13"/>
              <w:keepNext w:val="0"/>
              <w:keepLines w:val="0"/>
              <w:pageBreakBefore w:val="0"/>
              <w:wordWrap/>
              <w:overflowPunct/>
              <w:topLinePunct w:val="0"/>
              <w:bidi w:val="0"/>
              <w:spacing w:before="73" w:line="360" w:lineRule="exact"/>
              <w:ind w:left="111" w:leftChars="0" w:right="92" w:rightChars="0" w:firstLine="2" w:firstLineChars="0"/>
              <w:jc w:val="both"/>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pacing w:val="-10"/>
                <w:sz w:val="28"/>
                <w:szCs w:val="28"/>
                <w:lang w:eastAsia="zh-CN"/>
              </w:rPr>
              <w:t>农批市场在抽检流程结束后，运用先进赋码技术，为每一个样品生成唯一的二维码（“一品一</w:t>
            </w:r>
            <w:r>
              <w:rPr>
                <w:rFonts w:hint="eastAsia" w:ascii="CESI仿宋-GB2312" w:hAnsi="CESI仿宋-GB2312" w:eastAsia="CESI仿宋-GB2312" w:cs="CESI仿宋-GB2312"/>
                <w:spacing w:val="-9"/>
                <w:sz w:val="28"/>
                <w:szCs w:val="28"/>
                <w:lang w:eastAsia="zh-CN"/>
              </w:rPr>
              <w:t>码”</w:t>
            </w:r>
            <w:r>
              <w:rPr>
                <w:rFonts w:hint="eastAsia" w:ascii="CESI仿宋-GB2312" w:hAnsi="CESI仿宋-GB2312" w:eastAsia="CESI仿宋-GB2312" w:cs="CESI仿宋-GB2312"/>
                <w:spacing w:val="-10"/>
                <w:sz w:val="28"/>
                <w:szCs w:val="28"/>
                <w:lang w:eastAsia="zh-CN"/>
              </w:rPr>
              <w:t>），样品名称、来源、结果等信息与该码关联绑定。</w:t>
            </w:r>
          </w:p>
        </w:tc>
        <w:tc>
          <w:tcPr>
            <w:tcW w:w="529" w:type="dxa"/>
            <w:noWrap w:val="0"/>
            <w:vAlign w:val="center"/>
          </w:tcPr>
          <w:p w14:paraId="69DDAE5D">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noWrap w:val="0"/>
            <w:vAlign w:val="center"/>
          </w:tcPr>
          <w:p w14:paraId="1BC0525B">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0DE3F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jc w:val="center"/>
        </w:trPr>
        <w:tc>
          <w:tcPr>
            <w:tcW w:w="599" w:type="dxa"/>
            <w:vMerge w:val="continue"/>
            <w:tcBorders>
              <w:bottom w:val="single" w:color="auto" w:sz="4" w:space="0"/>
            </w:tcBorders>
            <w:noWrap w:val="0"/>
            <w:vAlign w:val="center"/>
          </w:tcPr>
          <w:p w14:paraId="36C9282B">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590" w:type="dxa"/>
            <w:vMerge w:val="continue"/>
            <w:tcBorders>
              <w:bottom w:val="single" w:color="auto" w:sz="4" w:space="0"/>
            </w:tcBorders>
            <w:noWrap w:val="0"/>
            <w:vAlign w:val="center"/>
          </w:tcPr>
          <w:p w14:paraId="233BC9CB">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488" w:type="dxa"/>
            <w:tcBorders>
              <w:top w:val="single" w:color="auto" w:sz="4" w:space="0"/>
            </w:tcBorders>
            <w:noWrap w:val="0"/>
            <w:vAlign w:val="center"/>
          </w:tcPr>
          <w:p w14:paraId="53500943">
            <w:pPr>
              <w:pStyle w:val="13"/>
              <w:keepNext w:val="0"/>
              <w:keepLines w:val="0"/>
              <w:pageBreakBefore w:val="0"/>
              <w:widowControl/>
              <w:kinsoku w:val="0"/>
              <w:wordWrap/>
              <w:overflowPunct/>
              <w:topLinePunct w:val="0"/>
              <w:autoSpaceDE w:val="0"/>
              <w:autoSpaceDN w:val="0"/>
              <w:bidi w:val="0"/>
              <w:adjustRightInd w:val="0"/>
              <w:snapToGrid w:val="0"/>
              <w:spacing w:line="360" w:lineRule="exact"/>
              <w:ind w:left="11" w:right="0" w:hanging="11"/>
              <w:jc w:val="center"/>
              <w:textAlignment w:val="baseline"/>
              <w:rPr>
                <w:rFonts w:hint="eastAsia" w:ascii="CESI仿宋-GB2312" w:hAnsi="CESI仿宋-GB2312" w:eastAsia="CESI仿宋-GB2312" w:cs="CESI仿宋-GB2312"/>
                <w:spacing w:val="-9"/>
                <w:sz w:val="28"/>
                <w:szCs w:val="28"/>
              </w:rPr>
            </w:pPr>
            <w:r>
              <w:rPr>
                <w:rFonts w:hint="eastAsia" w:ascii="CESI仿宋-GB2312" w:hAnsi="CESI仿宋-GB2312" w:eastAsia="CESI仿宋-GB2312" w:cs="CESI仿宋-GB2312"/>
                <w:spacing w:val="-9"/>
                <w:sz w:val="28"/>
                <w:szCs w:val="28"/>
                <w:lang w:eastAsia="zh-CN"/>
              </w:rPr>
              <w:t>规范</w:t>
            </w:r>
            <w:r>
              <w:rPr>
                <w:rFonts w:hint="eastAsia" w:ascii="CESI仿宋-GB2312" w:hAnsi="CESI仿宋-GB2312" w:eastAsia="CESI仿宋-GB2312" w:cs="CESI仿宋-GB2312"/>
                <w:spacing w:val="-9"/>
                <w:sz w:val="28"/>
                <w:szCs w:val="28"/>
              </w:rPr>
              <w:t>开展</w:t>
            </w:r>
          </w:p>
          <w:p w14:paraId="72274A11">
            <w:pPr>
              <w:pStyle w:val="13"/>
              <w:keepNext w:val="0"/>
              <w:keepLines w:val="0"/>
              <w:pageBreakBefore w:val="0"/>
              <w:widowControl/>
              <w:kinsoku w:val="0"/>
              <w:wordWrap/>
              <w:overflowPunct/>
              <w:topLinePunct w:val="0"/>
              <w:autoSpaceDE w:val="0"/>
              <w:autoSpaceDN w:val="0"/>
              <w:bidi w:val="0"/>
              <w:adjustRightInd w:val="0"/>
              <w:snapToGrid w:val="0"/>
              <w:spacing w:line="360" w:lineRule="exact"/>
              <w:ind w:left="11" w:right="0" w:hanging="11"/>
              <w:jc w:val="center"/>
              <w:textAlignment w:val="baseline"/>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9"/>
                <w:sz w:val="28"/>
                <w:szCs w:val="28"/>
              </w:rPr>
              <w:t>快检</w:t>
            </w:r>
            <w:r>
              <w:rPr>
                <w:rFonts w:hint="eastAsia" w:ascii="CESI仿宋-GB2312" w:hAnsi="CESI仿宋-GB2312" w:eastAsia="CESI仿宋-GB2312" w:cs="CESI仿宋-GB2312"/>
                <w:spacing w:val="-9"/>
                <w:sz w:val="28"/>
                <w:szCs w:val="28"/>
                <w:lang w:eastAsia="zh-CN"/>
              </w:rPr>
              <w:t>操作</w:t>
            </w:r>
          </w:p>
        </w:tc>
        <w:tc>
          <w:tcPr>
            <w:tcW w:w="662" w:type="dxa"/>
            <w:noWrap w:val="0"/>
            <w:vAlign w:val="center"/>
          </w:tcPr>
          <w:p w14:paraId="489CB5D2">
            <w:pPr>
              <w:keepNext w:val="0"/>
              <w:keepLines w:val="0"/>
              <w:pageBreakBefore w:val="0"/>
              <w:wordWrap/>
              <w:overflowPunct/>
              <w:topLinePunct w:val="0"/>
              <w:bidi w:val="0"/>
              <w:spacing w:before="69" w:line="360" w:lineRule="exact"/>
              <w:ind w:left="215"/>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0.6</w:t>
            </w:r>
          </w:p>
        </w:tc>
        <w:tc>
          <w:tcPr>
            <w:tcW w:w="5003" w:type="dxa"/>
            <w:noWrap w:val="0"/>
            <w:vAlign w:val="center"/>
          </w:tcPr>
          <w:p w14:paraId="5E137ACC">
            <w:pPr>
              <w:pStyle w:val="13"/>
              <w:keepNext w:val="0"/>
              <w:keepLines w:val="0"/>
              <w:pageBreakBefore w:val="0"/>
              <w:wordWrap/>
              <w:overflowPunct/>
              <w:topLinePunct w:val="0"/>
              <w:bidi w:val="0"/>
              <w:spacing w:before="73" w:line="360" w:lineRule="exact"/>
              <w:ind w:left="111" w:right="92" w:firstLine="2"/>
              <w:jc w:val="both"/>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4"/>
                <w:sz w:val="28"/>
                <w:szCs w:val="28"/>
                <w:lang w:eastAsia="zh-CN"/>
              </w:rPr>
              <w:t>农批市场快检人员严格按照标准操作规程进行检测，</w:t>
            </w:r>
            <w:r>
              <w:rPr>
                <w:rFonts w:hint="eastAsia" w:ascii="CESI仿宋-GB2312" w:hAnsi="CESI仿宋-GB2312" w:eastAsia="CESI仿宋-GB2312" w:cs="CESI仿宋-GB2312"/>
                <w:spacing w:val="-8"/>
                <w:sz w:val="28"/>
                <w:szCs w:val="28"/>
                <w:lang w:eastAsia="zh-CN"/>
              </w:rPr>
              <w:t>规范</w:t>
            </w:r>
            <w:r>
              <w:rPr>
                <w:rFonts w:hint="eastAsia" w:ascii="CESI仿宋-GB2312" w:hAnsi="CESI仿宋-GB2312" w:eastAsia="CESI仿宋-GB2312" w:cs="CESI仿宋-GB2312"/>
                <w:spacing w:val="-14"/>
                <w:sz w:val="28"/>
                <w:szCs w:val="28"/>
                <w:lang w:eastAsia="zh-CN"/>
              </w:rPr>
              <w:t>记录快检过程；原始检测记录保存完整，包括样品信息、检测数据、操作时间等。</w:t>
            </w:r>
          </w:p>
        </w:tc>
        <w:tc>
          <w:tcPr>
            <w:tcW w:w="529" w:type="dxa"/>
            <w:noWrap w:val="0"/>
            <w:vAlign w:val="center"/>
          </w:tcPr>
          <w:p w14:paraId="25AE72FF">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noWrap w:val="0"/>
            <w:vAlign w:val="center"/>
          </w:tcPr>
          <w:p w14:paraId="444FA701">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5D351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jc w:val="center"/>
        </w:trPr>
        <w:tc>
          <w:tcPr>
            <w:tcW w:w="599" w:type="dxa"/>
            <w:vMerge w:val="restart"/>
            <w:tcBorders>
              <w:top w:val="single" w:color="auto" w:sz="4" w:space="0"/>
            </w:tcBorders>
            <w:noWrap w:val="0"/>
            <w:vAlign w:val="center"/>
          </w:tcPr>
          <w:p w14:paraId="51F7F684">
            <w:pPr>
              <w:keepNext w:val="0"/>
              <w:keepLines w:val="0"/>
              <w:pageBreakBefore w:val="0"/>
              <w:wordWrap/>
              <w:overflowPunct/>
              <w:topLinePunct w:val="0"/>
              <w:bidi w:val="0"/>
              <w:spacing w:line="360" w:lineRule="exact"/>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4</w:t>
            </w:r>
          </w:p>
        </w:tc>
        <w:tc>
          <w:tcPr>
            <w:tcW w:w="590" w:type="dxa"/>
            <w:vMerge w:val="restart"/>
            <w:tcBorders>
              <w:top w:val="single" w:color="auto" w:sz="4" w:space="0"/>
            </w:tcBorders>
            <w:noWrap w:val="0"/>
            <w:vAlign w:val="center"/>
          </w:tcPr>
          <w:p w14:paraId="7A79C66A">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处</w:t>
            </w:r>
          </w:p>
          <w:p w14:paraId="3771E656">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置</w:t>
            </w:r>
          </w:p>
          <w:p w14:paraId="797563F8">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高</w:t>
            </w:r>
          </w:p>
          <w:p w14:paraId="2D231229">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效</w:t>
            </w:r>
          </w:p>
        </w:tc>
        <w:tc>
          <w:tcPr>
            <w:tcW w:w="1488" w:type="dxa"/>
            <w:tcBorders>
              <w:bottom w:val="single" w:color="auto" w:sz="4" w:space="0"/>
            </w:tcBorders>
            <w:noWrap w:val="0"/>
            <w:vAlign w:val="center"/>
          </w:tcPr>
          <w:p w14:paraId="0BD5D3C9">
            <w:pPr>
              <w:pStyle w:val="13"/>
              <w:keepNext w:val="0"/>
              <w:keepLines w:val="0"/>
              <w:pageBreakBefore w:val="0"/>
              <w:widowControl/>
              <w:kinsoku w:val="0"/>
              <w:wordWrap/>
              <w:overflowPunct/>
              <w:topLinePunct w:val="0"/>
              <w:autoSpaceDE w:val="0"/>
              <w:autoSpaceDN w:val="0"/>
              <w:bidi w:val="0"/>
              <w:adjustRightInd w:val="0"/>
              <w:snapToGrid w:val="0"/>
              <w:spacing w:before="78" w:line="360" w:lineRule="exact"/>
              <w:ind w:left="124" w:right="100" w:hanging="3"/>
              <w:jc w:val="center"/>
              <w:textAlignment w:val="baseline"/>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1"/>
                <w:sz w:val="28"/>
                <w:szCs w:val="28"/>
              </w:rPr>
              <w:t>样品复检</w:t>
            </w:r>
            <w:r>
              <w:rPr>
                <w:rFonts w:hint="eastAsia" w:ascii="CESI仿宋-GB2312" w:hAnsi="CESI仿宋-GB2312" w:eastAsia="CESI仿宋-GB2312" w:cs="CESI仿宋-GB2312"/>
                <w:spacing w:val="-11"/>
                <w:sz w:val="28"/>
                <w:szCs w:val="28"/>
                <w:lang w:eastAsia="zh-CN"/>
              </w:rPr>
              <w:t>严格</w:t>
            </w:r>
          </w:p>
        </w:tc>
        <w:tc>
          <w:tcPr>
            <w:tcW w:w="662" w:type="dxa"/>
            <w:tcBorders>
              <w:bottom w:val="single" w:color="auto" w:sz="4" w:space="0"/>
            </w:tcBorders>
            <w:noWrap w:val="0"/>
            <w:vAlign w:val="center"/>
          </w:tcPr>
          <w:p w14:paraId="0C410989">
            <w:pPr>
              <w:keepNext w:val="0"/>
              <w:keepLines w:val="0"/>
              <w:pageBreakBefore w:val="0"/>
              <w:wordWrap/>
              <w:overflowPunct/>
              <w:topLinePunct w:val="0"/>
              <w:bidi w:val="0"/>
              <w:spacing w:before="69" w:line="360" w:lineRule="exact"/>
              <w:ind w:left="215"/>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val="en-US" w:eastAsia="zh-CN"/>
              </w:rPr>
              <w:t>0.4</w:t>
            </w:r>
          </w:p>
        </w:tc>
        <w:tc>
          <w:tcPr>
            <w:tcW w:w="5003" w:type="dxa"/>
            <w:tcBorders>
              <w:bottom w:val="single" w:color="auto" w:sz="4" w:space="0"/>
            </w:tcBorders>
            <w:noWrap w:val="0"/>
            <w:vAlign w:val="center"/>
          </w:tcPr>
          <w:p w14:paraId="7466A715">
            <w:pPr>
              <w:pStyle w:val="13"/>
              <w:keepNext w:val="0"/>
              <w:keepLines w:val="0"/>
              <w:pageBreakBefore w:val="0"/>
              <w:wordWrap/>
              <w:overflowPunct/>
              <w:topLinePunct w:val="0"/>
              <w:bidi w:val="0"/>
              <w:spacing w:before="73" w:line="360" w:lineRule="exact"/>
              <w:ind w:left="115" w:right="92"/>
              <w:jc w:val="both"/>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4"/>
                <w:sz w:val="28"/>
                <w:szCs w:val="28"/>
                <w:lang w:eastAsia="zh-CN"/>
              </w:rPr>
              <w:t>农批市场快检发现的阳性样品，如需复检，按相关规定的方法进行；严禁一品多检直至</w:t>
            </w:r>
            <w:r>
              <w:rPr>
                <w:rFonts w:hint="eastAsia" w:ascii="CESI仿宋-GB2312" w:hAnsi="CESI仿宋-GB2312" w:eastAsia="CESI仿宋-GB2312" w:cs="CESI仿宋-GB2312"/>
                <w:spacing w:val="-11"/>
                <w:sz w:val="28"/>
                <w:szCs w:val="28"/>
                <w:lang w:eastAsia="zh-CN"/>
              </w:rPr>
              <w:t>合格等</w:t>
            </w:r>
            <w:r>
              <w:rPr>
                <w:rFonts w:hint="eastAsia" w:ascii="CESI仿宋-GB2312" w:hAnsi="CESI仿宋-GB2312" w:eastAsia="CESI仿宋-GB2312" w:cs="CESI仿宋-GB2312"/>
                <w:spacing w:val="-14"/>
                <w:sz w:val="28"/>
                <w:szCs w:val="28"/>
                <w:lang w:eastAsia="zh-CN"/>
              </w:rPr>
              <w:t>弄虚作假</w:t>
            </w:r>
            <w:r>
              <w:rPr>
                <w:rFonts w:hint="eastAsia" w:ascii="CESI仿宋-GB2312" w:hAnsi="CESI仿宋-GB2312" w:eastAsia="CESI仿宋-GB2312" w:cs="CESI仿宋-GB2312"/>
                <w:spacing w:val="-11"/>
                <w:sz w:val="28"/>
                <w:szCs w:val="28"/>
                <w:lang w:eastAsia="zh-CN"/>
              </w:rPr>
              <w:t>。</w:t>
            </w:r>
          </w:p>
        </w:tc>
        <w:tc>
          <w:tcPr>
            <w:tcW w:w="529" w:type="dxa"/>
            <w:noWrap w:val="0"/>
            <w:vAlign w:val="center"/>
          </w:tcPr>
          <w:p w14:paraId="4C01187E">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noWrap w:val="0"/>
            <w:vAlign w:val="center"/>
          </w:tcPr>
          <w:p w14:paraId="643CDEC8">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286C7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8" w:hRule="atLeast"/>
          <w:jc w:val="center"/>
        </w:trPr>
        <w:tc>
          <w:tcPr>
            <w:tcW w:w="599" w:type="dxa"/>
            <w:vMerge w:val="continue"/>
            <w:tcBorders>
              <w:top w:val="single" w:color="auto" w:sz="4" w:space="0"/>
              <w:bottom w:val="single" w:color="auto" w:sz="4" w:space="0"/>
            </w:tcBorders>
            <w:noWrap w:val="0"/>
            <w:vAlign w:val="center"/>
          </w:tcPr>
          <w:p w14:paraId="0DA0353A">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590" w:type="dxa"/>
            <w:vMerge w:val="continue"/>
            <w:tcBorders>
              <w:top w:val="single" w:color="auto" w:sz="4" w:space="0"/>
              <w:bottom w:val="single" w:color="auto" w:sz="4" w:space="0"/>
            </w:tcBorders>
            <w:noWrap w:val="0"/>
            <w:vAlign w:val="center"/>
          </w:tcPr>
          <w:p w14:paraId="1E655319">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488" w:type="dxa"/>
            <w:tcBorders>
              <w:top w:val="single" w:color="auto" w:sz="4" w:space="0"/>
            </w:tcBorders>
            <w:noWrap w:val="0"/>
            <w:vAlign w:val="center"/>
          </w:tcPr>
          <w:p w14:paraId="7FC673D6">
            <w:pPr>
              <w:pStyle w:val="13"/>
              <w:keepNext w:val="0"/>
              <w:keepLines w:val="0"/>
              <w:pageBreakBefore w:val="0"/>
              <w:widowControl/>
              <w:kinsoku w:val="0"/>
              <w:wordWrap/>
              <w:overflowPunct/>
              <w:topLinePunct w:val="0"/>
              <w:autoSpaceDE w:val="0"/>
              <w:autoSpaceDN w:val="0"/>
              <w:bidi w:val="0"/>
              <w:adjustRightInd w:val="0"/>
              <w:snapToGrid w:val="0"/>
              <w:spacing w:before="78" w:line="360" w:lineRule="exact"/>
              <w:ind w:left="117" w:right="100" w:firstLine="19"/>
              <w:jc w:val="center"/>
              <w:textAlignment w:val="baseline"/>
              <w:rPr>
                <w:rFonts w:hint="eastAsia" w:ascii="CESI仿宋-GB2312" w:hAnsi="CESI仿宋-GB2312" w:eastAsia="CESI仿宋-GB2312" w:cs="CESI仿宋-GB2312"/>
                <w:sz w:val="28"/>
                <w:szCs w:val="28"/>
              </w:rPr>
            </w:pPr>
            <w:r>
              <w:rPr>
                <w:rFonts w:hint="eastAsia" w:ascii="CESI仿宋-GB2312" w:hAnsi="CESI仿宋-GB2312" w:eastAsia="CESI仿宋-GB2312" w:cs="CESI仿宋-GB2312"/>
                <w:spacing w:val="-14"/>
                <w:sz w:val="28"/>
                <w:szCs w:val="28"/>
                <w:lang w:eastAsia="zh-CN"/>
              </w:rPr>
              <w:t>不合格产品</w:t>
            </w:r>
            <w:r>
              <w:rPr>
                <w:rFonts w:hint="eastAsia" w:ascii="CESI仿宋-GB2312" w:hAnsi="CESI仿宋-GB2312" w:eastAsia="CESI仿宋-GB2312" w:cs="CESI仿宋-GB2312"/>
                <w:spacing w:val="-14"/>
                <w:sz w:val="28"/>
                <w:szCs w:val="28"/>
              </w:rPr>
              <w:t>处置</w:t>
            </w:r>
            <w:r>
              <w:rPr>
                <w:rFonts w:hint="eastAsia" w:ascii="CESI仿宋-GB2312" w:hAnsi="CESI仿宋-GB2312" w:eastAsia="CESI仿宋-GB2312" w:cs="CESI仿宋-GB2312"/>
                <w:spacing w:val="-11"/>
                <w:sz w:val="28"/>
                <w:szCs w:val="28"/>
                <w:lang w:eastAsia="zh-CN"/>
              </w:rPr>
              <w:t>稳妥</w:t>
            </w:r>
          </w:p>
        </w:tc>
        <w:tc>
          <w:tcPr>
            <w:tcW w:w="662" w:type="dxa"/>
            <w:tcBorders>
              <w:top w:val="single" w:color="auto" w:sz="4" w:space="0"/>
            </w:tcBorders>
            <w:noWrap w:val="0"/>
            <w:vAlign w:val="center"/>
          </w:tcPr>
          <w:p w14:paraId="0FEE8ADF">
            <w:pPr>
              <w:keepNext w:val="0"/>
              <w:keepLines w:val="0"/>
              <w:pageBreakBefore w:val="0"/>
              <w:wordWrap/>
              <w:overflowPunct/>
              <w:topLinePunct w:val="0"/>
              <w:bidi w:val="0"/>
              <w:spacing w:before="69"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val="en-US" w:eastAsia="zh-CN"/>
              </w:rPr>
              <w:t>0.6</w:t>
            </w:r>
          </w:p>
        </w:tc>
        <w:tc>
          <w:tcPr>
            <w:tcW w:w="5003" w:type="dxa"/>
            <w:tcBorders>
              <w:top w:val="single" w:color="auto" w:sz="4" w:space="0"/>
            </w:tcBorders>
            <w:noWrap w:val="0"/>
            <w:vAlign w:val="center"/>
          </w:tcPr>
          <w:p w14:paraId="707F960A">
            <w:pPr>
              <w:pStyle w:val="13"/>
              <w:keepNext w:val="0"/>
              <w:keepLines w:val="0"/>
              <w:pageBreakBefore w:val="0"/>
              <w:wordWrap/>
              <w:overflowPunct/>
              <w:topLinePunct w:val="0"/>
              <w:bidi w:val="0"/>
              <w:spacing w:before="73" w:line="360" w:lineRule="exact"/>
              <w:ind w:left="110" w:right="43" w:firstLine="3"/>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4"/>
                <w:sz w:val="28"/>
                <w:szCs w:val="28"/>
                <w:lang w:eastAsia="zh-CN"/>
              </w:rPr>
              <w:t>农批市场与入场销售者按相关规定对不合格产品进行销毁或者无害化处</w:t>
            </w:r>
            <w:r>
              <w:rPr>
                <w:rFonts w:hint="eastAsia" w:ascii="CESI仿宋-GB2312" w:hAnsi="CESI仿宋-GB2312" w:eastAsia="CESI仿宋-GB2312" w:cs="CESI仿宋-GB2312"/>
                <w:spacing w:val="-12"/>
                <w:sz w:val="28"/>
                <w:szCs w:val="28"/>
                <w:lang w:eastAsia="zh-CN"/>
              </w:rPr>
              <w:t>理，如实记录不合格食用农产品数量、产地、销售者、</w:t>
            </w:r>
            <w:r>
              <w:rPr>
                <w:rFonts w:hint="eastAsia" w:ascii="CESI仿宋-GB2312" w:hAnsi="CESI仿宋-GB2312" w:eastAsia="CESI仿宋-GB2312" w:cs="CESI仿宋-GB2312"/>
                <w:spacing w:val="-9"/>
                <w:sz w:val="28"/>
                <w:szCs w:val="28"/>
                <w:lang w:eastAsia="zh-CN"/>
              </w:rPr>
              <w:t>销毁方式等，留存不合格食用农产品销毁影像信息，并向属地市场监管部门报告。</w:t>
            </w:r>
          </w:p>
        </w:tc>
        <w:tc>
          <w:tcPr>
            <w:tcW w:w="529" w:type="dxa"/>
            <w:noWrap w:val="0"/>
            <w:vAlign w:val="center"/>
          </w:tcPr>
          <w:p w14:paraId="11FD4D08">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noWrap w:val="0"/>
            <w:vAlign w:val="center"/>
          </w:tcPr>
          <w:p w14:paraId="4D56242F">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076BE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jc w:val="center"/>
        </w:trPr>
        <w:tc>
          <w:tcPr>
            <w:tcW w:w="599" w:type="dxa"/>
            <w:vMerge w:val="continue"/>
            <w:tcBorders>
              <w:top w:val="single" w:color="auto" w:sz="4" w:space="0"/>
              <w:bottom w:val="single" w:color="auto" w:sz="4" w:space="0"/>
            </w:tcBorders>
            <w:noWrap w:val="0"/>
            <w:vAlign w:val="center"/>
          </w:tcPr>
          <w:p w14:paraId="75FBEFA6">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590" w:type="dxa"/>
            <w:vMerge w:val="continue"/>
            <w:tcBorders>
              <w:top w:val="single" w:color="auto" w:sz="4" w:space="0"/>
              <w:bottom w:val="single" w:color="auto" w:sz="4" w:space="0"/>
            </w:tcBorders>
            <w:noWrap w:val="0"/>
            <w:vAlign w:val="center"/>
          </w:tcPr>
          <w:p w14:paraId="5204640B">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488" w:type="dxa"/>
            <w:noWrap w:val="0"/>
            <w:vAlign w:val="center"/>
          </w:tcPr>
          <w:p w14:paraId="09E5ECA7">
            <w:pPr>
              <w:pStyle w:val="13"/>
              <w:keepNext w:val="0"/>
              <w:keepLines w:val="0"/>
              <w:pageBreakBefore w:val="0"/>
              <w:widowControl/>
              <w:kinsoku w:val="0"/>
              <w:wordWrap/>
              <w:overflowPunct/>
              <w:topLinePunct w:val="0"/>
              <w:autoSpaceDE w:val="0"/>
              <w:autoSpaceDN w:val="0"/>
              <w:bidi w:val="0"/>
              <w:adjustRightInd w:val="0"/>
              <w:snapToGrid w:val="0"/>
              <w:spacing w:before="264" w:line="360" w:lineRule="exact"/>
              <w:ind w:left="121" w:right="100"/>
              <w:jc w:val="center"/>
              <w:textAlignment w:val="baseline"/>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pacing w:val="-10"/>
                <w:sz w:val="28"/>
                <w:szCs w:val="28"/>
                <w:lang w:eastAsia="zh-CN"/>
              </w:rPr>
              <w:t>检测结果公布</w:t>
            </w:r>
            <w:r>
              <w:rPr>
                <w:rFonts w:hint="eastAsia" w:ascii="CESI仿宋-GB2312" w:hAnsi="CESI仿宋-GB2312" w:eastAsia="CESI仿宋-GB2312" w:cs="CESI仿宋-GB2312"/>
                <w:spacing w:val="-11"/>
                <w:sz w:val="28"/>
                <w:szCs w:val="28"/>
                <w:lang w:eastAsia="zh-CN"/>
              </w:rPr>
              <w:t>及时</w:t>
            </w:r>
            <w:r>
              <w:rPr>
                <w:rFonts w:hint="eastAsia" w:ascii="CESI仿宋-GB2312" w:hAnsi="CESI仿宋-GB2312" w:eastAsia="CESI仿宋-GB2312" w:cs="CESI仿宋-GB2312"/>
                <w:spacing w:val="-11"/>
                <w:sz w:val="28"/>
                <w:szCs w:val="28"/>
                <w:lang w:val="en-US" w:eastAsia="zh-CN"/>
              </w:rPr>
              <w:t xml:space="preserve"> </w:t>
            </w:r>
          </w:p>
        </w:tc>
        <w:tc>
          <w:tcPr>
            <w:tcW w:w="662" w:type="dxa"/>
            <w:noWrap w:val="0"/>
            <w:vAlign w:val="center"/>
          </w:tcPr>
          <w:p w14:paraId="69307E0A">
            <w:pPr>
              <w:keepNext w:val="0"/>
              <w:keepLines w:val="0"/>
              <w:pageBreakBefore w:val="0"/>
              <w:wordWrap/>
              <w:overflowPunct/>
              <w:topLinePunct w:val="0"/>
              <w:bidi w:val="0"/>
              <w:spacing w:before="69" w:line="360" w:lineRule="exact"/>
              <w:jc w:val="center"/>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lang w:val="en-US" w:eastAsia="zh-CN"/>
              </w:rPr>
              <w:t>0.</w:t>
            </w:r>
            <w:r>
              <w:rPr>
                <w:rFonts w:hint="eastAsia" w:ascii="CESI仿宋-GB2312" w:hAnsi="CESI仿宋-GB2312" w:eastAsia="CESI仿宋-GB2312" w:cs="CESI仿宋-GB2312"/>
                <w:sz w:val="28"/>
                <w:szCs w:val="28"/>
              </w:rPr>
              <w:t>4</w:t>
            </w:r>
          </w:p>
        </w:tc>
        <w:tc>
          <w:tcPr>
            <w:tcW w:w="5003" w:type="dxa"/>
            <w:noWrap w:val="0"/>
            <w:vAlign w:val="center"/>
          </w:tcPr>
          <w:p w14:paraId="24613692">
            <w:pPr>
              <w:pStyle w:val="13"/>
              <w:keepNext w:val="0"/>
              <w:keepLines w:val="0"/>
              <w:pageBreakBefore w:val="0"/>
              <w:wordWrap/>
              <w:overflowPunct/>
              <w:topLinePunct w:val="0"/>
              <w:bidi w:val="0"/>
              <w:spacing w:before="73" w:line="360" w:lineRule="exact"/>
              <w:ind w:left="110" w:right="43" w:firstLine="3"/>
              <w:rPr>
                <w:rFonts w:hint="eastAsia" w:ascii="CESI仿宋-GB2312" w:hAnsi="CESI仿宋-GB2312" w:eastAsia="CESI仿宋-GB2312" w:cs="CESI仿宋-GB2312"/>
                <w:spacing w:val="-9"/>
                <w:sz w:val="28"/>
                <w:szCs w:val="28"/>
                <w:lang w:eastAsia="zh-CN"/>
              </w:rPr>
            </w:pPr>
            <w:r>
              <w:rPr>
                <w:rFonts w:hint="eastAsia" w:ascii="CESI仿宋-GB2312" w:hAnsi="CESI仿宋-GB2312" w:eastAsia="CESI仿宋-GB2312" w:cs="CESI仿宋-GB2312"/>
                <w:spacing w:val="-9"/>
                <w:sz w:val="28"/>
                <w:szCs w:val="28"/>
                <w:lang w:eastAsia="zh-CN"/>
              </w:rPr>
              <w:t>农批市场按要求公布食用农产品快检信息，包括</w:t>
            </w:r>
            <w:r>
              <w:rPr>
                <w:rFonts w:hint="eastAsia" w:ascii="CESI仿宋-GB2312" w:hAnsi="CESI仿宋-GB2312" w:eastAsia="CESI仿宋-GB2312" w:cs="CESI仿宋-GB2312"/>
                <w:spacing w:val="-9"/>
                <w:sz w:val="28"/>
                <w:szCs w:val="28"/>
                <w:lang w:val="en-US" w:eastAsia="zh-CN"/>
              </w:rPr>
              <w:t>样品名称、检测项目（注明俗称）、检测结果、销售者、检测时间等</w:t>
            </w:r>
            <w:r>
              <w:rPr>
                <w:rFonts w:hint="eastAsia" w:ascii="CESI仿宋-GB2312" w:hAnsi="CESI仿宋-GB2312" w:eastAsia="CESI仿宋-GB2312" w:cs="CESI仿宋-GB2312"/>
                <w:spacing w:val="-9"/>
                <w:sz w:val="28"/>
                <w:szCs w:val="28"/>
                <w:lang w:eastAsia="zh-CN"/>
              </w:rPr>
              <w:t>。</w:t>
            </w:r>
          </w:p>
        </w:tc>
        <w:tc>
          <w:tcPr>
            <w:tcW w:w="529" w:type="dxa"/>
            <w:noWrap w:val="0"/>
            <w:vAlign w:val="center"/>
          </w:tcPr>
          <w:p w14:paraId="0A4C9D9D">
            <w:pPr>
              <w:pStyle w:val="13"/>
              <w:keepNext w:val="0"/>
              <w:keepLines w:val="0"/>
              <w:pageBreakBefore w:val="0"/>
              <w:wordWrap/>
              <w:overflowPunct/>
              <w:topLinePunct w:val="0"/>
              <w:bidi w:val="0"/>
              <w:spacing w:before="73" w:line="360" w:lineRule="exact"/>
              <w:ind w:left="110" w:right="43" w:firstLine="3"/>
              <w:rPr>
                <w:rFonts w:hint="eastAsia" w:ascii="CESI仿宋-GB2312" w:hAnsi="CESI仿宋-GB2312" w:eastAsia="CESI仿宋-GB2312" w:cs="CESI仿宋-GB2312"/>
                <w:spacing w:val="-9"/>
                <w:sz w:val="28"/>
                <w:szCs w:val="28"/>
                <w:lang w:eastAsia="zh-CN"/>
              </w:rPr>
            </w:pPr>
          </w:p>
        </w:tc>
        <w:tc>
          <w:tcPr>
            <w:tcW w:w="1075" w:type="dxa"/>
            <w:noWrap w:val="0"/>
            <w:vAlign w:val="center"/>
          </w:tcPr>
          <w:p w14:paraId="7AB58550">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6B679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5" w:hRule="atLeast"/>
          <w:jc w:val="center"/>
        </w:trPr>
        <w:tc>
          <w:tcPr>
            <w:tcW w:w="599" w:type="dxa"/>
            <w:vMerge w:val="restart"/>
            <w:tcBorders>
              <w:top w:val="single" w:color="auto" w:sz="4" w:space="0"/>
              <w:bottom w:val="single" w:color="auto" w:sz="4" w:space="0"/>
            </w:tcBorders>
            <w:noWrap w:val="0"/>
            <w:vAlign w:val="center"/>
          </w:tcPr>
          <w:p w14:paraId="080C261D">
            <w:pPr>
              <w:keepNext w:val="0"/>
              <w:keepLines w:val="0"/>
              <w:pageBreakBefore w:val="0"/>
              <w:wordWrap/>
              <w:overflowPunct/>
              <w:topLinePunct w:val="0"/>
              <w:bidi w:val="0"/>
              <w:spacing w:before="69" w:line="360" w:lineRule="exact"/>
              <w:ind w:left="249"/>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val="en-US" w:eastAsia="zh-CN"/>
              </w:rPr>
              <w:t>5</w:t>
            </w:r>
          </w:p>
        </w:tc>
        <w:tc>
          <w:tcPr>
            <w:tcW w:w="590" w:type="dxa"/>
            <w:vMerge w:val="restart"/>
            <w:tcBorders>
              <w:top w:val="single" w:color="auto" w:sz="4" w:space="0"/>
              <w:bottom w:val="single" w:color="auto" w:sz="4" w:space="0"/>
            </w:tcBorders>
            <w:noWrap w:val="0"/>
            <w:textDirection w:val="tbRlV"/>
            <w:vAlign w:val="center"/>
          </w:tcPr>
          <w:p w14:paraId="7E7564F5">
            <w:pPr>
              <w:pStyle w:val="13"/>
              <w:keepNext w:val="0"/>
              <w:keepLines w:val="0"/>
              <w:pageBreakBefore w:val="0"/>
              <w:wordWrap/>
              <w:overflowPunct/>
              <w:topLinePunct w:val="0"/>
              <w:bidi w:val="0"/>
              <w:spacing w:before="168"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
                <w:sz w:val="28"/>
                <w:szCs w:val="28"/>
              </w:rPr>
              <w:t>机制</w:t>
            </w:r>
            <w:r>
              <w:rPr>
                <w:rFonts w:hint="eastAsia" w:ascii="CESI仿宋-GB2312" w:hAnsi="CESI仿宋-GB2312" w:eastAsia="CESI仿宋-GB2312" w:cs="CESI仿宋-GB2312"/>
                <w:spacing w:val="-1"/>
                <w:sz w:val="28"/>
                <w:szCs w:val="28"/>
                <w:lang w:eastAsia="zh-CN"/>
              </w:rPr>
              <w:t>完善</w:t>
            </w:r>
          </w:p>
        </w:tc>
        <w:tc>
          <w:tcPr>
            <w:tcW w:w="1488" w:type="dxa"/>
            <w:noWrap w:val="0"/>
            <w:vAlign w:val="center"/>
          </w:tcPr>
          <w:p w14:paraId="6273D22A">
            <w:pPr>
              <w:pStyle w:val="13"/>
              <w:keepNext w:val="0"/>
              <w:keepLines w:val="0"/>
              <w:pageBreakBefore w:val="0"/>
              <w:wordWrap/>
              <w:overflowPunct/>
              <w:topLinePunct w:val="0"/>
              <w:bidi w:val="0"/>
              <w:spacing w:before="265" w:line="360" w:lineRule="exact"/>
              <w:ind w:left="113" w:right="100" w:firstLine="8"/>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1"/>
                <w:sz w:val="28"/>
                <w:szCs w:val="28"/>
                <w:lang w:eastAsia="zh-CN"/>
              </w:rPr>
              <w:t>快检项目动态</w:t>
            </w:r>
            <w:r>
              <w:rPr>
                <w:rFonts w:hint="eastAsia" w:ascii="CESI仿宋-GB2312" w:hAnsi="CESI仿宋-GB2312" w:eastAsia="CESI仿宋-GB2312" w:cs="CESI仿宋-GB2312"/>
                <w:spacing w:val="-8"/>
                <w:sz w:val="28"/>
                <w:szCs w:val="28"/>
                <w:lang w:eastAsia="zh-CN"/>
              </w:rPr>
              <w:t>调整机制</w:t>
            </w:r>
          </w:p>
        </w:tc>
        <w:tc>
          <w:tcPr>
            <w:tcW w:w="662" w:type="dxa"/>
            <w:noWrap w:val="0"/>
            <w:vAlign w:val="center"/>
          </w:tcPr>
          <w:p w14:paraId="7C7E2957">
            <w:pPr>
              <w:keepNext w:val="0"/>
              <w:keepLines w:val="0"/>
              <w:pageBreakBefore w:val="0"/>
              <w:wordWrap/>
              <w:overflowPunct/>
              <w:topLinePunct w:val="0"/>
              <w:bidi w:val="0"/>
              <w:spacing w:before="69"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val="en-US" w:eastAsia="zh-CN"/>
              </w:rPr>
              <w:t>0.4</w:t>
            </w:r>
          </w:p>
        </w:tc>
        <w:tc>
          <w:tcPr>
            <w:tcW w:w="5003" w:type="dxa"/>
            <w:noWrap w:val="0"/>
            <w:vAlign w:val="center"/>
          </w:tcPr>
          <w:p w14:paraId="714C250C">
            <w:pPr>
              <w:pStyle w:val="13"/>
              <w:keepNext w:val="0"/>
              <w:keepLines w:val="0"/>
              <w:pageBreakBefore w:val="0"/>
              <w:wordWrap/>
              <w:overflowPunct/>
              <w:topLinePunct w:val="0"/>
              <w:bidi w:val="0"/>
              <w:spacing w:before="77" w:line="360" w:lineRule="exact"/>
              <w:ind w:left="114" w:right="95"/>
              <w:jc w:val="both"/>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4"/>
                <w:sz w:val="28"/>
                <w:szCs w:val="28"/>
                <w:lang w:eastAsia="zh-CN"/>
              </w:rPr>
              <w:t>农批市场结合快检项目清单、季节快检重点和动态快检计划等，有序调整</w:t>
            </w:r>
            <w:r>
              <w:rPr>
                <w:rFonts w:hint="eastAsia" w:ascii="CESI仿宋-GB2312" w:hAnsi="CESI仿宋-GB2312" w:eastAsia="CESI仿宋-GB2312" w:cs="CESI仿宋-GB2312"/>
                <w:spacing w:val="-9"/>
                <w:sz w:val="28"/>
                <w:szCs w:val="28"/>
                <w:lang w:eastAsia="zh-CN"/>
              </w:rPr>
              <w:t>重点品种与重点检测项目。</w:t>
            </w:r>
          </w:p>
        </w:tc>
        <w:tc>
          <w:tcPr>
            <w:tcW w:w="529" w:type="dxa"/>
            <w:noWrap w:val="0"/>
            <w:vAlign w:val="center"/>
          </w:tcPr>
          <w:p w14:paraId="5F2D1D3B">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noWrap w:val="0"/>
            <w:vAlign w:val="center"/>
          </w:tcPr>
          <w:p w14:paraId="6ED81108">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09DD1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3" w:hRule="atLeast"/>
          <w:jc w:val="center"/>
        </w:trPr>
        <w:tc>
          <w:tcPr>
            <w:tcW w:w="599" w:type="dxa"/>
            <w:vMerge w:val="continue"/>
            <w:tcBorders>
              <w:top w:val="single" w:color="auto" w:sz="4" w:space="0"/>
              <w:bottom w:val="single" w:color="auto" w:sz="4" w:space="0"/>
            </w:tcBorders>
            <w:noWrap w:val="0"/>
            <w:vAlign w:val="center"/>
          </w:tcPr>
          <w:p w14:paraId="2B6A032B">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590" w:type="dxa"/>
            <w:vMerge w:val="continue"/>
            <w:tcBorders>
              <w:top w:val="single" w:color="auto" w:sz="4" w:space="0"/>
              <w:bottom w:val="single" w:color="auto" w:sz="4" w:space="0"/>
            </w:tcBorders>
            <w:noWrap w:val="0"/>
            <w:textDirection w:val="tbRlV"/>
            <w:vAlign w:val="center"/>
          </w:tcPr>
          <w:p w14:paraId="2981B137">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488" w:type="dxa"/>
            <w:tcBorders>
              <w:bottom w:val="single" w:color="auto" w:sz="4" w:space="0"/>
            </w:tcBorders>
            <w:noWrap w:val="0"/>
            <w:vAlign w:val="center"/>
          </w:tcPr>
          <w:p w14:paraId="23864796">
            <w:pPr>
              <w:pStyle w:val="13"/>
              <w:keepNext w:val="0"/>
              <w:keepLines w:val="0"/>
              <w:pageBreakBefore w:val="0"/>
              <w:wordWrap/>
              <w:overflowPunct/>
              <w:topLinePunct w:val="0"/>
              <w:bidi w:val="0"/>
              <w:spacing w:before="78" w:line="360" w:lineRule="exact"/>
              <w:ind w:left="112" w:right="100" w:firstLine="10"/>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color w:val="auto"/>
                <w:kern w:val="2"/>
                <w:sz w:val="28"/>
                <w:szCs w:val="28"/>
                <w:lang w:val="en-US" w:eastAsia="zh-CN" w:bidi="ar-SA"/>
              </w:rPr>
              <w:t>快检工作惠民服务机制</w:t>
            </w:r>
          </w:p>
        </w:tc>
        <w:tc>
          <w:tcPr>
            <w:tcW w:w="662" w:type="dxa"/>
            <w:tcBorders>
              <w:bottom w:val="single" w:color="auto" w:sz="4" w:space="0"/>
            </w:tcBorders>
            <w:noWrap w:val="0"/>
            <w:vAlign w:val="center"/>
          </w:tcPr>
          <w:p w14:paraId="08AAF705">
            <w:pPr>
              <w:keepNext w:val="0"/>
              <w:keepLines w:val="0"/>
              <w:pageBreakBefore w:val="0"/>
              <w:wordWrap/>
              <w:overflowPunct/>
              <w:topLinePunct w:val="0"/>
              <w:bidi w:val="0"/>
              <w:spacing w:before="305" w:line="360" w:lineRule="exact"/>
              <w:jc w:val="center"/>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z w:val="28"/>
                <w:szCs w:val="28"/>
                <w:lang w:val="en-US" w:eastAsia="zh-CN"/>
              </w:rPr>
              <w:t>0.6</w:t>
            </w:r>
          </w:p>
        </w:tc>
        <w:tc>
          <w:tcPr>
            <w:tcW w:w="5003" w:type="dxa"/>
            <w:noWrap w:val="0"/>
            <w:vAlign w:val="center"/>
          </w:tcPr>
          <w:p w14:paraId="213ACB0E">
            <w:pPr>
              <w:pStyle w:val="13"/>
              <w:keepNext w:val="0"/>
              <w:keepLines w:val="0"/>
              <w:pageBreakBefore w:val="0"/>
              <w:wordWrap/>
              <w:overflowPunct/>
              <w:topLinePunct w:val="0"/>
              <w:bidi w:val="0"/>
              <w:spacing w:before="73" w:line="360" w:lineRule="exact"/>
              <w:ind w:left="127" w:leftChars="0" w:right="95" w:rightChars="0" w:hanging="13" w:firstLineChars="0"/>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pacing w:val="-14"/>
                <w:sz w:val="28"/>
                <w:szCs w:val="28"/>
                <w:lang w:eastAsia="zh-CN"/>
              </w:rPr>
              <w:t>农批市场开展“你送我检”、科普宣传等快检惠民服务</w:t>
            </w:r>
            <w:r>
              <w:rPr>
                <w:rFonts w:hint="eastAsia" w:ascii="CESI仿宋-GB2312" w:hAnsi="CESI仿宋-GB2312" w:eastAsia="CESI仿宋-GB2312" w:cs="CESI仿宋-GB2312"/>
                <w:spacing w:val="-11"/>
                <w:sz w:val="28"/>
                <w:szCs w:val="28"/>
                <w:lang w:eastAsia="zh-CN"/>
              </w:rPr>
              <w:t>活动。</w:t>
            </w:r>
          </w:p>
        </w:tc>
        <w:tc>
          <w:tcPr>
            <w:tcW w:w="529" w:type="dxa"/>
            <w:noWrap w:val="0"/>
            <w:vAlign w:val="center"/>
          </w:tcPr>
          <w:p w14:paraId="1D35030C">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noWrap w:val="0"/>
            <w:vAlign w:val="center"/>
          </w:tcPr>
          <w:p w14:paraId="5E1F50D3">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0DBBA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jc w:val="center"/>
        </w:trPr>
        <w:tc>
          <w:tcPr>
            <w:tcW w:w="599" w:type="dxa"/>
            <w:vMerge w:val="continue"/>
            <w:tcBorders>
              <w:top w:val="single" w:color="auto" w:sz="4" w:space="0"/>
              <w:bottom w:val="single" w:color="auto" w:sz="4" w:space="0"/>
            </w:tcBorders>
            <w:noWrap w:val="0"/>
            <w:vAlign w:val="center"/>
          </w:tcPr>
          <w:p w14:paraId="059300B2">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590" w:type="dxa"/>
            <w:vMerge w:val="continue"/>
            <w:tcBorders>
              <w:top w:val="single" w:color="auto" w:sz="4" w:space="0"/>
              <w:bottom w:val="single" w:color="auto" w:sz="4" w:space="0"/>
            </w:tcBorders>
            <w:noWrap w:val="0"/>
            <w:textDirection w:val="tbRlV"/>
            <w:vAlign w:val="center"/>
          </w:tcPr>
          <w:p w14:paraId="27ACB136">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488" w:type="dxa"/>
            <w:tcBorders>
              <w:top w:val="single" w:color="auto" w:sz="4" w:space="0"/>
            </w:tcBorders>
            <w:noWrap w:val="0"/>
            <w:vAlign w:val="center"/>
          </w:tcPr>
          <w:p w14:paraId="7C727BD6">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快检质量</w:t>
            </w:r>
          </w:p>
          <w:p w14:paraId="06D49E31">
            <w:pPr>
              <w:keepNext w:val="0"/>
              <w:keepLines w:val="0"/>
              <w:pageBreakBefore w:val="0"/>
              <w:wordWrap/>
              <w:overflowPunct/>
              <w:topLinePunct w:val="0"/>
              <w:bidi w:val="0"/>
              <w:spacing w:line="360" w:lineRule="exact"/>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内控机制</w:t>
            </w:r>
          </w:p>
        </w:tc>
        <w:tc>
          <w:tcPr>
            <w:tcW w:w="662" w:type="dxa"/>
            <w:tcBorders>
              <w:top w:val="single" w:color="auto" w:sz="4" w:space="0"/>
            </w:tcBorders>
            <w:noWrap w:val="0"/>
            <w:vAlign w:val="center"/>
          </w:tcPr>
          <w:p w14:paraId="683BB782">
            <w:pPr>
              <w:keepNext w:val="0"/>
              <w:keepLines w:val="0"/>
              <w:pageBreakBefore w:val="0"/>
              <w:wordWrap/>
              <w:overflowPunct/>
              <w:topLinePunct w:val="0"/>
              <w:bidi w:val="0"/>
              <w:spacing w:before="305" w:line="360" w:lineRule="exact"/>
              <w:jc w:val="center"/>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z w:val="28"/>
                <w:szCs w:val="28"/>
                <w:lang w:val="en-US" w:eastAsia="zh-CN"/>
              </w:rPr>
              <w:t>0.6</w:t>
            </w:r>
          </w:p>
        </w:tc>
        <w:tc>
          <w:tcPr>
            <w:tcW w:w="5003" w:type="dxa"/>
            <w:noWrap w:val="0"/>
            <w:vAlign w:val="center"/>
          </w:tcPr>
          <w:p w14:paraId="09EB17E0">
            <w:pPr>
              <w:pStyle w:val="13"/>
              <w:keepNext w:val="0"/>
              <w:keepLines w:val="0"/>
              <w:pageBreakBefore w:val="0"/>
              <w:wordWrap/>
              <w:overflowPunct/>
              <w:topLinePunct w:val="0"/>
              <w:bidi w:val="0"/>
              <w:spacing w:before="73" w:line="360" w:lineRule="exact"/>
              <w:ind w:left="127" w:leftChars="0" w:right="95" w:rightChars="0" w:hanging="13" w:firstLineChars="0"/>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pacing w:val="-14"/>
                <w:sz w:val="28"/>
                <w:szCs w:val="28"/>
                <w:lang w:eastAsia="zh-CN"/>
              </w:rPr>
              <w:t>农批市场建立质量安全管理制度，定期检查快检工作；接受市场监管部门等部门监督检查，对发现问题及时整改。</w:t>
            </w:r>
          </w:p>
        </w:tc>
        <w:tc>
          <w:tcPr>
            <w:tcW w:w="529" w:type="dxa"/>
            <w:noWrap w:val="0"/>
            <w:vAlign w:val="center"/>
          </w:tcPr>
          <w:p w14:paraId="6A96E038">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noWrap w:val="0"/>
            <w:vAlign w:val="center"/>
          </w:tcPr>
          <w:p w14:paraId="2361F2C0">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612AB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jc w:val="center"/>
        </w:trPr>
        <w:tc>
          <w:tcPr>
            <w:tcW w:w="599" w:type="dxa"/>
            <w:vMerge w:val="restart"/>
            <w:tcBorders>
              <w:top w:val="single" w:color="auto" w:sz="4" w:space="0"/>
            </w:tcBorders>
            <w:noWrap w:val="0"/>
            <w:vAlign w:val="center"/>
          </w:tcPr>
          <w:p w14:paraId="38E9C7FB">
            <w:pPr>
              <w:keepNext w:val="0"/>
              <w:keepLines w:val="0"/>
              <w:pageBreakBefore w:val="0"/>
              <w:wordWrap/>
              <w:overflowPunct/>
              <w:topLinePunct w:val="0"/>
              <w:bidi w:val="0"/>
              <w:spacing w:before="69" w:line="360" w:lineRule="exact"/>
              <w:ind w:left="243"/>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val="en-US" w:eastAsia="zh-CN"/>
              </w:rPr>
              <w:t>6</w:t>
            </w:r>
          </w:p>
        </w:tc>
        <w:tc>
          <w:tcPr>
            <w:tcW w:w="590" w:type="dxa"/>
            <w:vMerge w:val="restart"/>
            <w:tcBorders>
              <w:top w:val="single" w:color="auto" w:sz="4" w:space="0"/>
            </w:tcBorders>
            <w:noWrap w:val="0"/>
            <w:textDirection w:val="tbRlV"/>
            <w:vAlign w:val="center"/>
          </w:tcPr>
          <w:p w14:paraId="51234F5E">
            <w:pPr>
              <w:pStyle w:val="13"/>
              <w:keepNext w:val="0"/>
              <w:keepLines w:val="0"/>
              <w:pageBreakBefore w:val="0"/>
              <w:wordWrap/>
              <w:overflowPunct/>
              <w:topLinePunct w:val="0"/>
              <w:bidi w:val="0"/>
              <w:spacing w:before="169" w:line="360" w:lineRule="exact"/>
              <w:ind w:left="72"/>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pacing w:val="-1"/>
                <w:sz w:val="28"/>
                <w:szCs w:val="28"/>
                <w:lang w:eastAsia="zh-CN"/>
              </w:rPr>
              <w:t>智慧管理</w:t>
            </w:r>
          </w:p>
        </w:tc>
        <w:tc>
          <w:tcPr>
            <w:tcW w:w="1488" w:type="dxa"/>
            <w:tcBorders>
              <w:bottom w:val="single" w:color="auto" w:sz="4" w:space="0"/>
            </w:tcBorders>
            <w:noWrap w:val="0"/>
            <w:vAlign w:val="center"/>
          </w:tcPr>
          <w:p w14:paraId="45A12F42">
            <w:pPr>
              <w:pStyle w:val="13"/>
              <w:keepNext w:val="0"/>
              <w:keepLines w:val="0"/>
              <w:pageBreakBefore w:val="0"/>
              <w:wordWrap/>
              <w:overflowPunct/>
              <w:topLinePunct w:val="0"/>
              <w:bidi w:val="0"/>
              <w:spacing w:before="78" w:line="360" w:lineRule="exact"/>
              <w:ind w:left="119" w:right="100" w:hanging="3"/>
              <w:jc w:val="center"/>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数据采集自动化</w:t>
            </w:r>
          </w:p>
        </w:tc>
        <w:tc>
          <w:tcPr>
            <w:tcW w:w="662" w:type="dxa"/>
            <w:tcBorders>
              <w:bottom w:val="single" w:color="auto" w:sz="4" w:space="0"/>
            </w:tcBorders>
            <w:noWrap w:val="0"/>
            <w:vAlign w:val="center"/>
          </w:tcPr>
          <w:p w14:paraId="10ECEF32">
            <w:pPr>
              <w:keepNext w:val="0"/>
              <w:keepLines w:val="0"/>
              <w:pageBreakBefore w:val="0"/>
              <w:wordWrap/>
              <w:overflowPunct/>
              <w:topLinePunct w:val="0"/>
              <w:bidi w:val="0"/>
              <w:spacing w:before="69" w:line="360" w:lineRule="exact"/>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0.4</w:t>
            </w:r>
          </w:p>
        </w:tc>
        <w:tc>
          <w:tcPr>
            <w:tcW w:w="5003" w:type="dxa"/>
            <w:tcBorders>
              <w:bottom w:val="single" w:color="auto" w:sz="4" w:space="0"/>
            </w:tcBorders>
            <w:noWrap w:val="0"/>
            <w:vAlign w:val="center"/>
          </w:tcPr>
          <w:p w14:paraId="792B9EAB">
            <w:pPr>
              <w:pStyle w:val="13"/>
              <w:keepNext w:val="0"/>
              <w:keepLines w:val="0"/>
              <w:pageBreakBefore w:val="0"/>
              <w:wordWrap/>
              <w:overflowPunct/>
              <w:topLinePunct w:val="0"/>
              <w:bidi w:val="0"/>
              <w:spacing w:before="78" w:line="360" w:lineRule="exact"/>
              <w:ind w:left="119" w:leftChars="0" w:right="95" w:rightChars="0" w:hanging="5" w:firstLineChars="0"/>
              <w:rPr>
                <w:rFonts w:hint="eastAsia" w:ascii="CESI仿宋-GB2312" w:hAnsi="CESI仿宋-GB2312" w:eastAsia="CESI仿宋-GB2312" w:cs="CESI仿宋-GB2312"/>
                <w:color w:val="auto"/>
                <w:spacing w:val="-14"/>
                <w:kern w:val="2"/>
                <w:sz w:val="28"/>
                <w:szCs w:val="28"/>
                <w:lang w:val="en-US" w:eastAsia="zh-CN" w:bidi="ar-SA"/>
              </w:rPr>
            </w:pPr>
            <w:r>
              <w:rPr>
                <w:rFonts w:hint="eastAsia" w:ascii="CESI仿宋-GB2312" w:hAnsi="CESI仿宋-GB2312" w:eastAsia="CESI仿宋-GB2312" w:cs="CESI仿宋-GB2312"/>
                <w:spacing w:val="-14"/>
                <w:sz w:val="28"/>
                <w:szCs w:val="28"/>
                <w:lang w:eastAsia="zh-CN"/>
              </w:rPr>
              <w:t>农批市场快检系统与各类快检设备实时对接，</w:t>
            </w:r>
            <w:r>
              <w:rPr>
                <w:rFonts w:hint="eastAsia" w:ascii="CESI仿宋-GB2312" w:hAnsi="CESI仿宋-GB2312" w:eastAsia="CESI仿宋-GB2312" w:cs="CESI仿宋-GB2312"/>
                <w:sz w:val="28"/>
                <w:szCs w:val="28"/>
                <w:lang w:eastAsia="zh-CN"/>
              </w:rPr>
              <w:t>支持扫瞄导入和批量导入；</w:t>
            </w:r>
            <w:r>
              <w:rPr>
                <w:rFonts w:hint="eastAsia" w:ascii="CESI仿宋-GB2312" w:hAnsi="CESI仿宋-GB2312" w:eastAsia="CESI仿宋-GB2312" w:cs="CESI仿宋-GB2312"/>
                <w:spacing w:val="-14"/>
                <w:sz w:val="28"/>
                <w:szCs w:val="28"/>
                <w:lang w:eastAsia="zh-CN"/>
              </w:rPr>
              <w:t>相关数据自动采集、</w:t>
            </w:r>
            <w:r>
              <w:rPr>
                <w:rFonts w:hint="eastAsia" w:ascii="CESI仿宋-GB2312" w:hAnsi="CESI仿宋-GB2312" w:eastAsia="CESI仿宋-GB2312" w:cs="CESI仿宋-GB2312"/>
                <w:sz w:val="28"/>
                <w:szCs w:val="28"/>
                <w:lang w:eastAsia="zh-CN"/>
              </w:rPr>
              <w:t>及时上传，</w:t>
            </w:r>
            <w:r>
              <w:rPr>
                <w:rFonts w:hint="eastAsia" w:ascii="CESI仿宋-GB2312" w:hAnsi="CESI仿宋-GB2312" w:eastAsia="CESI仿宋-GB2312" w:cs="CESI仿宋-GB2312"/>
                <w:spacing w:val="-14"/>
                <w:sz w:val="28"/>
                <w:szCs w:val="28"/>
                <w:lang w:eastAsia="zh-CN"/>
              </w:rPr>
              <w:t>无需人工二次录入。</w:t>
            </w:r>
          </w:p>
        </w:tc>
        <w:tc>
          <w:tcPr>
            <w:tcW w:w="529" w:type="dxa"/>
            <w:tcBorders>
              <w:bottom w:val="single" w:color="auto" w:sz="4" w:space="0"/>
            </w:tcBorders>
            <w:noWrap w:val="0"/>
            <w:vAlign w:val="center"/>
          </w:tcPr>
          <w:p w14:paraId="50EE9FB2">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bottom w:val="single" w:color="auto" w:sz="4" w:space="0"/>
            </w:tcBorders>
            <w:noWrap w:val="0"/>
            <w:vAlign w:val="center"/>
          </w:tcPr>
          <w:p w14:paraId="1C51820D">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122A0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99" w:type="dxa"/>
            <w:vMerge w:val="continue"/>
            <w:noWrap w:val="0"/>
            <w:vAlign w:val="center"/>
          </w:tcPr>
          <w:p w14:paraId="7FD180A7">
            <w:pPr>
              <w:keepNext w:val="0"/>
              <w:keepLines w:val="0"/>
              <w:pageBreakBefore w:val="0"/>
              <w:wordWrap/>
              <w:overflowPunct/>
              <w:topLinePunct w:val="0"/>
              <w:bidi w:val="0"/>
              <w:spacing w:before="69" w:line="360" w:lineRule="exact"/>
              <w:ind w:left="243"/>
              <w:rPr>
                <w:rFonts w:hint="eastAsia" w:ascii="CESI仿宋-GB2312" w:hAnsi="CESI仿宋-GB2312" w:eastAsia="CESI仿宋-GB2312" w:cs="CESI仿宋-GB2312"/>
                <w:sz w:val="28"/>
                <w:szCs w:val="28"/>
                <w:lang w:val="en-US" w:eastAsia="zh-CN"/>
              </w:rPr>
            </w:pPr>
          </w:p>
        </w:tc>
        <w:tc>
          <w:tcPr>
            <w:tcW w:w="590" w:type="dxa"/>
            <w:vMerge w:val="continue"/>
            <w:noWrap w:val="0"/>
            <w:textDirection w:val="tbRlV"/>
            <w:vAlign w:val="center"/>
          </w:tcPr>
          <w:p w14:paraId="1EC75C21">
            <w:pPr>
              <w:pStyle w:val="13"/>
              <w:keepNext w:val="0"/>
              <w:keepLines w:val="0"/>
              <w:pageBreakBefore w:val="0"/>
              <w:wordWrap/>
              <w:overflowPunct/>
              <w:topLinePunct w:val="0"/>
              <w:bidi w:val="0"/>
              <w:spacing w:before="169" w:line="360" w:lineRule="exact"/>
              <w:ind w:left="72"/>
              <w:jc w:val="center"/>
              <w:rPr>
                <w:rFonts w:hint="eastAsia" w:ascii="CESI仿宋-GB2312" w:hAnsi="CESI仿宋-GB2312" w:eastAsia="CESI仿宋-GB2312" w:cs="CESI仿宋-GB2312"/>
                <w:spacing w:val="-1"/>
                <w:sz w:val="28"/>
                <w:szCs w:val="28"/>
                <w:lang w:eastAsia="zh-CN"/>
              </w:rPr>
            </w:pPr>
          </w:p>
        </w:tc>
        <w:tc>
          <w:tcPr>
            <w:tcW w:w="1488" w:type="dxa"/>
            <w:tcBorders>
              <w:top w:val="single" w:color="auto" w:sz="4" w:space="0"/>
              <w:bottom w:val="single" w:color="auto" w:sz="4" w:space="0"/>
            </w:tcBorders>
            <w:noWrap w:val="0"/>
            <w:vAlign w:val="center"/>
          </w:tcPr>
          <w:p w14:paraId="6CB41BD0">
            <w:pPr>
              <w:pStyle w:val="13"/>
              <w:keepNext w:val="0"/>
              <w:keepLines w:val="0"/>
              <w:pageBreakBefore w:val="0"/>
              <w:wordWrap/>
              <w:overflowPunct/>
              <w:topLinePunct w:val="0"/>
              <w:bidi w:val="0"/>
              <w:spacing w:before="78" w:line="360" w:lineRule="exact"/>
              <w:ind w:left="119" w:right="100" w:hanging="3"/>
              <w:jc w:val="center"/>
              <w:rPr>
                <w:rFonts w:hint="eastAsia" w:ascii="CESI仿宋-GB2312" w:hAnsi="CESI仿宋-GB2312" w:eastAsia="CESI仿宋-GB2312" w:cs="CESI仿宋-GB2312"/>
                <w:spacing w:val="-10"/>
                <w:sz w:val="28"/>
                <w:szCs w:val="28"/>
                <w:lang w:eastAsia="zh-CN"/>
              </w:rPr>
            </w:pPr>
            <w:r>
              <w:rPr>
                <w:rFonts w:hint="eastAsia" w:ascii="CESI仿宋-GB2312" w:hAnsi="CESI仿宋-GB2312" w:eastAsia="CESI仿宋-GB2312" w:cs="CESI仿宋-GB2312"/>
                <w:spacing w:val="-10"/>
                <w:sz w:val="28"/>
                <w:szCs w:val="28"/>
                <w:lang w:eastAsia="zh-CN"/>
              </w:rPr>
              <w:t>数据共享实时化</w:t>
            </w:r>
          </w:p>
        </w:tc>
        <w:tc>
          <w:tcPr>
            <w:tcW w:w="662" w:type="dxa"/>
            <w:tcBorders>
              <w:top w:val="single" w:color="auto" w:sz="4" w:space="0"/>
              <w:bottom w:val="single" w:color="auto" w:sz="4" w:space="0"/>
            </w:tcBorders>
            <w:noWrap w:val="0"/>
            <w:vAlign w:val="center"/>
          </w:tcPr>
          <w:p w14:paraId="50EF19C4">
            <w:pPr>
              <w:keepNext w:val="0"/>
              <w:keepLines w:val="0"/>
              <w:pageBreakBefore w:val="0"/>
              <w:wordWrap/>
              <w:overflowPunct/>
              <w:topLinePunct w:val="0"/>
              <w:bidi w:val="0"/>
              <w:spacing w:before="69" w:line="360" w:lineRule="exact"/>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0.4</w:t>
            </w:r>
          </w:p>
        </w:tc>
        <w:tc>
          <w:tcPr>
            <w:tcW w:w="5003" w:type="dxa"/>
            <w:tcBorders>
              <w:top w:val="single" w:color="auto" w:sz="4" w:space="0"/>
              <w:bottom w:val="single" w:color="auto" w:sz="4" w:space="0"/>
            </w:tcBorders>
            <w:noWrap w:val="0"/>
            <w:vAlign w:val="center"/>
          </w:tcPr>
          <w:p w14:paraId="095F80B7">
            <w:pPr>
              <w:pStyle w:val="13"/>
              <w:keepNext w:val="0"/>
              <w:keepLines w:val="0"/>
              <w:pageBreakBefore w:val="0"/>
              <w:wordWrap/>
              <w:overflowPunct/>
              <w:topLinePunct w:val="0"/>
              <w:bidi w:val="0"/>
              <w:spacing w:before="78" w:line="360" w:lineRule="exact"/>
              <w:ind w:left="119" w:leftChars="0" w:right="95" w:rightChars="0" w:hanging="5" w:firstLineChars="0"/>
              <w:rPr>
                <w:rFonts w:hint="default" w:ascii="CESI仿宋-GB2312" w:hAnsi="CESI仿宋-GB2312" w:eastAsia="CESI仿宋-GB2312" w:cs="CESI仿宋-GB2312"/>
                <w:color w:val="auto"/>
                <w:spacing w:val="-14"/>
                <w:kern w:val="2"/>
                <w:sz w:val="28"/>
                <w:szCs w:val="28"/>
                <w:lang w:val="en-US" w:eastAsia="zh-CN" w:bidi="ar-SA"/>
              </w:rPr>
            </w:pPr>
            <w:r>
              <w:rPr>
                <w:rFonts w:hint="eastAsia" w:ascii="CESI仿宋-GB2312" w:hAnsi="CESI仿宋-GB2312" w:eastAsia="CESI仿宋-GB2312" w:cs="CESI仿宋-GB2312"/>
                <w:spacing w:val="-14"/>
                <w:sz w:val="28"/>
                <w:szCs w:val="28"/>
                <w:lang w:eastAsia="zh-CN"/>
              </w:rPr>
              <w:t>农批市场快检样品的检测结果可同步至市场内的电子显示屏</w:t>
            </w:r>
            <w:r>
              <w:rPr>
                <w:rFonts w:hint="eastAsia" w:ascii="CESI仿宋-GB2312" w:hAnsi="CESI仿宋-GB2312" w:eastAsia="CESI仿宋-GB2312" w:cs="CESI仿宋-GB2312"/>
                <w:spacing w:val="-14"/>
                <w:sz w:val="28"/>
                <w:szCs w:val="28"/>
                <w:lang w:val="en-US" w:eastAsia="zh-CN"/>
              </w:rPr>
              <w:t>，电子显示屏展示界面应简洁明了、布局合理，消费者能够快速找到所需信息。</w:t>
            </w:r>
          </w:p>
        </w:tc>
        <w:tc>
          <w:tcPr>
            <w:tcW w:w="529" w:type="dxa"/>
            <w:tcBorders>
              <w:top w:val="single" w:color="auto" w:sz="4" w:space="0"/>
              <w:bottom w:val="single" w:color="auto" w:sz="4" w:space="0"/>
            </w:tcBorders>
            <w:noWrap w:val="0"/>
            <w:vAlign w:val="center"/>
          </w:tcPr>
          <w:p w14:paraId="38E15550">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top w:val="single" w:color="auto" w:sz="4" w:space="0"/>
              <w:bottom w:val="single" w:color="auto" w:sz="4" w:space="0"/>
            </w:tcBorders>
            <w:noWrap w:val="0"/>
            <w:vAlign w:val="center"/>
          </w:tcPr>
          <w:p w14:paraId="4D453134">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37FA9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jc w:val="center"/>
        </w:trPr>
        <w:tc>
          <w:tcPr>
            <w:tcW w:w="599" w:type="dxa"/>
            <w:vMerge w:val="continue"/>
            <w:noWrap w:val="0"/>
            <w:vAlign w:val="center"/>
          </w:tcPr>
          <w:p w14:paraId="254F9223">
            <w:pPr>
              <w:keepNext w:val="0"/>
              <w:keepLines w:val="0"/>
              <w:pageBreakBefore w:val="0"/>
              <w:wordWrap/>
              <w:overflowPunct/>
              <w:topLinePunct w:val="0"/>
              <w:bidi w:val="0"/>
              <w:spacing w:before="69" w:line="360" w:lineRule="exact"/>
              <w:ind w:left="243"/>
              <w:rPr>
                <w:rFonts w:hint="eastAsia" w:ascii="CESI仿宋-GB2312" w:hAnsi="CESI仿宋-GB2312" w:eastAsia="CESI仿宋-GB2312" w:cs="CESI仿宋-GB2312"/>
                <w:sz w:val="28"/>
                <w:szCs w:val="28"/>
                <w:lang w:val="en-US" w:eastAsia="zh-CN"/>
              </w:rPr>
            </w:pPr>
          </w:p>
        </w:tc>
        <w:tc>
          <w:tcPr>
            <w:tcW w:w="590" w:type="dxa"/>
            <w:vMerge w:val="continue"/>
            <w:noWrap w:val="0"/>
            <w:textDirection w:val="tbRlV"/>
            <w:vAlign w:val="center"/>
          </w:tcPr>
          <w:p w14:paraId="1CBCD200">
            <w:pPr>
              <w:pStyle w:val="13"/>
              <w:keepNext w:val="0"/>
              <w:keepLines w:val="0"/>
              <w:pageBreakBefore w:val="0"/>
              <w:wordWrap/>
              <w:overflowPunct/>
              <w:topLinePunct w:val="0"/>
              <w:bidi w:val="0"/>
              <w:spacing w:before="169" w:line="360" w:lineRule="exact"/>
              <w:ind w:left="72"/>
              <w:jc w:val="center"/>
              <w:rPr>
                <w:rFonts w:hint="eastAsia" w:ascii="CESI仿宋-GB2312" w:hAnsi="CESI仿宋-GB2312" w:eastAsia="CESI仿宋-GB2312" w:cs="CESI仿宋-GB2312"/>
                <w:spacing w:val="-1"/>
                <w:sz w:val="28"/>
                <w:szCs w:val="28"/>
                <w:lang w:eastAsia="zh-CN"/>
              </w:rPr>
            </w:pPr>
          </w:p>
        </w:tc>
        <w:tc>
          <w:tcPr>
            <w:tcW w:w="1488" w:type="dxa"/>
            <w:tcBorders>
              <w:top w:val="single" w:color="auto" w:sz="4" w:space="0"/>
              <w:bottom w:val="single" w:color="auto" w:sz="4" w:space="0"/>
            </w:tcBorders>
            <w:noWrap w:val="0"/>
            <w:vAlign w:val="center"/>
          </w:tcPr>
          <w:p w14:paraId="4B96397A">
            <w:pPr>
              <w:pStyle w:val="13"/>
              <w:keepNext w:val="0"/>
              <w:keepLines w:val="0"/>
              <w:pageBreakBefore w:val="0"/>
              <w:wordWrap/>
              <w:overflowPunct/>
              <w:topLinePunct w:val="0"/>
              <w:bidi w:val="0"/>
              <w:spacing w:before="78" w:line="360" w:lineRule="exact"/>
              <w:ind w:left="119" w:right="100" w:hanging="3"/>
              <w:jc w:val="center"/>
              <w:rPr>
                <w:rFonts w:hint="eastAsia" w:ascii="CESI仿宋-GB2312" w:hAnsi="CESI仿宋-GB2312" w:eastAsia="CESI仿宋-GB2312" w:cs="CESI仿宋-GB2312"/>
                <w:spacing w:val="-10"/>
                <w:sz w:val="28"/>
                <w:szCs w:val="28"/>
                <w:lang w:eastAsia="zh-CN"/>
              </w:rPr>
            </w:pPr>
            <w:r>
              <w:rPr>
                <w:rFonts w:hint="eastAsia" w:ascii="CESI仿宋-GB2312" w:hAnsi="CESI仿宋-GB2312" w:eastAsia="CESI仿宋-GB2312" w:cs="CESI仿宋-GB2312"/>
                <w:spacing w:val="-10"/>
                <w:sz w:val="28"/>
                <w:szCs w:val="28"/>
                <w:lang w:eastAsia="zh-CN"/>
              </w:rPr>
              <w:t>分析预警精准化</w:t>
            </w:r>
          </w:p>
        </w:tc>
        <w:tc>
          <w:tcPr>
            <w:tcW w:w="662" w:type="dxa"/>
            <w:tcBorders>
              <w:top w:val="single" w:color="auto" w:sz="4" w:space="0"/>
              <w:bottom w:val="single" w:color="auto" w:sz="4" w:space="0"/>
            </w:tcBorders>
            <w:noWrap w:val="0"/>
            <w:vAlign w:val="center"/>
          </w:tcPr>
          <w:p w14:paraId="219FBE22">
            <w:pPr>
              <w:keepNext w:val="0"/>
              <w:keepLines w:val="0"/>
              <w:pageBreakBefore w:val="0"/>
              <w:wordWrap/>
              <w:overflowPunct/>
              <w:topLinePunct w:val="0"/>
              <w:bidi w:val="0"/>
              <w:spacing w:before="69" w:line="360" w:lineRule="exact"/>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0.4</w:t>
            </w:r>
          </w:p>
        </w:tc>
        <w:tc>
          <w:tcPr>
            <w:tcW w:w="5003" w:type="dxa"/>
            <w:tcBorders>
              <w:top w:val="single" w:color="auto" w:sz="4" w:space="0"/>
              <w:bottom w:val="single" w:color="auto" w:sz="4" w:space="0"/>
            </w:tcBorders>
            <w:noWrap w:val="0"/>
            <w:vAlign w:val="center"/>
          </w:tcPr>
          <w:p w14:paraId="5A83F31F">
            <w:pPr>
              <w:pStyle w:val="13"/>
              <w:keepNext w:val="0"/>
              <w:keepLines w:val="0"/>
              <w:pageBreakBefore w:val="0"/>
              <w:wordWrap/>
              <w:overflowPunct/>
              <w:topLinePunct w:val="0"/>
              <w:bidi w:val="0"/>
              <w:spacing w:before="78" w:line="360" w:lineRule="exact"/>
              <w:ind w:left="119" w:right="95" w:hanging="5"/>
              <w:rPr>
                <w:rFonts w:hint="eastAsia" w:ascii="CESI仿宋-GB2312" w:hAnsi="CESI仿宋-GB2312" w:eastAsia="CESI仿宋-GB2312" w:cs="CESI仿宋-GB2312"/>
                <w:spacing w:val="-14"/>
                <w:sz w:val="28"/>
                <w:szCs w:val="28"/>
                <w:lang w:eastAsia="zh-CN"/>
              </w:rPr>
            </w:pPr>
            <w:r>
              <w:rPr>
                <w:rFonts w:hint="eastAsia" w:ascii="CESI仿宋-GB2312" w:hAnsi="CESI仿宋-GB2312" w:eastAsia="CESI仿宋-GB2312" w:cs="CESI仿宋-GB2312"/>
                <w:spacing w:val="-14"/>
                <w:sz w:val="28"/>
                <w:szCs w:val="28"/>
                <w:lang w:eastAsia="zh-CN"/>
              </w:rPr>
              <w:t>快检系统可将不同来源、格式的数据整合到统一的数据平台，为分析提供基础；对</w:t>
            </w:r>
            <w:r>
              <w:rPr>
                <w:rFonts w:hint="eastAsia" w:ascii="CESI仿宋-GB2312" w:hAnsi="CESI仿宋-GB2312" w:eastAsia="CESI仿宋-GB2312" w:cs="CESI仿宋-GB2312"/>
                <w:spacing w:val="-14"/>
                <w:sz w:val="28"/>
                <w:szCs w:val="28"/>
                <w:lang w:val="en-US" w:eastAsia="zh-CN"/>
              </w:rPr>
              <w:t>检测结果异常，可通过快速方式向市场管理方、监管部门发出预警。</w:t>
            </w:r>
          </w:p>
        </w:tc>
        <w:tc>
          <w:tcPr>
            <w:tcW w:w="529" w:type="dxa"/>
            <w:tcBorders>
              <w:top w:val="single" w:color="auto" w:sz="4" w:space="0"/>
              <w:bottom w:val="single" w:color="auto" w:sz="4" w:space="0"/>
            </w:tcBorders>
            <w:noWrap w:val="0"/>
            <w:vAlign w:val="center"/>
          </w:tcPr>
          <w:p w14:paraId="37D468C0">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top w:val="single" w:color="auto" w:sz="4" w:space="0"/>
              <w:bottom w:val="single" w:color="auto" w:sz="4" w:space="0"/>
            </w:tcBorders>
            <w:noWrap w:val="0"/>
            <w:vAlign w:val="center"/>
          </w:tcPr>
          <w:p w14:paraId="3E04EA6D">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69170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jc w:val="center"/>
        </w:trPr>
        <w:tc>
          <w:tcPr>
            <w:tcW w:w="599" w:type="dxa"/>
            <w:vMerge w:val="continue"/>
            <w:noWrap w:val="0"/>
            <w:vAlign w:val="center"/>
          </w:tcPr>
          <w:p w14:paraId="44178B90">
            <w:pPr>
              <w:keepNext w:val="0"/>
              <w:keepLines w:val="0"/>
              <w:pageBreakBefore w:val="0"/>
              <w:wordWrap/>
              <w:overflowPunct/>
              <w:topLinePunct w:val="0"/>
              <w:bidi w:val="0"/>
              <w:spacing w:before="69" w:line="360" w:lineRule="exact"/>
              <w:ind w:left="243"/>
              <w:rPr>
                <w:rFonts w:hint="eastAsia" w:ascii="CESI仿宋-GB2312" w:hAnsi="CESI仿宋-GB2312" w:eastAsia="CESI仿宋-GB2312" w:cs="CESI仿宋-GB2312"/>
                <w:sz w:val="28"/>
                <w:szCs w:val="28"/>
                <w:lang w:val="en-US" w:eastAsia="zh-CN"/>
              </w:rPr>
            </w:pPr>
          </w:p>
        </w:tc>
        <w:tc>
          <w:tcPr>
            <w:tcW w:w="590" w:type="dxa"/>
            <w:vMerge w:val="continue"/>
            <w:noWrap w:val="0"/>
            <w:textDirection w:val="tbRlV"/>
            <w:vAlign w:val="center"/>
          </w:tcPr>
          <w:p w14:paraId="793DE3D0">
            <w:pPr>
              <w:pStyle w:val="13"/>
              <w:keepNext w:val="0"/>
              <w:keepLines w:val="0"/>
              <w:pageBreakBefore w:val="0"/>
              <w:wordWrap/>
              <w:overflowPunct/>
              <w:topLinePunct w:val="0"/>
              <w:bidi w:val="0"/>
              <w:spacing w:before="169" w:line="360" w:lineRule="exact"/>
              <w:ind w:left="72"/>
              <w:jc w:val="center"/>
              <w:rPr>
                <w:rFonts w:hint="eastAsia" w:ascii="CESI仿宋-GB2312" w:hAnsi="CESI仿宋-GB2312" w:eastAsia="CESI仿宋-GB2312" w:cs="CESI仿宋-GB2312"/>
                <w:spacing w:val="-1"/>
                <w:sz w:val="28"/>
                <w:szCs w:val="28"/>
                <w:lang w:eastAsia="zh-CN"/>
              </w:rPr>
            </w:pPr>
          </w:p>
        </w:tc>
        <w:tc>
          <w:tcPr>
            <w:tcW w:w="1488" w:type="dxa"/>
            <w:tcBorders>
              <w:top w:val="single" w:color="auto" w:sz="4" w:space="0"/>
            </w:tcBorders>
            <w:noWrap w:val="0"/>
            <w:vAlign w:val="center"/>
          </w:tcPr>
          <w:p w14:paraId="6D3E33C0">
            <w:pPr>
              <w:pStyle w:val="13"/>
              <w:keepNext w:val="0"/>
              <w:keepLines w:val="0"/>
              <w:pageBreakBefore w:val="0"/>
              <w:wordWrap/>
              <w:overflowPunct/>
              <w:topLinePunct w:val="0"/>
              <w:bidi w:val="0"/>
              <w:spacing w:before="78" w:line="360" w:lineRule="exact"/>
              <w:ind w:left="119" w:right="100" w:hanging="3"/>
              <w:jc w:val="center"/>
              <w:rPr>
                <w:rFonts w:hint="eastAsia" w:ascii="CESI仿宋-GB2312" w:hAnsi="CESI仿宋-GB2312" w:eastAsia="CESI仿宋-GB2312" w:cs="CESI仿宋-GB2312"/>
                <w:spacing w:val="-10"/>
                <w:sz w:val="28"/>
                <w:szCs w:val="28"/>
                <w:lang w:eastAsia="zh-CN"/>
              </w:rPr>
            </w:pPr>
            <w:r>
              <w:rPr>
                <w:rFonts w:hint="eastAsia" w:ascii="CESI仿宋-GB2312" w:hAnsi="CESI仿宋-GB2312" w:eastAsia="CESI仿宋-GB2312" w:cs="CESI仿宋-GB2312"/>
                <w:spacing w:val="-10"/>
                <w:sz w:val="28"/>
                <w:szCs w:val="28"/>
                <w:lang w:eastAsia="zh-CN"/>
              </w:rPr>
              <w:t>追溯管理常态化</w:t>
            </w:r>
          </w:p>
        </w:tc>
        <w:tc>
          <w:tcPr>
            <w:tcW w:w="662" w:type="dxa"/>
            <w:tcBorders>
              <w:top w:val="single" w:color="auto" w:sz="4" w:space="0"/>
            </w:tcBorders>
            <w:noWrap w:val="0"/>
            <w:vAlign w:val="center"/>
          </w:tcPr>
          <w:p w14:paraId="439EFC4F">
            <w:pPr>
              <w:keepNext w:val="0"/>
              <w:keepLines w:val="0"/>
              <w:pageBreakBefore w:val="0"/>
              <w:wordWrap/>
              <w:overflowPunct/>
              <w:topLinePunct w:val="0"/>
              <w:bidi w:val="0"/>
              <w:spacing w:before="69" w:line="360" w:lineRule="exact"/>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0.4</w:t>
            </w:r>
          </w:p>
        </w:tc>
        <w:tc>
          <w:tcPr>
            <w:tcW w:w="5003" w:type="dxa"/>
            <w:tcBorders>
              <w:top w:val="single" w:color="auto" w:sz="4" w:space="0"/>
            </w:tcBorders>
            <w:noWrap w:val="0"/>
            <w:vAlign w:val="center"/>
          </w:tcPr>
          <w:p w14:paraId="17C7E0B9">
            <w:pPr>
              <w:pStyle w:val="13"/>
              <w:keepNext w:val="0"/>
              <w:keepLines w:val="0"/>
              <w:pageBreakBefore w:val="0"/>
              <w:wordWrap/>
              <w:overflowPunct/>
              <w:topLinePunct w:val="0"/>
              <w:bidi w:val="0"/>
              <w:spacing w:before="78" w:line="360" w:lineRule="exact"/>
              <w:ind w:left="119" w:right="95" w:hanging="5"/>
              <w:rPr>
                <w:rFonts w:hint="eastAsia" w:ascii="CESI仿宋-GB2312" w:hAnsi="CESI仿宋-GB2312" w:eastAsia="CESI仿宋-GB2312" w:cs="CESI仿宋-GB2312"/>
                <w:spacing w:val="-14"/>
                <w:sz w:val="28"/>
                <w:szCs w:val="28"/>
                <w:lang w:eastAsia="zh-CN"/>
              </w:rPr>
            </w:pPr>
            <w:r>
              <w:rPr>
                <w:rFonts w:hint="eastAsia" w:ascii="CESI仿宋-GB2312" w:hAnsi="CESI仿宋-GB2312" w:eastAsia="CESI仿宋-GB2312" w:cs="CESI仿宋-GB2312"/>
                <w:spacing w:val="-14"/>
                <w:sz w:val="28"/>
                <w:szCs w:val="28"/>
                <w:lang w:val="en-US" w:eastAsia="zh-CN"/>
              </w:rPr>
              <w:t>快检系统能为食用农产品生成包含相关信息在内的二维码，下游批发商或终端消费者可查看该食用农产品的详细信息，实现从农田到餐桌的全程追溯。</w:t>
            </w:r>
          </w:p>
        </w:tc>
        <w:tc>
          <w:tcPr>
            <w:tcW w:w="529" w:type="dxa"/>
            <w:tcBorders>
              <w:top w:val="single" w:color="auto" w:sz="4" w:space="0"/>
            </w:tcBorders>
            <w:noWrap w:val="0"/>
            <w:vAlign w:val="center"/>
          </w:tcPr>
          <w:p w14:paraId="0849400B">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c>
          <w:tcPr>
            <w:tcW w:w="1075" w:type="dxa"/>
            <w:tcBorders>
              <w:top w:val="single" w:color="auto" w:sz="4" w:space="0"/>
            </w:tcBorders>
            <w:noWrap w:val="0"/>
            <w:vAlign w:val="center"/>
          </w:tcPr>
          <w:p w14:paraId="27EB6DA6">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lang w:eastAsia="zh-CN"/>
              </w:rPr>
            </w:pPr>
          </w:p>
        </w:tc>
      </w:tr>
      <w:tr w14:paraId="346A7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8342" w:type="dxa"/>
            <w:gridSpan w:val="5"/>
            <w:noWrap w:val="0"/>
            <w:vAlign w:val="top"/>
          </w:tcPr>
          <w:p w14:paraId="39218EE7">
            <w:pPr>
              <w:pStyle w:val="13"/>
              <w:keepNext w:val="0"/>
              <w:keepLines w:val="0"/>
              <w:pageBreakBefore w:val="0"/>
              <w:wordWrap/>
              <w:overflowPunct/>
              <w:topLinePunct w:val="0"/>
              <w:bidi w:val="0"/>
              <w:spacing w:before="215" w:line="360" w:lineRule="exact"/>
              <w:ind w:left="3949"/>
              <w:rPr>
                <w:rFonts w:hint="eastAsia" w:ascii="CESI仿宋-GB2312" w:hAnsi="CESI仿宋-GB2312" w:eastAsia="CESI仿宋-GB2312" w:cs="CESI仿宋-GB2312"/>
                <w:sz w:val="28"/>
                <w:szCs w:val="28"/>
              </w:rPr>
            </w:pPr>
            <w:r>
              <w:rPr>
                <w:rFonts w:hint="eastAsia" w:ascii="CESI仿宋-GB2312" w:hAnsi="CESI仿宋-GB2312" w:eastAsia="CESI仿宋-GB2312" w:cs="CESI仿宋-GB2312"/>
                <w:spacing w:val="-16"/>
                <w:sz w:val="28"/>
                <w:szCs w:val="28"/>
              </w:rPr>
              <w:t>汇总</w:t>
            </w:r>
          </w:p>
        </w:tc>
        <w:tc>
          <w:tcPr>
            <w:tcW w:w="529" w:type="dxa"/>
            <w:noWrap w:val="0"/>
            <w:vAlign w:val="top"/>
          </w:tcPr>
          <w:p w14:paraId="2118D378">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rPr>
            </w:pPr>
          </w:p>
        </w:tc>
        <w:tc>
          <w:tcPr>
            <w:tcW w:w="1075" w:type="dxa"/>
            <w:noWrap w:val="0"/>
            <w:vAlign w:val="top"/>
          </w:tcPr>
          <w:p w14:paraId="6BB6AD05">
            <w:pPr>
              <w:keepNext w:val="0"/>
              <w:keepLines w:val="0"/>
              <w:pageBreakBefore w:val="0"/>
              <w:wordWrap/>
              <w:overflowPunct/>
              <w:topLinePunct w:val="0"/>
              <w:bidi w:val="0"/>
              <w:spacing w:line="360" w:lineRule="exact"/>
              <w:rPr>
                <w:rFonts w:hint="eastAsia" w:ascii="CESI仿宋-GB2312" w:hAnsi="CESI仿宋-GB2312" w:eastAsia="CESI仿宋-GB2312" w:cs="CESI仿宋-GB2312"/>
                <w:sz w:val="28"/>
                <w:szCs w:val="28"/>
              </w:rPr>
            </w:pPr>
          </w:p>
        </w:tc>
      </w:tr>
    </w:tbl>
    <w:p w14:paraId="239E9518">
      <w:pPr>
        <w:pStyle w:val="6"/>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eastAsia" w:ascii="CESI仿宋-GB2312" w:hAnsi="CESI仿宋-GB2312" w:eastAsia="CESI仿宋-GB2312" w:cs="CESI仿宋-GB2312"/>
          <w:b w:val="0"/>
          <w:bCs w:val="0"/>
          <w:spacing w:val="-8"/>
          <w:sz w:val="28"/>
          <w:szCs w:val="28"/>
          <w:lang w:val="en-US" w:eastAsia="zh-CN"/>
        </w:rPr>
      </w:pPr>
      <w:r>
        <w:rPr>
          <w:rFonts w:ascii="仿宋" w:hAnsi="仿宋" w:eastAsia="仿宋" w:cs="仿宋"/>
          <w:spacing w:val="-8"/>
          <w:sz w:val="28"/>
          <w:szCs w:val="28"/>
          <w:lang w:eastAsia="zh-CN"/>
        </w:rPr>
        <w:t>备注：</w:t>
      </w:r>
      <w:r>
        <w:rPr>
          <w:rFonts w:hint="eastAsia" w:ascii="CESI仿宋-GB2312" w:hAnsi="CESI仿宋-GB2312" w:eastAsia="CESI仿宋-GB2312" w:cs="CESI仿宋-GB2312"/>
          <w:b w:val="0"/>
          <w:bCs w:val="0"/>
          <w:spacing w:val="-8"/>
          <w:sz w:val="28"/>
          <w:szCs w:val="28"/>
          <w:lang w:eastAsia="zh-CN"/>
        </w:rPr>
        <w:t>1.评价条目共</w:t>
      </w:r>
      <w:r>
        <w:rPr>
          <w:rFonts w:hint="eastAsia" w:ascii="CESI仿宋-GB2312" w:hAnsi="CESI仿宋-GB2312" w:eastAsia="CESI仿宋-GB2312" w:cs="CESI仿宋-GB2312"/>
          <w:b w:val="0"/>
          <w:bCs w:val="0"/>
          <w:spacing w:val="-8"/>
          <w:sz w:val="28"/>
          <w:szCs w:val="28"/>
          <w:lang w:val="en-US" w:eastAsia="zh-CN"/>
        </w:rPr>
        <w:t>20</w:t>
      </w:r>
      <w:r>
        <w:rPr>
          <w:rFonts w:hint="eastAsia" w:ascii="CESI仿宋-GB2312" w:hAnsi="CESI仿宋-GB2312" w:eastAsia="CESI仿宋-GB2312" w:cs="CESI仿宋-GB2312"/>
          <w:b w:val="0"/>
          <w:bCs w:val="0"/>
          <w:spacing w:val="-8"/>
          <w:sz w:val="28"/>
          <w:szCs w:val="28"/>
          <w:lang w:eastAsia="zh-CN"/>
        </w:rPr>
        <w:t>条，满分10分。</w:t>
      </w:r>
    </w:p>
    <w:p w14:paraId="4D7F2DF2">
      <w:pPr>
        <w:pStyle w:val="6"/>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firstLine="768" w:firstLineChars="300"/>
        <w:textAlignment w:val="auto"/>
        <w:rPr>
          <w:rFonts w:hint="eastAsia" w:ascii="仿宋_GB2312" w:hAnsi="仿宋" w:eastAsia="仿宋_GB2312" w:cs="仿宋"/>
          <w:sz w:val="32"/>
          <w:szCs w:val="32"/>
          <w:lang w:val="en-US" w:eastAsia="zh-CN"/>
        </w:rPr>
      </w:pPr>
      <w:r>
        <w:rPr>
          <w:rFonts w:hint="eastAsia" w:ascii="CESI仿宋-GB2312" w:hAnsi="CESI仿宋-GB2312" w:eastAsia="CESI仿宋-GB2312" w:cs="CESI仿宋-GB2312"/>
          <w:b w:val="0"/>
          <w:bCs w:val="0"/>
          <w:spacing w:val="-12"/>
          <w:sz w:val="28"/>
          <w:szCs w:val="28"/>
          <w:lang w:val="en-US" w:eastAsia="zh-CN"/>
        </w:rPr>
        <w:t>2.</w:t>
      </w:r>
      <w:r>
        <w:rPr>
          <w:rFonts w:hint="eastAsia" w:ascii="CESI仿宋-GB2312" w:hAnsi="CESI仿宋-GB2312" w:eastAsia="CESI仿宋-GB2312" w:cs="CESI仿宋-GB2312"/>
          <w:b w:val="0"/>
          <w:bCs w:val="0"/>
          <w:spacing w:val="-12"/>
          <w:sz w:val="28"/>
          <w:szCs w:val="28"/>
          <w:lang w:eastAsia="zh-CN"/>
        </w:rPr>
        <w:t>每一条目扣分所列分值为最高分值，按照相关条目实施质量、成效等内容，以</w:t>
      </w:r>
      <w:r>
        <w:rPr>
          <w:rFonts w:hint="eastAsia" w:ascii="CESI仿宋-GB2312" w:hAnsi="CESI仿宋-GB2312" w:eastAsia="CESI仿宋-GB2312" w:cs="CESI仿宋-GB2312"/>
          <w:b w:val="0"/>
          <w:bCs w:val="0"/>
          <w:spacing w:val="-9"/>
          <w:sz w:val="28"/>
          <w:szCs w:val="28"/>
          <w:lang w:eastAsia="zh-CN"/>
        </w:rPr>
        <w:t>分值0.</w:t>
      </w:r>
      <w:r>
        <w:rPr>
          <w:rFonts w:hint="eastAsia" w:ascii="CESI仿宋-GB2312" w:hAnsi="CESI仿宋-GB2312" w:eastAsia="CESI仿宋-GB2312" w:cs="CESI仿宋-GB2312"/>
          <w:b w:val="0"/>
          <w:bCs w:val="0"/>
          <w:spacing w:val="-9"/>
          <w:sz w:val="28"/>
          <w:szCs w:val="28"/>
          <w:lang w:val="en-US" w:eastAsia="zh-CN"/>
        </w:rPr>
        <w:t>05</w:t>
      </w:r>
      <w:r>
        <w:rPr>
          <w:rFonts w:hint="eastAsia" w:ascii="CESI仿宋-GB2312" w:hAnsi="CESI仿宋-GB2312" w:eastAsia="CESI仿宋-GB2312" w:cs="CESI仿宋-GB2312"/>
          <w:b w:val="0"/>
          <w:bCs w:val="0"/>
          <w:spacing w:val="-9"/>
          <w:sz w:val="28"/>
          <w:szCs w:val="28"/>
          <w:lang w:eastAsia="zh-CN"/>
        </w:rPr>
        <w:t>分为最小扣分档适当扣分。</w:t>
      </w:r>
    </w:p>
    <w:p w14:paraId="64C6B30D">
      <w:pPr>
        <w:pStyle w:val="7"/>
        <w:rPr>
          <w:rFonts w:hint="eastAsia" w:ascii="仿宋_GB2312" w:hAnsi="仿宋" w:eastAsia="仿宋_GB2312" w:cs="仿宋"/>
          <w:sz w:val="32"/>
          <w:szCs w:val="32"/>
          <w:lang w:val="en-US" w:eastAsia="zh-CN"/>
        </w:rPr>
      </w:pPr>
    </w:p>
    <w:p w14:paraId="637465E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textAlignment w:val="baseline"/>
        <w:rPr>
          <w:rFonts w:hint="eastAsia" w:ascii="方正黑体_GBK" w:hAnsi="方正黑体_GBK" w:eastAsia="方正黑体_GBK" w:cs="方正黑体_GBK"/>
          <w:color w:val="auto"/>
          <w:kern w:val="2"/>
          <w:sz w:val="32"/>
          <w:szCs w:val="32"/>
          <w:lang w:val="en-US" w:eastAsia="zh-CN" w:bidi="ar-SA"/>
        </w:rPr>
      </w:pPr>
    </w:p>
    <w:p w14:paraId="76C747D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textAlignment w:val="baseline"/>
        <w:rPr>
          <w:rFonts w:hint="eastAsia" w:ascii="方正黑体_GBK" w:hAnsi="方正黑体_GBK" w:eastAsia="方正黑体_GBK" w:cs="方正黑体_GBK"/>
          <w:color w:val="auto"/>
          <w:kern w:val="2"/>
          <w:sz w:val="32"/>
          <w:szCs w:val="32"/>
          <w:lang w:val="en-US" w:eastAsia="zh-CN" w:bidi="ar-SA"/>
        </w:rPr>
      </w:pPr>
    </w:p>
    <w:p w14:paraId="1F0309BE">
      <w:pPr>
        <w:pStyle w:val="2"/>
        <w:rPr>
          <w:rFonts w:hint="eastAsia" w:ascii="方正黑体_GBK" w:hAnsi="方正黑体_GBK" w:eastAsia="方正黑体_GBK" w:cs="方正黑体_GBK"/>
          <w:color w:val="auto"/>
          <w:kern w:val="2"/>
          <w:sz w:val="32"/>
          <w:szCs w:val="32"/>
          <w:lang w:val="en-US" w:eastAsia="zh-CN" w:bidi="ar-SA"/>
        </w:rPr>
      </w:pPr>
    </w:p>
    <w:p w14:paraId="7AAE8AC3">
      <w:pPr>
        <w:rPr>
          <w:rFonts w:hint="eastAsia"/>
          <w:lang w:val="en-US" w:eastAsia="zh-CN"/>
        </w:rPr>
      </w:pPr>
    </w:p>
    <w:p w14:paraId="02389B52">
      <w:pPr>
        <w:widowControl w:val="0"/>
        <w:spacing w:line="560" w:lineRule="exact"/>
        <w:jc w:val="left"/>
        <w:rPr>
          <w:rFonts w:hint="eastAsia" w:ascii="CESI黑体-GB2312" w:hAnsi="CESI黑体-GB2312" w:eastAsia="CESI黑体-GB2312"/>
          <w:sz w:val="32"/>
          <w:szCs w:val="24"/>
          <w:lang w:eastAsia="zh-CN"/>
        </w:rPr>
      </w:pPr>
    </w:p>
    <w:p w14:paraId="31A65B52">
      <w:pPr>
        <w:widowControl w:val="0"/>
        <w:spacing w:line="560" w:lineRule="exact"/>
        <w:jc w:val="left"/>
        <w:rPr>
          <w:rFonts w:hint="default" w:ascii="CESI黑体-GB2312" w:hAnsi="CESI黑体-GB2312" w:eastAsia="CESI黑体-GB2312"/>
          <w:sz w:val="32"/>
          <w:szCs w:val="24"/>
          <w:lang w:val="en-US" w:eastAsia="zh-CN"/>
        </w:rPr>
      </w:pPr>
      <w:r>
        <w:rPr>
          <w:rFonts w:hint="eastAsia" w:ascii="CESI黑体-GB2312" w:hAnsi="CESI黑体-GB2312" w:eastAsia="CESI黑体-GB2312"/>
          <w:sz w:val="32"/>
          <w:szCs w:val="24"/>
          <w:lang w:eastAsia="zh-CN"/>
        </w:rPr>
        <w:t>附件</w:t>
      </w:r>
      <w:r>
        <w:rPr>
          <w:rFonts w:hint="eastAsia" w:ascii="CESI黑体-GB2312" w:hAnsi="CESI黑体-GB2312" w:eastAsia="CESI黑体-GB2312"/>
          <w:sz w:val="32"/>
          <w:szCs w:val="24"/>
          <w:lang w:val="en-US" w:eastAsia="zh-CN"/>
        </w:rPr>
        <w:t>5</w:t>
      </w:r>
    </w:p>
    <w:p w14:paraId="4AA78010">
      <w:pPr>
        <w:pStyle w:val="11"/>
        <w:spacing w:beforeLines="0" w:afterLines="0" w:line="240" w:lineRule="auto"/>
        <w:jc w:val="center"/>
        <w:rPr>
          <w:rFonts w:hint="eastAsia" w:ascii="方正小标宋简体" w:hAnsi="方正小标宋简体" w:eastAsia="方正小标宋简体"/>
          <w:sz w:val="44"/>
          <w:szCs w:val="24"/>
        </w:rPr>
      </w:pPr>
      <w:r>
        <w:rPr>
          <w:rFonts w:hint="eastAsia" w:ascii="方正小标宋_GBK" w:hAnsi="方正小标宋_GBK" w:eastAsia="方正小标宋_GBK" w:cs="方正小标宋_GBK"/>
          <w:sz w:val="44"/>
          <w:szCs w:val="24"/>
        </w:rPr>
        <w:t>食品快速检测操作指南</w:t>
      </w:r>
    </w:p>
    <w:p w14:paraId="3627BDD1">
      <w:pPr>
        <w:pStyle w:val="11"/>
        <w:spacing w:beforeLines="0" w:afterLines="0" w:line="240" w:lineRule="auto"/>
        <w:ind w:firstLine="640" w:firstLineChars="200"/>
        <w:rPr>
          <w:rFonts w:hint="default" w:ascii="FangSong_GB2312" w:hAnsi="FangSong_GB2312" w:eastAsia="FangSong_GB2312"/>
          <w:sz w:val="32"/>
          <w:szCs w:val="24"/>
        </w:rPr>
      </w:pPr>
    </w:p>
    <w:p w14:paraId="0C7E92CA">
      <w:pPr>
        <w:pStyle w:val="11"/>
        <w:keepNext w:val="0"/>
        <w:keepLines w:val="0"/>
        <w:pageBreakBefore w:val="0"/>
        <w:widowControl w:val="0"/>
        <w:kinsoku/>
        <w:wordWrap/>
        <w:overflowPunct/>
        <w:topLinePunct w:val="0"/>
        <w:bidi w:val="0"/>
        <w:snapToGrid/>
        <w:spacing w:beforeLines="0" w:afterLines="0" w:line="560" w:lineRule="exact"/>
        <w:ind w:firstLine="640" w:firstLineChars="200"/>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第一条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为了规范食品快速检测（以下简称食品快检）操作，制定本指南。</w:t>
      </w:r>
    </w:p>
    <w:p w14:paraId="65DBABB8">
      <w:pPr>
        <w:pStyle w:val="15"/>
        <w:keepNext w:val="0"/>
        <w:keepLines w:val="0"/>
        <w:pageBreakBefore w:val="0"/>
        <w:widowControl w:val="0"/>
        <w:kinsoku/>
        <w:wordWrap/>
        <w:overflowPunct/>
        <w:topLinePunct w:val="0"/>
        <w:bidi w:val="0"/>
        <w:snapToGrid/>
        <w:spacing w:beforeLines="0" w:afterLines="0" w:line="560" w:lineRule="exact"/>
        <w:ind w:firstLine="63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第二条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开展食品快检，应依照有关法律、法规和标准等规定，建立相应的质量管理体系，制定人员培训、设施设备管理和操作规程等制度。</w:t>
      </w:r>
    </w:p>
    <w:p w14:paraId="550944CC">
      <w:pPr>
        <w:pStyle w:val="16"/>
        <w:keepNext w:val="0"/>
        <w:keepLines w:val="0"/>
        <w:pageBreakBefore w:val="0"/>
        <w:widowControl w:val="0"/>
        <w:kinsoku/>
        <w:wordWrap/>
        <w:overflowPunct/>
        <w:topLinePunct w:val="0"/>
        <w:bidi w:val="0"/>
        <w:snapToGrid/>
        <w:spacing w:beforeLines="0" w:afterLines="0" w:line="560" w:lineRule="exact"/>
        <w:ind w:right="155" w:firstLine="62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第三条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食品快检操作人员应熟悉相关法律法规、检测方法原理，掌握食品采样、操作规程、质量控制、实验安全等要求，经食品检验检测专业培训并考核合格后上岗。</w:t>
      </w:r>
    </w:p>
    <w:p w14:paraId="38D23262">
      <w:pPr>
        <w:pStyle w:val="16"/>
        <w:keepNext w:val="0"/>
        <w:keepLines w:val="0"/>
        <w:pageBreakBefore w:val="0"/>
        <w:widowControl w:val="0"/>
        <w:kinsoku/>
        <w:wordWrap/>
        <w:overflowPunct/>
        <w:topLinePunct w:val="0"/>
        <w:bidi w:val="0"/>
        <w:snapToGrid/>
        <w:spacing w:beforeLines="0" w:afterLines="0" w:line="560" w:lineRule="exact"/>
        <w:ind w:right="155" w:firstLine="62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第四条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食品快检操作人员和所在机构应尊重科学，恪守职业道德，出具的快检数据和结论真实、客观，不得出具虚假快检结果。出具虚假快检结果的，应按照有关法律法规规定进行处罚。</w:t>
      </w:r>
    </w:p>
    <w:p w14:paraId="158E5DDB">
      <w:pPr>
        <w:pStyle w:val="16"/>
        <w:keepNext w:val="0"/>
        <w:keepLines w:val="0"/>
        <w:pageBreakBefore w:val="0"/>
        <w:widowControl w:val="0"/>
        <w:kinsoku/>
        <w:wordWrap/>
        <w:overflowPunct/>
        <w:topLinePunct w:val="0"/>
        <w:bidi w:val="0"/>
        <w:snapToGrid/>
        <w:spacing w:beforeLines="0" w:afterLines="0" w:line="560" w:lineRule="exact"/>
        <w:ind w:right="155" w:firstLine="62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第五条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采样人员应详细记录被检测单位（或摊位）、样品类别、名称、数量、采样时间、采样人员等信息；应对样品编号登记和标注唯一性标识。采样人员和被检测单位（或摊位）食品生产</w:t>
      </w:r>
      <w:r>
        <w:rPr>
          <w:rFonts w:hint="eastAsia" w:ascii="FangSong_GB2312" w:hAnsi="FangSong_GB2312" w:eastAsia="FangSong_GB2312"/>
          <w:sz w:val="32"/>
          <w:szCs w:val="24"/>
          <w:lang w:eastAsia="zh-CN"/>
        </w:rPr>
        <w:t>入场销售者</w:t>
      </w:r>
      <w:r>
        <w:rPr>
          <w:rFonts w:hint="default" w:ascii="FangSong_GB2312" w:hAnsi="FangSong_GB2312" w:eastAsia="FangSong_GB2312"/>
          <w:sz w:val="32"/>
          <w:szCs w:val="24"/>
        </w:rPr>
        <w:t>需在样品信息单上签字或盖章确认。</w:t>
      </w:r>
    </w:p>
    <w:p w14:paraId="0D2CC5D9">
      <w:pPr>
        <w:pStyle w:val="16"/>
        <w:keepNext w:val="0"/>
        <w:keepLines w:val="0"/>
        <w:pageBreakBefore w:val="0"/>
        <w:widowControl w:val="0"/>
        <w:kinsoku/>
        <w:wordWrap/>
        <w:overflowPunct/>
        <w:topLinePunct w:val="0"/>
        <w:bidi w:val="0"/>
        <w:snapToGrid/>
        <w:spacing w:beforeLines="0" w:afterLines="0" w:line="560" w:lineRule="exact"/>
        <w:ind w:right="155" w:firstLine="62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第六条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食品快检样品在运输和贮存过程中，应避免样品污染、变质或混淆，不发生影响检测结论的变化。</w:t>
      </w:r>
    </w:p>
    <w:p w14:paraId="15C8322F">
      <w:pPr>
        <w:pStyle w:val="16"/>
        <w:keepNext w:val="0"/>
        <w:keepLines w:val="0"/>
        <w:pageBreakBefore w:val="0"/>
        <w:widowControl w:val="0"/>
        <w:kinsoku/>
        <w:wordWrap/>
        <w:overflowPunct/>
        <w:topLinePunct w:val="0"/>
        <w:bidi w:val="0"/>
        <w:snapToGrid/>
        <w:spacing w:beforeLines="0" w:afterLines="0" w:line="560" w:lineRule="exact"/>
        <w:ind w:right="155" w:firstLine="62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第七条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开展食品快检的环境应保持整齐清洁，检测过程应避免不同样品之间的交叉污染。</w:t>
      </w:r>
    </w:p>
    <w:p w14:paraId="3F5F0AC0">
      <w:pPr>
        <w:pStyle w:val="16"/>
        <w:keepNext w:val="0"/>
        <w:keepLines w:val="0"/>
        <w:pageBreakBefore w:val="0"/>
        <w:widowControl w:val="0"/>
        <w:kinsoku/>
        <w:wordWrap/>
        <w:overflowPunct/>
        <w:topLinePunct w:val="0"/>
        <w:bidi w:val="0"/>
        <w:snapToGrid/>
        <w:spacing w:beforeLines="0" w:afterLines="0" w:line="560" w:lineRule="exact"/>
        <w:ind w:right="155" w:firstLine="62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第八条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样品的取样部位、数量、制备方法和贮存条件应满足相关标准、技术规范等要求。</w:t>
      </w:r>
    </w:p>
    <w:p w14:paraId="622F53F0">
      <w:pPr>
        <w:pStyle w:val="15"/>
        <w:keepNext w:val="0"/>
        <w:keepLines w:val="0"/>
        <w:pageBreakBefore w:val="0"/>
        <w:widowControl w:val="0"/>
        <w:kinsoku/>
        <w:wordWrap/>
        <w:overflowPunct/>
        <w:topLinePunct w:val="0"/>
        <w:bidi w:val="0"/>
        <w:snapToGrid/>
        <w:spacing w:beforeLines="0" w:afterLines="0" w:line="560" w:lineRule="exact"/>
        <w:ind w:firstLine="63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第九条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食品快检应当严格按照食品快检方法或快检产品说明书要求规范操作，详细记录样品编号、类别、名称、检测项目、检测时间、检测人员、快检产品信息、检测结果、检测结论等内容。</w:t>
      </w:r>
    </w:p>
    <w:p w14:paraId="28CC7362">
      <w:pPr>
        <w:pStyle w:val="16"/>
        <w:keepNext w:val="0"/>
        <w:keepLines w:val="0"/>
        <w:pageBreakBefore w:val="0"/>
        <w:widowControl w:val="0"/>
        <w:kinsoku/>
        <w:wordWrap/>
        <w:overflowPunct/>
        <w:topLinePunct w:val="0"/>
        <w:bidi w:val="0"/>
        <w:snapToGrid/>
        <w:spacing w:beforeLines="0" w:afterLines="0" w:line="560" w:lineRule="exact"/>
        <w:ind w:right="155" w:firstLine="62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第十条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通过食品快检仪器生成的检测结果，应作为原始记录存档。对无法作为原始记录长期保存的检测结果，应通过拍照等电子化方式存档。</w:t>
      </w:r>
    </w:p>
    <w:p w14:paraId="2FCD511B">
      <w:pPr>
        <w:pStyle w:val="15"/>
        <w:keepNext w:val="0"/>
        <w:keepLines w:val="0"/>
        <w:pageBreakBefore w:val="0"/>
        <w:widowControl w:val="0"/>
        <w:kinsoku/>
        <w:wordWrap/>
        <w:overflowPunct/>
        <w:topLinePunct w:val="0"/>
        <w:bidi w:val="0"/>
        <w:snapToGrid/>
        <w:spacing w:beforeLines="0" w:afterLines="0" w:line="560" w:lineRule="exact"/>
        <w:ind w:firstLine="63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第十一条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食品快检操作人员和审核人员不得是同一人。</w:t>
      </w:r>
    </w:p>
    <w:p w14:paraId="5F61B7B5">
      <w:pPr>
        <w:pStyle w:val="16"/>
        <w:keepNext w:val="0"/>
        <w:keepLines w:val="0"/>
        <w:pageBreakBefore w:val="0"/>
        <w:widowControl w:val="0"/>
        <w:kinsoku/>
        <w:wordWrap/>
        <w:overflowPunct/>
        <w:topLinePunct w:val="0"/>
        <w:bidi w:val="0"/>
        <w:snapToGrid/>
        <w:spacing w:beforeLines="0" w:afterLines="0" w:line="560" w:lineRule="exact"/>
        <w:ind w:right="155" w:firstLine="62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第十二条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食品快检产品应按使用要求开展质量控制试验。标准物质、质控样品应按规定条件储存，并确保在有效期内使用。</w:t>
      </w:r>
    </w:p>
    <w:p w14:paraId="5C15138F">
      <w:pPr>
        <w:pStyle w:val="16"/>
        <w:keepNext w:val="0"/>
        <w:keepLines w:val="0"/>
        <w:pageBreakBefore w:val="0"/>
        <w:widowControl w:val="0"/>
        <w:kinsoku/>
        <w:wordWrap/>
        <w:overflowPunct/>
        <w:topLinePunct w:val="0"/>
        <w:bidi w:val="0"/>
        <w:snapToGrid/>
        <w:spacing w:beforeLines="0" w:afterLines="0" w:line="560" w:lineRule="exact"/>
        <w:ind w:right="155" w:firstLine="62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第十三条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市场监管部门组织或委托的抽查检测，样品检测结果为不符合食品安全标准的，检测机构应及时报送属地市场监管部门。</w:t>
      </w:r>
    </w:p>
    <w:p w14:paraId="149D2D48">
      <w:pPr>
        <w:pStyle w:val="15"/>
        <w:keepNext w:val="0"/>
        <w:keepLines w:val="0"/>
        <w:pageBreakBefore w:val="0"/>
        <w:widowControl w:val="0"/>
        <w:kinsoku/>
        <w:wordWrap/>
        <w:overflowPunct/>
        <w:topLinePunct w:val="0"/>
        <w:bidi w:val="0"/>
        <w:snapToGrid/>
        <w:spacing w:beforeLines="0" w:afterLines="0" w:line="560" w:lineRule="exact"/>
        <w:ind w:firstLine="635"/>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第十四条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不合格样品应依法依规采取风险管控措施。</w:t>
      </w:r>
    </w:p>
    <w:p w14:paraId="3E149A5D">
      <w:pPr>
        <w:pStyle w:val="14"/>
        <w:keepNext w:val="0"/>
        <w:keepLines w:val="0"/>
        <w:pageBreakBefore w:val="0"/>
        <w:widowControl w:val="0"/>
        <w:kinsoku/>
        <w:wordWrap/>
        <w:overflowPunct/>
        <w:topLinePunct w:val="0"/>
        <w:bidi w:val="0"/>
        <w:snapToGrid/>
        <w:spacing w:beforeLines="0" w:afterLines="0" w:line="560" w:lineRule="exact"/>
        <w:ind w:firstLine="640" w:firstLineChars="200"/>
        <w:jc w:val="both"/>
        <w:textAlignment w:val="auto"/>
        <w:rPr>
          <w:rFonts w:hint="default" w:ascii="FangSong_GB2312" w:hAnsi="FangSong_GB2312" w:eastAsia="FangSong_GB2312"/>
          <w:sz w:val="32"/>
          <w:szCs w:val="24"/>
        </w:rPr>
      </w:pPr>
      <w:r>
        <w:rPr>
          <w:rFonts w:hint="default" w:ascii="FangSong_GB2312" w:hAnsi="FangSong_GB2312" w:eastAsia="FangSong_GB2312"/>
          <w:sz w:val="32"/>
          <w:szCs w:val="24"/>
        </w:rPr>
        <w:t>第十五条</w:t>
      </w:r>
      <w:r>
        <w:rPr>
          <w:rFonts w:hint="eastAsia" w:ascii="FangSong_GB2312" w:hAnsi="FangSong_GB2312" w:eastAsia="FangSong_GB2312"/>
          <w:sz w:val="32"/>
          <w:szCs w:val="24"/>
          <w:lang w:val="en-US" w:eastAsia="zh-CN"/>
        </w:rPr>
        <w:t xml:space="preserve"> </w:t>
      </w:r>
      <w:r>
        <w:rPr>
          <w:rFonts w:hint="default" w:ascii="FangSong_GB2312" w:hAnsi="FangSong_GB2312" w:eastAsia="FangSong_GB2312"/>
          <w:sz w:val="32"/>
          <w:szCs w:val="24"/>
        </w:rPr>
        <w:t>被抽查人对食用农产品抽查检测结果有异议时，可以自收到检测结果时起四小时内申请复检。复检不得采用快检方法。复检为不合格产品的，组织方应及时通报属地市场监管部门。</w:t>
      </w:r>
    </w:p>
    <w:p w14:paraId="30BBFD8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textAlignment w:val="baseline"/>
        <w:rPr>
          <w:rFonts w:hint="eastAsia" w:ascii="方正黑体_GBK" w:hAnsi="方正黑体_GBK" w:eastAsia="方正黑体_GBK" w:cs="方正黑体_GBK"/>
          <w:color w:val="auto"/>
          <w:kern w:val="2"/>
          <w:sz w:val="32"/>
          <w:szCs w:val="32"/>
          <w:lang w:val="en-US" w:eastAsia="zh-CN" w:bidi="ar-SA"/>
        </w:rPr>
      </w:pPr>
    </w:p>
    <w:p w14:paraId="58D93CD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textAlignment w:val="baseline"/>
        <w:rPr>
          <w:rFonts w:hint="eastAsia" w:ascii="方正黑体_GBK" w:hAnsi="方正黑体_GBK" w:eastAsia="方正黑体_GBK" w:cs="方正黑体_GBK"/>
          <w:color w:val="auto"/>
          <w:kern w:val="2"/>
          <w:sz w:val="32"/>
          <w:szCs w:val="32"/>
          <w:lang w:val="en-US" w:eastAsia="zh-CN" w:bidi="ar-SA"/>
        </w:rPr>
      </w:pPr>
    </w:p>
    <w:p w14:paraId="27306896">
      <w:bookmarkStart w:id="9" w:name="_GoBack"/>
      <w:bookmarkEnd w:id="9"/>
    </w:p>
    <w:sectPr>
      <w:footerReference r:id="rId3" w:type="default"/>
      <w:pgSz w:w="11850" w:h="16838"/>
      <w:pgMar w:top="2098" w:right="1474" w:bottom="1757" w:left="1587"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DaBiaoSong-B06S">
    <w:altName w:val="微软雅黑"/>
    <w:panose1 w:val="00000000000000000000"/>
    <w:charset w:val="00"/>
    <w:family w:val="swiss"/>
    <w:pitch w:val="default"/>
    <w:sig w:usb0="00000000" w:usb1="00000000" w:usb2="00000000"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CESI宋体-GB13000">
    <w:altName w:val="宋体"/>
    <w:panose1 w:val="02000500000000000000"/>
    <w:charset w:val="86"/>
    <w:family w:val="auto"/>
    <w:pitch w:val="default"/>
    <w:sig w:usb0="00000000" w:usb1="00000000" w:usb2="00000016" w:usb3="00000000" w:csb0="0004000F" w:csb1="00000000"/>
  </w:font>
  <w:font w:name="CESI仿宋-GB2312">
    <w:altName w:val="仿宋"/>
    <w:panose1 w:val="02000500000000000000"/>
    <w:charset w:val="86"/>
    <w:family w:val="auto"/>
    <w:pitch w:val="default"/>
    <w:sig w:usb0="00000000" w:usb1="00000000" w:usb2="00000010" w:usb3="00000000" w:csb0="0004000F" w:csb1="00000000"/>
  </w:font>
  <w:font w:name="FangSong_GB2312">
    <w:altName w:val="仿宋"/>
    <w:panose1 w:val="02010609030101010101"/>
    <w:charset w:val="86"/>
    <w:family w:val="swiss"/>
    <w:pitch w:val="default"/>
    <w:sig w:usb0="00000000" w:usb1="00000000" w:usb2="00000000" w:usb3="00000000" w:csb0="00040000" w:csb1="00000000"/>
  </w:font>
  <w:font w:name="方正小标宋简体">
    <w:panose1 w:val="03000509000000000000"/>
    <w:charset w:val="86"/>
    <w:family w:val="swiss"/>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方正楷体_GBK">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CA7B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D63ACC">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43D63AC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07113C"/>
    <w:rsid w:val="73071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style>
  <w:style w:type="paragraph" w:styleId="3">
    <w:name w:val="Normal Indent"/>
    <w:basedOn w:val="1"/>
    <w:next w:val="1"/>
    <w:unhideWhenUsed/>
    <w:qFormat/>
    <w:uiPriority w:val="0"/>
    <w:pPr>
      <w:ind w:firstLine="420" w:firstLineChars="200"/>
    </w:pPr>
    <w:rPr>
      <w:rFonts w:hint="default"/>
      <w:sz w:val="21"/>
      <w:szCs w:val="24"/>
    </w:rPr>
  </w:style>
  <w:style w:type="paragraph" w:styleId="4">
    <w:name w:val="Body Text Indent"/>
    <w:basedOn w:val="1"/>
    <w:next w:val="3"/>
    <w:unhideWhenUsed/>
    <w:qFormat/>
    <w:uiPriority w:val="0"/>
    <w:pPr>
      <w:spacing w:line="540" w:lineRule="exact"/>
      <w:ind w:firstLine="480" w:firstLineChars="200"/>
    </w:pPr>
    <w:rPr>
      <w:rFonts w:hint="default" w:ascii="Calibri" w:hAnsi="Calibri"/>
      <w:sz w:val="24"/>
      <w:szCs w:val="24"/>
    </w:rPr>
  </w:style>
  <w:style w:type="paragraph" w:styleId="5">
    <w:name w:val="footer"/>
    <w:basedOn w:val="1"/>
    <w:uiPriority w:val="0"/>
    <w:pPr>
      <w:tabs>
        <w:tab w:val="center" w:pos="4153"/>
        <w:tab w:val="right" w:pos="8306"/>
      </w:tabs>
      <w:snapToGrid w:val="0"/>
      <w:jc w:val="left"/>
    </w:pPr>
    <w:rPr>
      <w:sz w:val="18"/>
    </w:rPr>
  </w:style>
  <w:style w:type="paragraph" w:styleId="6">
    <w:name w:val="Body Text 2"/>
    <w:basedOn w:val="1"/>
    <w:unhideWhenUsed/>
    <w:qFormat/>
    <w:uiPriority w:val="99"/>
    <w:pPr>
      <w:spacing w:after="120" w:line="480" w:lineRule="auto"/>
    </w:pPr>
  </w:style>
  <w:style w:type="paragraph" w:styleId="7">
    <w:name w:val="Body Text First Indent 2"/>
    <w:basedOn w:val="4"/>
    <w:unhideWhenUsed/>
    <w:qFormat/>
    <w:uiPriority w:val="0"/>
    <w:pPr>
      <w:spacing w:after="120" w:line="240" w:lineRule="auto"/>
      <w:ind w:left="420" w:leftChars="200" w:firstLine="420"/>
    </w:pPr>
    <w:rPr>
      <w:rFonts w:hint="default" w:ascii="Times New Roman" w:hAnsi="Times New Roman"/>
      <w:sz w:val="21"/>
      <w:szCs w:val="24"/>
    </w:rPr>
  </w:style>
  <w:style w:type="paragraph" w:customStyle="1" w:styleId="10">
    <w:name w:val="Default"/>
    <w:unhideWhenUsed/>
    <w:qFormat/>
    <w:uiPriority w:val="99"/>
    <w:pPr>
      <w:widowControl w:val="0"/>
      <w:autoSpaceDE w:val="0"/>
      <w:autoSpaceDN w:val="0"/>
      <w:adjustRightInd w:val="0"/>
      <w:spacing w:beforeLines="0" w:afterLines="0"/>
    </w:pPr>
    <w:rPr>
      <w:rFonts w:hint="default" w:ascii="FZDaBiaoSong-B06S" w:hAnsi="FZDaBiaoSong-B06S" w:eastAsia="FZDaBiaoSong-B06S" w:cs="Times New Roman"/>
      <w:color w:val="000000"/>
      <w:sz w:val="24"/>
      <w:szCs w:val="24"/>
    </w:rPr>
  </w:style>
  <w:style w:type="paragraph" w:customStyle="1" w:styleId="11">
    <w:name w:val="CM4"/>
    <w:basedOn w:val="10"/>
    <w:next w:val="10"/>
    <w:unhideWhenUsed/>
    <w:qFormat/>
    <w:uiPriority w:val="99"/>
    <w:pPr>
      <w:spacing w:beforeLines="0" w:afterLines="0" w:line="560" w:lineRule="atLeast"/>
    </w:pPr>
    <w:rPr>
      <w:rFonts w:hint="default"/>
      <w:sz w:val="24"/>
      <w:szCs w:val="24"/>
    </w:rPr>
  </w:style>
  <w:style w:type="table" w:customStyle="1" w:styleId="12">
    <w:name w:val="Table Normal"/>
    <w:unhideWhenUsed/>
    <w:qFormat/>
    <w:uiPriority w:val="0"/>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13">
    <w:name w:val="Table Text"/>
    <w:basedOn w:val="1"/>
    <w:unhideWhenUsed/>
    <w:qFormat/>
    <w:uiPriority w:val="0"/>
    <w:rPr>
      <w:rFonts w:hint="eastAsia" w:ascii="宋体" w:hAnsi="宋体" w:eastAsia="宋体"/>
      <w:sz w:val="18"/>
      <w:szCs w:val="24"/>
    </w:rPr>
  </w:style>
  <w:style w:type="paragraph" w:customStyle="1" w:styleId="14">
    <w:name w:val="CM3"/>
    <w:basedOn w:val="10"/>
    <w:next w:val="10"/>
    <w:unhideWhenUsed/>
    <w:qFormat/>
    <w:uiPriority w:val="99"/>
    <w:pPr>
      <w:spacing w:beforeLines="0" w:afterLines="0" w:line="560" w:lineRule="atLeast"/>
    </w:pPr>
    <w:rPr>
      <w:rFonts w:hint="default"/>
      <w:sz w:val="24"/>
      <w:szCs w:val="24"/>
    </w:rPr>
  </w:style>
  <w:style w:type="paragraph" w:customStyle="1" w:styleId="15">
    <w:name w:val="CM2"/>
    <w:basedOn w:val="10"/>
    <w:next w:val="10"/>
    <w:unhideWhenUsed/>
    <w:qFormat/>
    <w:uiPriority w:val="99"/>
    <w:pPr>
      <w:spacing w:beforeLines="0" w:afterLines="0" w:line="560" w:lineRule="atLeast"/>
    </w:pPr>
    <w:rPr>
      <w:rFonts w:hint="default"/>
      <w:sz w:val="24"/>
      <w:szCs w:val="24"/>
    </w:rPr>
  </w:style>
  <w:style w:type="paragraph" w:customStyle="1" w:styleId="16">
    <w:name w:val="CM5"/>
    <w:basedOn w:val="10"/>
    <w:next w:val="10"/>
    <w:unhideWhenUsed/>
    <w:qFormat/>
    <w:uiPriority w:val="99"/>
    <w:pPr>
      <w:spacing w:beforeLines="0" w:afterLines="0" w:line="560" w:lineRule="atLeast"/>
    </w:pPr>
    <w:rPr>
      <w:rFonts w:hint="default"/>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2</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2025-04-02T03:08:00Z</dcterms:created>
  <dc:creator>（＾Ｏ＾☆♪晶晶 </dc:creator>
  <cp:lastModifiedBy>（＾Ｏ＾☆♪晶晶 </cp:lastModifiedBy>
  <dcterms:modified xsi:type="dcterms:W3CDTF">2025-04-02T03:11:05Z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09EAA8C3F581479F8F5169699AE7EDBF_11</vt:lpwstr>
  </property>
  <property fmtid="{D5CDD505-2E9C-101B-9397-08002B2CF9AE}" pid="4" name="KSOTemplateDocerSaveRecord">
    <vt:lpwstr>eyJoZGlkIjoiNjJmOGQ3OGI3MjVlZWUwZDIwNGNlNjY3NTNlZWEyOWMiLCJ1c2VySWQiOiIzMTkyNjYzMzMifQ==</vt:lpwstr>
  </property>
</Properties>
</file>