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华文中宋" w:hAnsi="华文中宋" w:eastAsia="华文中宋" w:cs="华文中宋"/>
          <w:b/>
          <w:color w:val="auto"/>
          <w:sz w:val="48"/>
          <w:szCs w:val="48"/>
          <w:shd w:val="clear" w:color="auto" w:fill="FFFFFF"/>
        </w:rPr>
      </w:pPr>
    </w:p>
    <w:p>
      <w:pPr>
        <w:spacing w:line="600" w:lineRule="exact"/>
        <w:jc w:val="center"/>
        <w:rPr>
          <w:rFonts w:ascii="华文中宋" w:hAnsi="华文中宋" w:eastAsia="华文中宋" w:cs="华文中宋"/>
          <w:b/>
          <w:color w:val="auto"/>
          <w:sz w:val="48"/>
          <w:szCs w:val="48"/>
          <w:shd w:val="clear" w:color="auto" w:fill="FFFFFF"/>
        </w:rPr>
      </w:pPr>
      <w:r>
        <w:rPr>
          <w:rFonts w:hint="eastAsia" w:ascii="华文中宋" w:hAnsi="华文中宋" w:eastAsia="华文中宋" w:cs="华文中宋"/>
          <w:b/>
          <w:color w:val="auto"/>
          <w:sz w:val="48"/>
          <w:szCs w:val="48"/>
          <w:shd w:val="clear" w:color="auto" w:fill="FFFFFF"/>
        </w:rPr>
        <w:t>江西省茶产业发展条例（</w:t>
      </w:r>
      <w:r>
        <w:rPr>
          <w:rFonts w:hint="eastAsia" w:ascii="华文中宋" w:hAnsi="华文中宋" w:eastAsia="华文中宋" w:cs="华文中宋"/>
          <w:b/>
          <w:color w:val="auto"/>
          <w:sz w:val="48"/>
          <w:szCs w:val="48"/>
          <w:shd w:val="clear" w:color="auto" w:fill="FFFFFF"/>
          <w:lang w:eastAsia="zh-CN"/>
        </w:rPr>
        <w:t>征求意见</w:t>
      </w:r>
      <w:bookmarkStart w:id="0" w:name="_GoBack"/>
      <w:bookmarkEnd w:id="0"/>
      <w:r>
        <w:rPr>
          <w:rFonts w:hint="eastAsia" w:ascii="华文中宋" w:hAnsi="华文中宋" w:eastAsia="华文中宋" w:cs="华文中宋"/>
          <w:b/>
          <w:color w:val="auto"/>
          <w:sz w:val="48"/>
          <w:szCs w:val="48"/>
          <w:shd w:val="clear" w:color="auto" w:fill="FFFFFF"/>
        </w:rPr>
        <w:t>稿）</w:t>
      </w:r>
    </w:p>
    <w:p>
      <w:pPr>
        <w:spacing w:line="600" w:lineRule="exact"/>
        <w:ind w:firstLine="720" w:firstLineChars="200"/>
        <w:rPr>
          <w:rFonts w:ascii="仿宋_GB2312" w:hAnsi="仿宋_GB2312" w:eastAsia="仿宋_GB2312" w:cs="仿宋_GB2312"/>
          <w:color w:val="auto"/>
          <w:sz w:val="36"/>
          <w:szCs w:val="36"/>
        </w:rPr>
      </w:pPr>
    </w:p>
    <w:p>
      <w:pPr>
        <w:spacing w:line="600" w:lineRule="exact"/>
        <w:ind w:firstLine="720" w:firstLineChars="200"/>
        <w:rPr>
          <w:rFonts w:ascii="仿宋_GB2312" w:hAnsi="仿宋_GB2312" w:eastAsia="仿宋_GB2312" w:cs="仿宋_GB2312"/>
          <w:color w:val="auto"/>
          <w:sz w:val="36"/>
          <w:szCs w:val="36"/>
        </w:rPr>
      </w:pPr>
      <w:r>
        <w:rPr>
          <w:rFonts w:hint="eastAsia" w:ascii="黑体" w:hAnsi="黑体" w:eastAsia="黑体" w:cs="黑体"/>
          <w:color w:val="auto"/>
          <w:sz w:val="36"/>
          <w:szCs w:val="36"/>
        </w:rPr>
        <w:t>第一条【立法依据】</w:t>
      </w:r>
      <w:r>
        <w:rPr>
          <w:rFonts w:hint="eastAsia" w:ascii="仿宋_GB2312" w:hAnsi="仿宋_GB2312" w:eastAsia="仿宋_GB2312" w:cs="仿宋_GB2312"/>
          <w:color w:val="auto"/>
          <w:sz w:val="36"/>
          <w:szCs w:val="36"/>
        </w:rPr>
        <w:t>为践行茶文化、茶产业、茶科技统筹发展理念，促进茶产业</w:t>
      </w:r>
      <w:r>
        <w:rPr>
          <w:rFonts w:hint="eastAsia" w:ascii="仿宋_GB2312" w:hAnsi="仿宋_GB2312" w:eastAsia="仿宋_GB2312" w:cs="仿宋_GB2312"/>
          <w:color w:val="auto"/>
          <w:sz w:val="36"/>
          <w:szCs w:val="36"/>
          <w:lang w:eastAsia="zh-CN"/>
        </w:rPr>
        <w:t>高质量发展</w:t>
      </w:r>
      <w:r>
        <w:rPr>
          <w:rFonts w:hint="eastAsia" w:ascii="仿宋_GB2312" w:hAnsi="仿宋_GB2312" w:eastAsia="仿宋_GB2312" w:cs="仿宋_GB2312"/>
          <w:color w:val="auto"/>
          <w:sz w:val="36"/>
          <w:szCs w:val="36"/>
        </w:rPr>
        <w:t>，打造有机茶强省。根据国家有关法律法规，结合本省实际，制定本条例。</w:t>
      </w:r>
    </w:p>
    <w:p>
      <w:pPr>
        <w:spacing w:line="600" w:lineRule="exact"/>
        <w:ind w:firstLine="720" w:firstLineChars="200"/>
        <w:rPr>
          <w:rFonts w:ascii="仿宋_GB2312" w:hAnsi="仿宋_GB2312" w:eastAsia="仿宋_GB2312" w:cs="仿宋_GB2312"/>
          <w:color w:val="auto"/>
          <w:sz w:val="36"/>
          <w:szCs w:val="36"/>
        </w:rPr>
      </w:pPr>
      <w:r>
        <w:rPr>
          <w:rFonts w:hint="eastAsia" w:ascii="黑体" w:hAnsi="黑体" w:eastAsia="黑体" w:cs="黑体"/>
          <w:color w:val="auto"/>
          <w:sz w:val="36"/>
          <w:szCs w:val="36"/>
        </w:rPr>
        <w:t>第二条【适用范围】</w:t>
      </w:r>
      <w:r>
        <w:rPr>
          <w:rFonts w:hint="eastAsia" w:ascii="仿宋_GB2312" w:hAnsi="仿宋_GB2312" w:eastAsia="仿宋_GB2312" w:cs="仿宋_GB2312"/>
          <w:color w:val="auto"/>
          <w:sz w:val="36"/>
          <w:szCs w:val="36"/>
        </w:rPr>
        <w:t>本条例适用于本省行政区域内从事茶产业相关的活动。</w:t>
      </w:r>
    </w:p>
    <w:p>
      <w:pPr>
        <w:spacing w:line="600" w:lineRule="exact"/>
        <w:ind w:firstLine="720" w:firstLineChars="200"/>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本条例所指茶产业包括茶树品种培育、茶叶种植、加工、经营、品牌建设以及为其提供的相关服务。</w:t>
      </w:r>
    </w:p>
    <w:p>
      <w:pPr>
        <w:spacing w:line="600" w:lineRule="exact"/>
        <w:ind w:firstLine="720" w:firstLineChars="200"/>
        <w:rPr>
          <w:rFonts w:ascii="仿宋_GB2312" w:hAnsi="仿宋_GB2312" w:eastAsia="仿宋_GB2312" w:cs="仿宋_GB2312"/>
          <w:color w:val="auto"/>
          <w:sz w:val="36"/>
          <w:szCs w:val="36"/>
        </w:rPr>
      </w:pPr>
      <w:r>
        <w:rPr>
          <w:rFonts w:hint="eastAsia" w:ascii="黑体" w:hAnsi="黑体" w:eastAsia="黑体" w:cs="黑体"/>
          <w:color w:val="auto"/>
          <w:sz w:val="36"/>
          <w:szCs w:val="36"/>
        </w:rPr>
        <w:t>第三条【政府职责】</w:t>
      </w:r>
      <w:r>
        <w:rPr>
          <w:rFonts w:hint="eastAsia" w:ascii="仿宋_GB2312" w:hAnsi="仿宋_GB2312" w:eastAsia="仿宋_GB2312" w:cs="仿宋_GB2312"/>
          <w:color w:val="auto"/>
          <w:sz w:val="36"/>
          <w:szCs w:val="36"/>
        </w:rPr>
        <w:t>省人民政府和茶叶主产区县级以上人民政府应当制定本行政区域茶产业发展规划，将其纳入国民经济和社会发展规划并组织实施。建立健全省级茶产业高质量发展协调机制。</w:t>
      </w:r>
    </w:p>
    <w:p>
      <w:pPr>
        <w:spacing w:line="600" w:lineRule="exact"/>
        <w:ind w:firstLine="720" w:firstLineChars="200"/>
        <w:rPr>
          <w:rFonts w:ascii="黑体" w:hAnsi="黑体" w:eastAsia="仿宋_GB2312" w:cs="黑体"/>
          <w:color w:val="auto"/>
          <w:sz w:val="36"/>
          <w:szCs w:val="36"/>
          <w:highlight w:val="none"/>
        </w:rPr>
      </w:pPr>
      <w:r>
        <w:rPr>
          <w:rFonts w:hint="eastAsia" w:ascii="仿宋_GB2312" w:hAnsi="仿宋_GB2312" w:eastAsia="仿宋_GB2312" w:cs="仿宋_GB2312"/>
          <w:color w:val="auto"/>
          <w:sz w:val="36"/>
          <w:szCs w:val="36"/>
        </w:rPr>
        <w:t>茶叶主产区县级以上人民政府应当强化工作保障，健全工作机制，完善政策体系，将茶产业发展经费列入财政预算，统筹相关财政资金，支持茶产业发展</w:t>
      </w:r>
      <w:r>
        <w:rPr>
          <w:rFonts w:hint="eastAsia" w:ascii="仿宋_GB2312" w:hAnsi="仿宋_GB2312" w:eastAsia="仿宋_GB2312" w:cs="仿宋_GB2312"/>
          <w:color w:val="auto"/>
          <w:sz w:val="36"/>
          <w:szCs w:val="36"/>
          <w:lang w:eastAsia="zh-CN"/>
        </w:rPr>
        <w:t>；</w:t>
      </w:r>
      <w:r>
        <w:rPr>
          <w:rFonts w:hint="eastAsia" w:ascii="仿宋_GB2312" w:hAnsi="仿宋_GB2312" w:eastAsia="仿宋_GB2312" w:cs="仿宋_GB2312"/>
          <w:color w:val="auto"/>
          <w:sz w:val="36"/>
          <w:szCs w:val="36"/>
          <w:highlight w:val="none"/>
        </w:rPr>
        <w:t>对在促进茶产业发展工作中做出突出贡献的单位和个人，应当给予表彰和奖励。</w:t>
      </w:r>
    </w:p>
    <w:p>
      <w:pPr>
        <w:spacing w:line="600" w:lineRule="exact"/>
        <w:ind w:firstLine="720" w:firstLineChars="200"/>
        <w:rPr>
          <w:rFonts w:ascii="仿宋_GB2312" w:hAnsi="仿宋_GB2312" w:eastAsia="仿宋_GB2312" w:cs="仿宋_GB2312"/>
          <w:color w:val="auto"/>
          <w:sz w:val="36"/>
          <w:szCs w:val="36"/>
        </w:rPr>
      </w:pPr>
      <w:r>
        <w:rPr>
          <w:rFonts w:hint="eastAsia" w:ascii="黑体" w:hAnsi="黑体" w:eastAsia="黑体" w:cs="黑体"/>
          <w:color w:val="auto"/>
          <w:sz w:val="36"/>
          <w:szCs w:val="36"/>
        </w:rPr>
        <w:t>第四条【部门职责】</w:t>
      </w:r>
      <w:r>
        <w:rPr>
          <w:rFonts w:hint="eastAsia" w:ascii="仿宋_GB2312" w:hAnsi="仿宋_GB2312" w:eastAsia="仿宋_GB2312" w:cs="仿宋_GB2312"/>
          <w:color w:val="auto"/>
          <w:sz w:val="36"/>
          <w:szCs w:val="36"/>
        </w:rPr>
        <w:t>县级以上人民政府农业农村主管部门负责本行政区域茶产业发展的统筹协调、支持引导、监督管理等工作，加强茶树种苗的检验检疫监督管理。</w:t>
      </w:r>
    </w:p>
    <w:p>
      <w:pPr>
        <w:spacing w:line="600" w:lineRule="exact"/>
        <w:ind w:firstLine="720" w:firstLineChars="200"/>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县级以上人民政府市场</w:t>
      </w:r>
      <w:r>
        <w:rPr>
          <w:rFonts w:hint="eastAsia" w:ascii="仿宋_GB2312" w:hAnsi="仿宋_GB2312" w:eastAsia="仿宋_GB2312" w:cs="仿宋_GB2312"/>
          <w:color w:val="auto"/>
          <w:sz w:val="36"/>
          <w:szCs w:val="36"/>
          <w:lang w:eastAsia="zh-CN"/>
        </w:rPr>
        <w:t>监督管理主管</w:t>
      </w:r>
      <w:r>
        <w:rPr>
          <w:rFonts w:hint="eastAsia" w:ascii="仿宋_GB2312" w:hAnsi="仿宋_GB2312" w:eastAsia="仿宋_GB2312" w:cs="仿宋_GB2312"/>
          <w:color w:val="auto"/>
          <w:sz w:val="36"/>
          <w:szCs w:val="36"/>
        </w:rPr>
        <w:t>部门</w:t>
      </w:r>
      <w:r>
        <w:rPr>
          <w:rFonts w:hint="eastAsia" w:ascii="仿宋_GB2312" w:hAnsi="仿宋_GB2312" w:eastAsia="仿宋_GB2312" w:cs="仿宋_GB2312"/>
          <w:color w:val="auto"/>
          <w:sz w:val="36"/>
          <w:szCs w:val="36"/>
          <w:lang w:val="en-US" w:eastAsia="zh-CN"/>
        </w:rPr>
        <w:t>负责</w:t>
      </w:r>
      <w:r>
        <w:rPr>
          <w:rFonts w:hint="eastAsia" w:ascii="仿宋_GB2312" w:hAnsi="仿宋_GB2312" w:eastAsia="仿宋_GB2312" w:cs="仿宋_GB2312"/>
          <w:color w:val="auto"/>
          <w:sz w:val="36"/>
          <w:szCs w:val="36"/>
        </w:rPr>
        <w:t>茶叶产品质量安全监管、商标专利</w:t>
      </w:r>
      <w:r>
        <w:rPr>
          <w:rFonts w:hint="eastAsia" w:ascii="仿宋_GB2312" w:hAnsi="仿宋_GB2312" w:eastAsia="仿宋_GB2312" w:cs="仿宋_GB2312"/>
          <w:color w:val="auto"/>
          <w:sz w:val="36"/>
          <w:szCs w:val="36"/>
          <w:lang w:eastAsia="zh-CN"/>
        </w:rPr>
        <w:t>和地理标志</w:t>
      </w:r>
      <w:r>
        <w:rPr>
          <w:rFonts w:hint="eastAsia" w:ascii="仿宋_GB2312" w:hAnsi="仿宋_GB2312" w:eastAsia="仿宋_GB2312" w:cs="仿宋_GB2312"/>
          <w:color w:val="auto"/>
          <w:sz w:val="36"/>
          <w:szCs w:val="36"/>
        </w:rPr>
        <w:t>保护，指导相关部门制修订茶叶相关地方标准等工作。</w:t>
      </w:r>
    </w:p>
    <w:p>
      <w:pPr>
        <w:spacing w:line="600" w:lineRule="exact"/>
        <w:ind w:firstLine="720" w:firstLineChars="200"/>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县级以上人民政府发展改革、财政、人力资源社会保障、教育、自然资源、工业信息化、生态环境、科技、商务、文化旅游、林业、气象、供销等有关部门按照各自职责，做好茶产业发展的相关工作。海关应当指导茶叶经营主体做好茶叶</w:t>
      </w:r>
      <w:r>
        <w:rPr>
          <w:rFonts w:hint="eastAsia" w:ascii="仿宋_GB2312" w:hAnsi="仿宋_GB2312" w:eastAsia="仿宋_GB2312" w:cs="仿宋_GB2312"/>
          <w:color w:val="auto"/>
          <w:sz w:val="36"/>
          <w:szCs w:val="36"/>
          <w:lang w:eastAsia="zh-CN"/>
        </w:rPr>
        <w:t>进</w:t>
      </w:r>
      <w:r>
        <w:rPr>
          <w:rFonts w:hint="eastAsia" w:ascii="仿宋_GB2312" w:hAnsi="仿宋_GB2312" w:eastAsia="仿宋_GB2312" w:cs="仿宋_GB2312"/>
          <w:color w:val="auto"/>
          <w:sz w:val="36"/>
          <w:szCs w:val="36"/>
        </w:rPr>
        <w:t>出口等工作。</w:t>
      </w:r>
    </w:p>
    <w:p>
      <w:pPr>
        <w:spacing w:line="600" w:lineRule="exact"/>
        <w:ind w:firstLine="720" w:firstLineChars="200"/>
        <w:rPr>
          <w:rFonts w:ascii="仿宋_GB2312" w:hAnsi="仿宋_GB2312" w:eastAsia="仿宋_GB2312" w:cs="仿宋_GB2312"/>
          <w:color w:val="auto"/>
          <w:sz w:val="36"/>
          <w:szCs w:val="36"/>
        </w:rPr>
      </w:pPr>
      <w:r>
        <w:rPr>
          <w:rFonts w:hint="eastAsia" w:ascii="黑体" w:hAnsi="黑体" w:eastAsia="黑体" w:cs="黑体"/>
          <w:color w:val="auto"/>
          <w:sz w:val="36"/>
          <w:szCs w:val="36"/>
        </w:rPr>
        <w:t>第五条【种质资源保护】</w:t>
      </w:r>
      <w:r>
        <w:rPr>
          <w:rFonts w:hint="eastAsia" w:ascii="仿宋_GB2312" w:hAnsi="仿宋_GB2312" w:eastAsia="仿宋_GB2312" w:cs="仿宋_GB2312"/>
          <w:color w:val="auto"/>
          <w:sz w:val="36"/>
          <w:szCs w:val="36"/>
        </w:rPr>
        <w:t>县级以上人民政府农业农村部门应当会同林业部门加强茶树种质资源的保护与利用。禁止侵占和破坏列入国家重点保护野生植物名录的茶树种质资源。</w:t>
      </w:r>
    </w:p>
    <w:p>
      <w:pPr>
        <w:spacing w:line="600" w:lineRule="exact"/>
        <w:ind w:firstLine="720" w:firstLineChars="200"/>
        <w:rPr>
          <w:rFonts w:hint="eastAsia"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支持县级人民政府在古茶树和野生茶树集中分布区域依法划定保护范围，设置保护标志。鼓励产茶县建设茶树种质资源圃或品种园。</w:t>
      </w:r>
    </w:p>
    <w:p>
      <w:pPr>
        <w:spacing w:line="600" w:lineRule="exact"/>
        <w:ind w:firstLine="720" w:firstLineChars="200"/>
        <w:rPr>
          <w:rFonts w:ascii="仿宋_GB2312" w:hAnsi="仿宋_GB2312" w:eastAsia="仿宋_GB2312" w:cs="仿宋_GB2312"/>
          <w:color w:val="auto"/>
          <w:sz w:val="36"/>
          <w:szCs w:val="36"/>
        </w:rPr>
      </w:pPr>
      <w:r>
        <w:rPr>
          <w:rFonts w:hint="eastAsia" w:ascii="黑体" w:hAnsi="黑体" w:eastAsia="黑体" w:cs="黑体"/>
          <w:color w:val="auto"/>
          <w:sz w:val="36"/>
          <w:szCs w:val="36"/>
        </w:rPr>
        <w:t>第六条【茶园用地及建设】</w:t>
      </w:r>
      <w:r>
        <w:rPr>
          <w:rFonts w:hint="eastAsia" w:ascii="仿宋_GB2312" w:hAnsi="仿宋_GB2312" w:eastAsia="仿宋_GB2312" w:cs="仿宋_GB2312"/>
          <w:color w:val="auto"/>
          <w:sz w:val="36"/>
          <w:szCs w:val="36"/>
        </w:rPr>
        <w:t>省人民政府自然资源主管部门应当会同相关部门依法保障茶产业发展的用地。</w:t>
      </w:r>
      <w:r>
        <w:rPr>
          <w:rFonts w:hint="eastAsia" w:ascii="仿宋_GB2312" w:eastAsia="仿宋_GB2312"/>
          <w:color w:val="auto"/>
          <w:sz w:val="36"/>
          <w:szCs w:val="36"/>
        </w:rPr>
        <w:t>在茶园及其周边建设直接用于或者服务于茶叶种植、初制加工的生产设施和辅助设施的，按照设施农业用地的有关规定管理。</w:t>
      </w:r>
      <w:r>
        <w:rPr>
          <w:rFonts w:hint="eastAsia" w:ascii="仿宋_GB2312" w:hAnsi="仿宋_GB2312" w:eastAsia="仿宋_GB2312" w:cs="仿宋_GB2312"/>
          <w:color w:val="auto"/>
          <w:sz w:val="36"/>
          <w:szCs w:val="36"/>
        </w:rPr>
        <w:t>支持在公益林范围内林下适度种植茶树，将符合条件的公益林范围内的茶园退出公益林管理。鼓励盘活存量建设用地用于茶旅融合新业态发展。</w:t>
      </w:r>
    </w:p>
    <w:p>
      <w:pPr>
        <w:spacing w:line="600" w:lineRule="exact"/>
        <w:ind w:firstLine="720" w:firstLineChars="200"/>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省人民政府农业农村主管部门应当推动生态茶园建设</w:t>
      </w:r>
      <w:r>
        <w:rPr>
          <w:rFonts w:hint="eastAsia" w:ascii="仿宋_GB2312" w:hAnsi="仿宋_GB2312" w:eastAsia="仿宋_GB2312" w:cs="仿宋_GB2312"/>
          <w:color w:val="auto"/>
          <w:sz w:val="36"/>
          <w:szCs w:val="36"/>
          <w:lang w:eastAsia="zh-CN"/>
        </w:rPr>
        <w:t>，</w:t>
      </w:r>
      <w:r>
        <w:rPr>
          <w:rFonts w:hint="eastAsia" w:ascii="仿宋_GB2312" w:hAnsi="仿宋_GB2312" w:eastAsia="仿宋_GB2312" w:cs="仿宋_GB2312"/>
          <w:color w:val="auto"/>
          <w:sz w:val="36"/>
          <w:szCs w:val="36"/>
          <w:lang w:val="en-US" w:eastAsia="zh-CN"/>
        </w:rPr>
        <w:t>加快</w:t>
      </w:r>
      <w:r>
        <w:rPr>
          <w:rFonts w:hint="eastAsia" w:ascii="仿宋_GB2312" w:hAnsi="仿宋_GB2312" w:eastAsia="仿宋_GB2312" w:cs="仿宋_GB2312"/>
          <w:color w:val="auto"/>
          <w:sz w:val="36"/>
          <w:szCs w:val="36"/>
        </w:rPr>
        <w:t>全域有机茶园</w:t>
      </w:r>
      <w:r>
        <w:rPr>
          <w:rFonts w:hint="eastAsia" w:ascii="仿宋_GB2312" w:hAnsi="仿宋_GB2312" w:eastAsia="仿宋_GB2312" w:cs="仿宋_GB2312"/>
          <w:color w:val="auto"/>
          <w:sz w:val="36"/>
          <w:szCs w:val="36"/>
          <w:lang w:eastAsia="zh-CN"/>
        </w:rPr>
        <w:t>建设，</w:t>
      </w:r>
      <w:r>
        <w:rPr>
          <w:rFonts w:hint="eastAsia" w:ascii="仿宋_GB2312" w:hAnsi="仿宋_GB2312" w:eastAsia="仿宋_GB2312" w:cs="仿宋_GB2312"/>
          <w:color w:val="auto"/>
          <w:sz w:val="36"/>
          <w:szCs w:val="36"/>
        </w:rPr>
        <w:t>支持全程机械化</w:t>
      </w:r>
      <w:r>
        <w:rPr>
          <w:rFonts w:hint="eastAsia" w:ascii="仿宋_GB2312" w:hAnsi="仿宋_GB2312" w:eastAsia="仿宋_GB2312" w:cs="仿宋_GB2312"/>
          <w:color w:val="auto"/>
          <w:sz w:val="36"/>
          <w:szCs w:val="36"/>
          <w:highlight w:val="none"/>
        </w:rPr>
        <w:t>生产茶园</w:t>
      </w:r>
      <w:r>
        <w:rPr>
          <w:rFonts w:hint="eastAsia" w:ascii="仿宋_GB2312" w:hAnsi="仿宋_GB2312" w:eastAsia="仿宋_GB2312" w:cs="仿宋_GB2312"/>
          <w:color w:val="auto"/>
          <w:sz w:val="36"/>
          <w:szCs w:val="36"/>
        </w:rPr>
        <w:t>和出口茶叶原料种植基地建设。</w:t>
      </w:r>
    </w:p>
    <w:p>
      <w:pPr>
        <w:spacing w:line="600" w:lineRule="exact"/>
        <w:ind w:firstLine="720" w:firstLineChars="200"/>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县级以上人民政府农业农村主管部门应当</w:t>
      </w:r>
      <w:r>
        <w:rPr>
          <w:rFonts w:hint="eastAsia" w:ascii="仿宋_GB2312" w:hAnsi="仿宋_GB2312" w:eastAsia="仿宋_GB2312" w:cs="仿宋_GB2312"/>
          <w:color w:val="auto"/>
          <w:sz w:val="36"/>
          <w:szCs w:val="36"/>
          <w:lang w:eastAsia="zh-CN"/>
        </w:rPr>
        <w:t>加强标准化茶园建设</w:t>
      </w:r>
      <w:r>
        <w:rPr>
          <w:rFonts w:hint="eastAsia" w:ascii="仿宋_GB2312" w:hAnsi="仿宋_GB2312" w:eastAsia="仿宋_GB2312" w:cs="仿宋_GB2312"/>
          <w:color w:val="auto"/>
          <w:sz w:val="36"/>
          <w:szCs w:val="36"/>
        </w:rPr>
        <w:t>，推进茶园道路、水利、电力、气象等基础配套设施建设。</w:t>
      </w:r>
    </w:p>
    <w:p>
      <w:pPr>
        <w:spacing w:line="600" w:lineRule="exact"/>
        <w:ind w:firstLine="720" w:firstLineChars="200"/>
        <w:rPr>
          <w:rFonts w:ascii="黑体" w:hAnsi="黑体" w:eastAsia="黑体" w:cs="黑体"/>
          <w:color w:val="auto"/>
          <w:sz w:val="36"/>
          <w:szCs w:val="36"/>
        </w:rPr>
      </w:pPr>
      <w:r>
        <w:rPr>
          <w:rFonts w:hint="eastAsia" w:ascii="仿宋_GB2312" w:hAnsi="仿宋_GB2312" w:eastAsia="仿宋_GB2312" w:cs="仿宋_GB2312"/>
          <w:color w:val="auto"/>
          <w:sz w:val="36"/>
          <w:szCs w:val="36"/>
        </w:rPr>
        <w:t>开垦茶园应当采取措施保护生态环境，防止水土流失。禁止随意毁坏茶园。</w:t>
      </w:r>
    </w:p>
    <w:p>
      <w:pPr>
        <w:spacing w:line="600" w:lineRule="exact"/>
        <w:ind w:firstLine="720" w:firstLineChars="200"/>
        <w:rPr>
          <w:rFonts w:ascii="仿宋_GB2312" w:hAnsi="仿宋_GB2312" w:eastAsia="仿宋_GB2312" w:cs="仿宋_GB2312"/>
          <w:color w:val="auto"/>
          <w:sz w:val="36"/>
          <w:szCs w:val="36"/>
        </w:rPr>
      </w:pPr>
      <w:r>
        <w:rPr>
          <w:rFonts w:hint="eastAsia" w:ascii="黑体" w:hAnsi="黑体" w:eastAsia="黑体" w:cs="黑体"/>
          <w:color w:val="auto"/>
          <w:sz w:val="36"/>
          <w:szCs w:val="36"/>
        </w:rPr>
        <w:t>第</w:t>
      </w:r>
      <w:r>
        <w:rPr>
          <w:rFonts w:hint="eastAsia" w:ascii="黑体" w:hAnsi="黑体" w:eastAsia="黑体" w:cs="黑体"/>
          <w:color w:val="auto"/>
          <w:sz w:val="36"/>
          <w:szCs w:val="36"/>
          <w:lang w:eastAsia="zh-CN"/>
        </w:rPr>
        <w:t>七</w:t>
      </w:r>
      <w:r>
        <w:rPr>
          <w:rFonts w:hint="eastAsia" w:ascii="黑体" w:hAnsi="黑体" w:eastAsia="黑体" w:cs="黑体"/>
          <w:color w:val="auto"/>
          <w:sz w:val="36"/>
          <w:szCs w:val="36"/>
        </w:rPr>
        <w:t>条【茶园投入品规范】</w:t>
      </w:r>
      <w:r>
        <w:rPr>
          <w:rFonts w:hint="eastAsia" w:ascii="仿宋_GB2312" w:hAnsi="仿宋_GB2312" w:eastAsia="仿宋_GB2312" w:cs="仿宋_GB2312"/>
          <w:color w:val="auto"/>
          <w:sz w:val="36"/>
          <w:szCs w:val="36"/>
        </w:rPr>
        <w:t>县级以上人民政府农业农村主管部门应当推广使用生物有机肥，推广绿色生产技术，推进病虫草害统防统治。加强茶园农药和肥料使用指导与服务，规范农药、肥料使用行为。</w:t>
      </w:r>
    </w:p>
    <w:p>
      <w:pPr>
        <w:spacing w:line="600" w:lineRule="exact"/>
        <w:ind w:firstLine="720" w:firstLineChars="200"/>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茶园生产禁止使用剧毒、高毒、高残留农药和含有危害的重金属元素肥料。</w:t>
      </w:r>
    </w:p>
    <w:p>
      <w:pPr>
        <w:spacing w:line="600" w:lineRule="exact"/>
        <w:ind w:firstLine="720" w:firstLineChars="200"/>
        <w:rPr>
          <w:rFonts w:ascii="仿宋_GB2312" w:hAnsi="仿宋_GB2312" w:eastAsia="仿宋_GB2312" w:cs="仿宋_GB2312"/>
          <w:color w:val="auto"/>
          <w:sz w:val="36"/>
          <w:szCs w:val="36"/>
        </w:rPr>
      </w:pPr>
      <w:r>
        <w:rPr>
          <w:rFonts w:hint="eastAsia" w:ascii="黑体" w:hAnsi="黑体" w:eastAsia="黑体" w:cs="黑体"/>
          <w:color w:val="auto"/>
          <w:sz w:val="36"/>
          <w:szCs w:val="36"/>
          <w:highlight w:val="none"/>
        </w:rPr>
        <w:t>第</w:t>
      </w:r>
      <w:r>
        <w:rPr>
          <w:rFonts w:hint="eastAsia" w:ascii="黑体" w:hAnsi="黑体" w:eastAsia="黑体" w:cs="黑体"/>
          <w:color w:val="auto"/>
          <w:sz w:val="36"/>
          <w:szCs w:val="36"/>
          <w:highlight w:val="none"/>
          <w:lang w:eastAsia="zh-CN"/>
        </w:rPr>
        <w:t>八</w:t>
      </w:r>
      <w:r>
        <w:rPr>
          <w:rFonts w:hint="eastAsia" w:ascii="黑体" w:hAnsi="黑体" w:eastAsia="黑体" w:cs="黑体"/>
          <w:color w:val="auto"/>
          <w:sz w:val="36"/>
          <w:szCs w:val="36"/>
          <w:highlight w:val="none"/>
        </w:rPr>
        <w:t>条【生产加工及包装】</w:t>
      </w:r>
      <w:r>
        <w:rPr>
          <w:rFonts w:hint="eastAsia" w:ascii="仿宋_GB2312" w:hAnsi="仿宋_GB2312" w:eastAsia="仿宋_GB2312" w:cs="仿宋_GB2312"/>
          <w:color w:val="auto"/>
          <w:sz w:val="36"/>
          <w:szCs w:val="36"/>
        </w:rPr>
        <w:t>县级以上人民政府农业农村主管部门应当推动茶叶</w:t>
      </w:r>
      <w:r>
        <w:rPr>
          <w:rFonts w:hint="eastAsia" w:ascii="仿宋_GB2312" w:hAnsi="仿宋_GB2312" w:eastAsia="仿宋_GB2312" w:cs="仿宋_GB2312"/>
          <w:color w:val="auto"/>
          <w:sz w:val="36"/>
          <w:szCs w:val="36"/>
          <w:lang w:eastAsia="zh-CN"/>
        </w:rPr>
        <w:t>生产</w:t>
      </w:r>
      <w:r>
        <w:rPr>
          <w:rFonts w:hint="eastAsia" w:ascii="仿宋_GB2312" w:hAnsi="仿宋_GB2312" w:eastAsia="仿宋_GB2312" w:cs="仿宋_GB2312"/>
          <w:color w:val="auto"/>
          <w:sz w:val="36"/>
          <w:szCs w:val="36"/>
        </w:rPr>
        <w:t>加工清洁化、智能化、标准化，引导茶叶生产</w:t>
      </w:r>
      <w:r>
        <w:rPr>
          <w:rFonts w:hint="eastAsia" w:ascii="仿宋_GB2312" w:hAnsi="仿宋_GB2312" w:eastAsia="仿宋_GB2312" w:cs="仿宋_GB2312"/>
          <w:color w:val="auto"/>
          <w:sz w:val="36"/>
          <w:szCs w:val="36"/>
          <w:lang w:val="en-US" w:eastAsia="zh-CN"/>
        </w:rPr>
        <w:t>主体</w:t>
      </w:r>
      <w:r>
        <w:rPr>
          <w:rFonts w:hint="eastAsia" w:ascii="仿宋_GB2312" w:hAnsi="仿宋_GB2312" w:eastAsia="仿宋_GB2312" w:cs="仿宋_GB2312"/>
          <w:color w:val="auto"/>
          <w:sz w:val="36"/>
          <w:szCs w:val="36"/>
        </w:rPr>
        <w:t>开展茶叶加工技术创新，开发多样化特色茶产品。</w:t>
      </w:r>
    </w:p>
    <w:p>
      <w:pPr>
        <w:spacing w:line="600" w:lineRule="exact"/>
        <w:ind w:firstLine="720" w:firstLineChars="200"/>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鼓励茶叶经营主体开发茶叶精深加工和高附加值产品，提高茶资源综合利用水平和茶产品附加值。支持茶叶经营主体新建或升级高标准茶叶加工生产线。</w:t>
      </w:r>
    </w:p>
    <w:p>
      <w:pPr>
        <w:spacing w:line="600" w:lineRule="exact"/>
        <w:ind w:firstLine="720" w:firstLineChars="200"/>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县级以上人民政府市场</w:t>
      </w:r>
      <w:r>
        <w:rPr>
          <w:rFonts w:hint="eastAsia" w:ascii="仿宋_GB2312" w:hAnsi="仿宋_GB2312" w:eastAsia="仿宋_GB2312" w:cs="仿宋_GB2312"/>
          <w:color w:val="auto"/>
          <w:sz w:val="36"/>
          <w:szCs w:val="36"/>
          <w:lang w:eastAsia="zh-CN"/>
        </w:rPr>
        <w:t>监督管理</w:t>
      </w:r>
      <w:r>
        <w:rPr>
          <w:rFonts w:hint="eastAsia" w:ascii="仿宋_GB2312" w:hAnsi="仿宋_GB2312" w:eastAsia="仿宋_GB2312" w:cs="仿宋_GB2312"/>
          <w:color w:val="auto"/>
          <w:sz w:val="36"/>
          <w:szCs w:val="36"/>
          <w:highlight w:val="none"/>
        </w:rPr>
        <w:t>等有关部门</w:t>
      </w:r>
      <w:r>
        <w:rPr>
          <w:rFonts w:hint="eastAsia" w:ascii="仿宋_GB2312" w:hAnsi="仿宋_GB2312" w:eastAsia="仿宋_GB2312" w:cs="仿宋_GB2312"/>
          <w:color w:val="auto"/>
          <w:sz w:val="36"/>
          <w:szCs w:val="36"/>
        </w:rPr>
        <w:t>应当加强对茶叶产品包装和标识标注的</w:t>
      </w:r>
      <w:r>
        <w:rPr>
          <w:rFonts w:hint="eastAsia" w:ascii="仿宋_GB2312" w:hAnsi="仿宋_GB2312" w:eastAsia="仿宋_GB2312" w:cs="仿宋_GB2312"/>
          <w:color w:val="auto"/>
          <w:sz w:val="36"/>
          <w:szCs w:val="36"/>
          <w:lang w:eastAsia="zh-CN"/>
        </w:rPr>
        <w:t>监督</w:t>
      </w:r>
      <w:r>
        <w:rPr>
          <w:rFonts w:hint="eastAsia" w:ascii="仿宋_GB2312" w:hAnsi="仿宋_GB2312" w:eastAsia="仿宋_GB2312" w:cs="仿宋_GB2312"/>
          <w:color w:val="auto"/>
          <w:sz w:val="36"/>
          <w:szCs w:val="36"/>
        </w:rPr>
        <w:t>管理。茶叶产品的包装和标识应按照国家有关规定执行。</w:t>
      </w:r>
    </w:p>
    <w:p>
      <w:pPr>
        <w:spacing w:line="600" w:lineRule="exact"/>
        <w:ind w:firstLine="720" w:firstLineChars="200"/>
        <w:rPr>
          <w:rFonts w:ascii="仿宋_GB2312" w:hAnsi="仿宋_GB2312" w:eastAsia="仿宋_GB2312" w:cs="仿宋_GB2312"/>
          <w:color w:val="auto"/>
          <w:sz w:val="36"/>
          <w:szCs w:val="36"/>
        </w:rPr>
      </w:pPr>
      <w:r>
        <w:rPr>
          <w:rFonts w:hint="eastAsia" w:ascii="黑体" w:hAnsi="黑体" w:eastAsia="黑体" w:cs="黑体"/>
          <w:color w:val="auto"/>
          <w:sz w:val="36"/>
          <w:szCs w:val="36"/>
        </w:rPr>
        <w:t>第</w:t>
      </w:r>
      <w:r>
        <w:rPr>
          <w:rFonts w:hint="eastAsia" w:ascii="黑体" w:hAnsi="黑体" w:eastAsia="黑体" w:cs="黑体"/>
          <w:color w:val="auto"/>
          <w:sz w:val="36"/>
          <w:szCs w:val="36"/>
          <w:lang w:eastAsia="zh-CN"/>
        </w:rPr>
        <w:t>九</w:t>
      </w:r>
      <w:r>
        <w:rPr>
          <w:rFonts w:hint="eastAsia" w:ascii="黑体" w:hAnsi="黑体" w:eastAsia="黑体" w:cs="黑体"/>
          <w:color w:val="auto"/>
          <w:sz w:val="36"/>
          <w:szCs w:val="36"/>
        </w:rPr>
        <w:t>条【质量安全】</w:t>
      </w:r>
      <w:r>
        <w:rPr>
          <w:rFonts w:hint="eastAsia" w:ascii="仿宋_GB2312" w:hAnsi="仿宋_GB2312" w:eastAsia="仿宋_GB2312" w:cs="仿宋_GB2312"/>
          <w:color w:val="auto"/>
          <w:sz w:val="36"/>
          <w:szCs w:val="36"/>
        </w:rPr>
        <w:t>茶叶主产区县级以上人民政府应当建立健全</w:t>
      </w:r>
      <w:r>
        <w:rPr>
          <w:rFonts w:hint="eastAsia" w:ascii="仿宋_GB2312" w:hAnsi="仿宋_GB2312" w:eastAsia="仿宋_GB2312" w:cs="仿宋_GB2312"/>
          <w:color w:val="auto"/>
          <w:sz w:val="36"/>
          <w:szCs w:val="36"/>
          <w:highlight w:val="none"/>
        </w:rPr>
        <w:t>茶叶鲜叶、茶叶产品质量</w:t>
      </w:r>
      <w:r>
        <w:rPr>
          <w:rFonts w:hint="eastAsia" w:ascii="仿宋_GB2312" w:hAnsi="仿宋_GB2312" w:eastAsia="仿宋_GB2312" w:cs="仿宋_GB2312"/>
          <w:color w:val="auto"/>
          <w:sz w:val="36"/>
          <w:szCs w:val="36"/>
        </w:rPr>
        <w:t>安全标准，实行茶叶质量安全可追溯制度。严格落实茶叶质量安全属地监管</w:t>
      </w:r>
      <w:r>
        <w:rPr>
          <w:rFonts w:hint="eastAsia" w:ascii="仿宋_GB2312" w:hAnsi="仿宋_GB2312" w:eastAsia="仿宋_GB2312" w:cs="仿宋_GB2312"/>
          <w:color w:val="auto"/>
          <w:sz w:val="36"/>
          <w:szCs w:val="36"/>
          <w:lang w:eastAsia="zh-CN"/>
        </w:rPr>
        <w:t>责任</w:t>
      </w:r>
      <w:r>
        <w:rPr>
          <w:rFonts w:hint="eastAsia" w:ascii="仿宋_GB2312" w:hAnsi="仿宋_GB2312" w:eastAsia="仿宋_GB2312" w:cs="仿宋_GB2312"/>
          <w:color w:val="auto"/>
          <w:sz w:val="36"/>
          <w:szCs w:val="36"/>
        </w:rPr>
        <w:t>。</w:t>
      </w:r>
    </w:p>
    <w:p>
      <w:pPr>
        <w:spacing w:line="600" w:lineRule="exact"/>
        <w:ind w:firstLine="720" w:firstLineChars="200"/>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茶叶生产经营主体应当建立茶叶质量安全追溯体系，按照规定将茶叶质量安全相关信息录入国家农产品质量安全追溯管理信息平台；应当建立茶叶生产记录制度，做好检验检测工作，不得伪造茶叶生产记录，不得销售不符合茶叶质量安全标准的茶叶鲜叶、茶叶产品。</w:t>
      </w:r>
    </w:p>
    <w:p>
      <w:pPr>
        <w:spacing w:line="600" w:lineRule="exact"/>
        <w:ind w:firstLine="720" w:firstLineChars="200"/>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除茶叶衍生品的生产加工外，禁止在茶叶加工中添加糖分、甜味剂、色素、香精等外源物质。</w:t>
      </w:r>
    </w:p>
    <w:p>
      <w:pPr>
        <w:spacing w:line="600" w:lineRule="exact"/>
        <w:ind w:firstLine="720" w:firstLineChars="200"/>
        <w:rPr>
          <w:rFonts w:ascii="仿宋_GB2312" w:hAnsi="仿宋_GB2312" w:eastAsia="仿宋_GB2312" w:cs="仿宋_GB2312"/>
          <w:color w:val="auto"/>
          <w:sz w:val="36"/>
          <w:szCs w:val="36"/>
        </w:rPr>
      </w:pPr>
      <w:r>
        <w:rPr>
          <w:rFonts w:hint="eastAsia" w:ascii="黑体" w:hAnsi="黑体" w:eastAsia="黑体" w:cs="黑体"/>
          <w:color w:val="auto"/>
          <w:sz w:val="36"/>
          <w:szCs w:val="36"/>
        </w:rPr>
        <w:t>第</w:t>
      </w:r>
      <w:r>
        <w:rPr>
          <w:rFonts w:hint="eastAsia" w:ascii="黑体" w:hAnsi="黑体" w:eastAsia="黑体" w:cs="黑体"/>
          <w:color w:val="auto"/>
          <w:sz w:val="36"/>
          <w:szCs w:val="36"/>
          <w:lang w:eastAsia="zh-CN"/>
        </w:rPr>
        <w:t>十</w:t>
      </w:r>
      <w:r>
        <w:rPr>
          <w:rFonts w:hint="eastAsia" w:ascii="黑体" w:hAnsi="黑体" w:eastAsia="黑体" w:cs="黑体"/>
          <w:color w:val="auto"/>
          <w:sz w:val="36"/>
          <w:szCs w:val="36"/>
        </w:rPr>
        <w:t>条【品牌建设】</w:t>
      </w:r>
      <w:r>
        <w:rPr>
          <w:rFonts w:hint="eastAsia" w:ascii="仿宋_GB2312" w:hAnsi="仿宋_GB2312" w:eastAsia="仿宋_GB2312" w:cs="仿宋_GB2312"/>
          <w:color w:val="auto"/>
          <w:sz w:val="36"/>
          <w:szCs w:val="36"/>
        </w:rPr>
        <w:t>茶叶主产区县级以上人民政府应当确立区域公用品牌，建立健全区域公用品牌管理制度，严格执行准入规范；支持茶叶经营主体开展品牌建设，</w:t>
      </w:r>
      <w:r>
        <w:rPr>
          <w:rFonts w:hint="eastAsia" w:ascii="仿宋_GB2312" w:hAnsi="仿宋_GB2312" w:eastAsia="仿宋_GB2312" w:cs="仿宋_GB2312"/>
          <w:color w:val="auto"/>
          <w:sz w:val="36"/>
          <w:szCs w:val="36"/>
          <w:lang w:eastAsia="zh-CN"/>
        </w:rPr>
        <w:t>培育企业品牌和产品品牌，</w:t>
      </w:r>
      <w:r>
        <w:rPr>
          <w:rFonts w:hint="eastAsia" w:ascii="仿宋_GB2312" w:hAnsi="仿宋_GB2312" w:eastAsia="仿宋_GB2312" w:cs="仿宋_GB2312"/>
          <w:color w:val="auto"/>
          <w:sz w:val="36"/>
          <w:szCs w:val="36"/>
        </w:rPr>
        <w:t>加大品牌宣传力度</w:t>
      </w:r>
      <w:r>
        <w:rPr>
          <w:rFonts w:hint="eastAsia" w:ascii="仿宋_GB2312" w:hAnsi="仿宋_GB2312" w:eastAsia="仿宋_GB2312" w:cs="仿宋_GB2312"/>
          <w:color w:val="auto"/>
          <w:sz w:val="36"/>
          <w:szCs w:val="36"/>
          <w:lang w:eastAsia="zh-CN"/>
        </w:rPr>
        <w:t>，</w:t>
      </w:r>
      <w:r>
        <w:rPr>
          <w:rFonts w:hint="eastAsia" w:ascii="仿宋_GB2312" w:hAnsi="仿宋_GB2312" w:eastAsia="仿宋_GB2312" w:cs="仿宋_GB2312"/>
          <w:color w:val="auto"/>
          <w:sz w:val="36"/>
          <w:szCs w:val="36"/>
        </w:rPr>
        <w:t>打造茶叶国际国内知名品牌。</w:t>
      </w:r>
    </w:p>
    <w:p>
      <w:pPr>
        <w:spacing w:line="600" w:lineRule="exact"/>
        <w:ind w:firstLine="720" w:firstLineChars="200"/>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茶叶主产区县级以上人民政府应当对被认定为中国驰名商标、中华老字号以及获得国家地理标志产品、生态原产地产品的给予保护与奖励；对获得良好农业规范、良好生产规范、食品安全管理体系认证以及绿色食品、生态低碳、有机茶园认证的给予奖补。</w:t>
      </w:r>
    </w:p>
    <w:p>
      <w:pPr>
        <w:spacing w:line="600" w:lineRule="exact"/>
        <w:ind w:firstLine="720" w:firstLineChars="200"/>
        <w:rPr>
          <w:rFonts w:ascii="仿宋_GB2312" w:hAnsi="仿宋_GB2312" w:eastAsia="仿宋_GB2312" w:cs="仿宋_GB2312"/>
          <w:color w:val="auto"/>
          <w:sz w:val="36"/>
          <w:szCs w:val="36"/>
        </w:rPr>
      </w:pPr>
      <w:r>
        <w:rPr>
          <w:rFonts w:hint="eastAsia" w:ascii="黑体" w:hAnsi="黑体" w:eastAsia="黑体" w:cs="黑体"/>
          <w:color w:val="auto"/>
          <w:sz w:val="36"/>
          <w:szCs w:val="36"/>
        </w:rPr>
        <w:t>第十</w:t>
      </w:r>
      <w:r>
        <w:rPr>
          <w:rFonts w:hint="eastAsia" w:ascii="黑体" w:hAnsi="黑体" w:eastAsia="黑体" w:cs="黑体"/>
          <w:color w:val="auto"/>
          <w:sz w:val="36"/>
          <w:szCs w:val="36"/>
          <w:lang w:eastAsia="zh-CN"/>
        </w:rPr>
        <w:t>一</w:t>
      </w:r>
      <w:r>
        <w:rPr>
          <w:rFonts w:hint="eastAsia" w:ascii="黑体" w:hAnsi="黑体" w:eastAsia="黑体" w:cs="黑体"/>
          <w:color w:val="auto"/>
          <w:sz w:val="36"/>
          <w:szCs w:val="36"/>
        </w:rPr>
        <w:t>条【地理标志保护】</w:t>
      </w:r>
      <w:r>
        <w:rPr>
          <w:rFonts w:hint="eastAsia" w:ascii="仿宋_GB2312" w:hAnsi="仿宋_GB2312" w:eastAsia="仿宋_GB2312" w:cs="仿宋_GB2312"/>
          <w:color w:val="auto"/>
          <w:sz w:val="36"/>
          <w:szCs w:val="36"/>
        </w:rPr>
        <w:t>县级以上人民政府要加强对茶叶地理标志申请、使用和保护的组织协调，支持茶叶行业社团组织、保护申请机构对具有特定自然生态环境和历史人文因素的茶叶，申请茶叶地理标志保护。</w:t>
      </w:r>
    </w:p>
    <w:p>
      <w:pPr>
        <w:spacing w:line="600" w:lineRule="exact"/>
        <w:ind w:firstLine="720" w:firstLineChars="200"/>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茶叶地理标志产地范围内的茶叶经营主体应当按照国家规定依法申请，经审查授权公告后使用茶叶地理标志产品专用标志。</w:t>
      </w:r>
    </w:p>
    <w:p>
      <w:pPr>
        <w:spacing w:line="600" w:lineRule="exact"/>
        <w:ind w:firstLine="720" w:firstLineChars="200"/>
        <w:rPr>
          <w:rFonts w:hint="eastAsia" w:ascii="仿宋_GB2312" w:hAnsi="仿宋_GB2312" w:eastAsia="仿宋_GB2312" w:cs="仿宋_GB2312"/>
          <w:color w:val="auto"/>
          <w:sz w:val="36"/>
          <w:szCs w:val="36"/>
        </w:rPr>
      </w:pPr>
      <w:r>
        <w:rPr>
          <w:rFonts w:hint="eastAsia" w:ascii="黑体" w:hAnsi="黑体" w:eastAsia="黑体" w:cs="黑体"/>
          <w:color w:val="auto"/>
          <w:sz w:val="36"/>
          <w:szCs w:val="36"/>
        </w:rPr>
        <w:t>第十</w:t>
      </w:r>
      <w:r>
        <w:rPr>
          <w:rFonts w:hint="eastAsia" w:ascii="黑体" w:hAnsi="黑体" w:eastAsia="黑体" w:cs="黑体"/>
          <w:color w:val="auto"/>
          <w:sz w:val="36"/>
          <w:szCs w:val="36"/>
          <w:lang w:eastAsia="zh-CN"/>
        </w:rPr>
        <w:t>二</w:t>
      </w:r>
      <w:r>
        <w:rPr>
          <w:rFonts w:hint="eastAsia" w:ascii="黑体" w:hAnsi="黑体" w:eastAsia="黑体" w:cs="黑体"/>
          <w:color w:val="auto"/>
          <w:sz w:val="36"/>
          <w:szCs w:val="36"/>
        </w:rPr>
        <w:t>条【标准体系建设】</w:t>
      </w:r>
      <w:r>
        <w:rPr>
          <w:rFonts w:hint="eastAsia" w:ascii="仿宋_GB2312" w:hAnsi="仿宋_GB2312" w:eastAsia="仿宋_GB2312" w:cs="仿宋_GB2312"/>
          <w:color w:val="auto"/>
          <w:sz w:val="36"/>
          <w:szCs w:val="36"/>
        </w:rPr>
        <w:t>县级以上人民政府市场</w:t>
      </w:r>
      <w:r>
        <w:rPr>
          <w:rFonts w:hint="eastAsia" w:ascii="仿宋_GB2312" w:hAnsi="仿宋_GB2312" w:eastAsia="仿宋_GB2312" w:cs="仿宋_GB2312"/>
          <w:color w:val="auto"/>
          <w:sz w:val="36"/>
          <w:szCs w:val="36"/>
          <w:lang w:eastAsia="zh-CN"/>
        </w:rPr>
        <w:t>监督管理主管</w:t>
      </w:r>
      <w:r>
        <w:rPr>
          <w:rFonts w:hint="eastAsia" w:ascii="仿宋_GB2312" w:hAnsi="仿宋_GB2312" w:eastAsia="仿宋_GB2312" w:cs="仿宋_GB2312"/>
          <w:color w:val="auto"/>
          <w:sz w:val="36"/>
          <w:szCs w:val="36"/>
        </w:rPr>
        <w:t>部门应当组织茶叶经营主体、社会团体、教育和科研机构等参与标准研制，推动完善有机茶园</w:t>
      </w:r>
      <w:r>
        <w:rPr>
          <w:rFonts w:hint="eastAsia" w:ascii="仿宋_GB2312" w:hAnsi="仿宋_GB2312" w:eastAsia="仿宋_GB2312" w:cs="仿宋_GB2312"/>
          <w:color w:val="auto"/>
          <w:sz w:val="36"/>
          <w:szCs w:val="36"/>
          <w:lang w:eastAsia="zh-CN"/>
        </w:rPr>
        <w:t>和</w:t>
      </w:r>
      <w:r>
        <w:rPr>
          <w:rFonts w:hint="eastAsia" w:ascii="仿宋_GB2312" w:hAnsi="仿宋_GB2312" w:eastAsia="仿宋_GB2312" w:cs="仿宋_GB2312"/>
          <w:color w:val="auto"/>
          <w:sz w:val="36"/>
          <w:szCs w:val="36"/>
        </w:rPr>
        <w:t>茶叶生产、加工、质量、流通等环节的标准建设，构建现代茶产业全产业链标准体系。</w:t>
      </w:r>
    </w:p>
    <w:p>
      <w:pPr>
        <w:keepNext w:val="0"/>
        <w:keepLines w:val="0"/>
        <w:pageBreakBefore w:val="0"/>
        <w:widowControl w:val="0"/>
        <w:kinsoku/>
        <w:wordWrap/>
        <w:overflowPunct/>
        <w:topLinePunct w:val="0"/>
        <w:autoSpaceDE/>
        <w:autoSpaceDN/>
        <w:bidi w:val="0"/>
        <w:adjustRightInd/>
        <w:snapToGrid/>
        <w:spacing w:line="600" w:lineRule="exact"/>
        <w:ind w:firstLine="720" w:firstLineChars="200"/>
        <w:textAlignment w:val="auto"/>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鼓励茶</w:t>
      </w:r>
      <w:r>
        <w:rPr>
          <w:rFonts w:hint="eastAsia" w:ascii="仿宋_GB2312" w:hAnsi="仿宋_GB2312" w:eastAsia="仿宋_GB2312" w:cs="仿宋_GB2312"/>
          <w:sz w:val="36"/>
          <w:szCs w:val="36"/>
          <w:lang w:val="en-US" w:eastAsia="zh-CN"/>
        </w:rPr>
        <w:t>叶</w:t>
      </w:r>
      <w:r>
        <w:rPr>
          <w:rFonts w:hint="eastAsia" w:ascii="仿宋_GB2312" w:hAnsi="仿宋_GB2312" w:eastAsia="仿宋_GB2312" w:cs="仿宋_GB2312"/>
          <w:sz w:val="36"/>
          <w:szCs w:val="36"/>
        </w:rPr>
        <w:t>行业社会组织及企业制定</w:t>
      </w:r>
      <w:r>
        <w:rPr>
          <w:rFonts w:hint="default" w:ascii="仿宋_GB2312" w:hAnsi="仿宋_GB2312" w:eastAsia="仿宋_GB2312" w:cs="仿宋_GB2312"/>
          <w:sz w:val="36"/>
          <w:szCs w:val="36"/>
          <w:lang w:val="en-US"/>
        </w:rPr>
        <w:t>高</w:t>
      </w:r>
      <w:r>
        <w:rPr>
          <w:rFonts w:hint="eastAsia" w:ascii="仿宋_GB2312" w:hAnsi="仿宋_GB2312" w:eastAsia="仿宋_GB2312" w:cs="仿宋_GB2312"/>
          <w:sz w:val="36"/>
          <w:szCs w:val="36"/>
        </w:rPr>
        <w:t>于国家、行业、地方标准的团体标准、企业标准。</w:t>
      </w:r>
    </w:p>
    <w:p>
      <w:pPr>
        <w:spacing w:line="600" w:lineRule="exact"/>
        <w:ind w:firstLine="720" w:firstLineChars="200"/>
        <w:rPr>
          <w:rFonts w:ascii="仿宋_GB2312" w:hAnsi="仿宋_GB2312" w:eastAsia="仿宋_GB2312" w:cs="仿宋_GB2312"/>
          <w:color w:val="auto"/>
          <w:sz w:val="36"/>
          <w:szCs w:val="36"/>
        </w:rPr>
      </w:pPr>
      <w:r>
        <w:rPr>
          <w:rFonts w:hint="eastAsia" w:ascii="黑体" w:hAnsi="黑体" w:eastAsia="黑体" w:cs="黑体"/>
          <w:color w:val="auto"/>
          <w:sz w:val="36"/>
          <w:szCs w:val="36"/>
        </w:rPr>
        <w:t>第十</w:t>
      </w:r>
      <w:r>
        <w:rPr>
          <w:rFonts w:hint="eastAsia" w:ascii="黑体" w:hAnsi="黑体" w:eastAsia="黑体" w:cs="黑体"/>
          <w:color w:val="auto"/>
          <w:sz w:val="36"/>
          <w:szCs w:val="36"/>
          <w:lang w:eastAsia="zh-CN"/>
        </w:rPr>
        <w:t>三</w:t>
      </w:r>
      <w:r>
        <w:rPr>
          <w:rFonts w:hint="eastAsia" w:ascii="黑体" w:hAnsi="黑体" w:eastAsia="黑体" w:cs="黑体"/>
          <w:color w:val="auto"/>
          <w:sz w:val="36"/>
          <w:szCs w:val="36"/>
        </w:rPr>
        <w:t>条【培育主体】</w:t>
      </w:r>
      <w:r>
        <w:rPr>
          <w:rFonts w:hint="eastAsia" w:ascii="仿宋_GB2312" w:hAnsi="仿宋_GB2312" w:eastAsia="仿宋_GB2312" w:cs="仿宋_GB2312"/>
          <w:color w:val="auto"/>
          <w:sz w:val="36"/>
          <w:szCs w:val="36"/>
        </w:rPr>
        <w:t>茶叶主产区县级以上人民政府应当整合优势资源，壮大</w:t>
      </w:r>
      <w:r>
        <w:rPr>
          <w:rFonts w:hint="eastAsia" w:ascii="仿宋_GB2312" w:hAnsi="仿宋_GB2312" w:eastAsia="仿宋_GB2312" w:cs="仿宋_GB2312"/>
          <w:color w:val="auto"/>
          <w:sz w:val="36"/>
          <w:szCs w:val="36"/>
          <w:lang w:eastAsia="zh-CN"/>
        </w:rPr>
        <w:t>茶产业龙头</w:t>
      </w:r>
      <w:r>
        <w:rPr>
          <w:rFonts w:hint="eastAsia" w:ascii="仿宋_GB2312" w:hAnsi="仿宋_GB2312" w:eastAsia="仿宋_GB2312" w:cs="仿宋_GB2312"/>
          <w:color w:val="auto"/>
          <w:sz w:val="36"/>
          <w:szCs w:val="36"/>
        </w:rPr>
        <w:t>企业，培育新型经营主体</w:t>
      </w:r>
      <w:r>
        <w:rPr>
          <w:rFonts w:hint="eastAsia" w:ascii="仿宋_GB2312" w:hAnsi="仿宋_GB2312" w:eastAsia="仿宋_GB2312" w:cs="仿宋_GB2312"/>
          <w:color w:val="auto"/>
          <w:sz w:val="36"/>
          <w:szCs w:val="36"/>
          <w:lang w:eastAsia="zh-CN"/>
        </w:rPr>
        <w:t>；</w:t>
      </w:r>
      <w:r>
        <w:rPr>
          <w:rFonts w:hint="eastAsia" w:ascii="仿宋_GB2312" w:hAnsi="仿宋_GB2312" w:eastAsia="仿宋_GB2312" w:cs="仿宋_GB2312"/>
          <w:color w:val="auto"/>
          <w:sz w:val="36"/>
          <w:szCs w:val="36"/>
        </w:rPr>
        <w:t>鼓励茶叶经营主体依法运用资本市场募集社会资金挂牌上市，完善联农带农利益联结机制；鼓励打造现代茶叶产业园、茶叶强镇、茶叶产业集群，推动茶产业聚集发展。</w:t>
      </w:r>
    </w:p>
    <w:p>
      <w:pPr>
        <w:spacing w:line="600" w:lineRule="exact"/>
        <w:ind w:firstLine="720" w:firstLineChars="200"/>
        <w:rPr>
          <w:rFonts w:ascii="仿宋_GB2312" w:hAnsi="仿宋_GB2312" w:eastAsia="仿宋_GB2312" w:cs="仿宋_GB2312"/>
          <w:color w:val="auto"/>
          <w:sz w:val="36"/>
          <w:szCs w:val="36"/>
        </w:rPr>
      </w:pPr>
      <w:r>
        <w:rPr>
          <w:rFonts w:hint="eastAsia" w:ascii="黑体" w:hAnsi="黑体" w:eastAsia="黑体" w:cs="黑体"/>
          <w:color w:val="auto"/>
          <w:sz w:val="36"/>
          <w:szCs w:val="36"/>
        </w:rPr>
        <w:t>第十</w:t>
      </w:r>
      <w:r>
        <w:rPr>
          <w:rFonts w:hint="eastAsia" w:ascii="黑体" w:hAnsi="黑体" w:eastAsia="黑体" w:cs="黑体"/>
          <w:color w:val="auto"/>
          <w:sz w:val="36"/>
          <w:szCs w:val="36"/>
          <w:lang w:eastAsia="zh-CN"/>
        </w:rPr>
        <w:t>四</w:t>
      </w:r>
      <w:r>
        <w:rPr>
          <w:rFonts w:hint="eastAsia" w:ascii="黑体" w:hAnsi="黑体" w:eastAsia="黑体" w:cs="黑体"/>
          <w:color w:val="auto"/>
          <w:sz w:val="36"/>
          <w:szCs w:val="36"/>
        </w:rPr>
        <w:t>条【市场销售】</w:t>
      </w:r>
      <w:r>
        <w:rPr>
          <w:rFonts w:hint="eastAsia" w:ascii="仿宋_GB2312" w:hAnsi="仿宋_GB2312" w:eastAsia="仿宋_GB2312" w:cs="仿宋_GB2312"/>
          <w:color w:val="auto"/>
          <w:sz w:val="36"/>
          <w:szCs w:val="36"/>
        </w:rPr>
        <w:t>茶叶主产区县级以上人民政府应当新建和完善茶叶交易场所、批发市场及配套设施。</w:t>
      </w:r>
    </w:p>
    <w:p>
      <w:pPr>
        <w:spacing w:line="600" w:lineRule="exact"/>
        <w:ind w:firstLine="720" w:firstLineChars="200"/>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茶叶主产区县级以上人民政府商务</w:t>
      </w:r>
      <w:r>
        <w:rPr>
          <w:rFonts w:hint="eastAsia" w:ascii="仿宋_GB2312" w:hAnsi="仿宋_GB2312" w:eastAsia="仿宋_GB2312" w:cs="仿宋_GB2312"/>
          <w:color w:val="auto"/>
          <w:sz w:val="36"/>
          <w:szCs w:val="36"/>
          <w:lang w:eastAsia="zh-CN"/>
        </w:rPr>
        <w:t>主管</w:t>
      </w:r>
      <w:r>
        <w:rPr>
          <w:rFonts w:hint="eastAsia" w:ascii="仿宋_GB2312" w:hAnsi="仿宋_GB2312" w:eastAsia="仿宋_GB2312" w:cs="仿宋_GB2312"/>
          <w:color w:val="auto"/>
          <w:sz w:val="36"/>
          <w:szCs w:val="36"/>
        </w:rPr>
        <w:t>部门应当支持茶叶经营主体开展线上销售，发展跨境电商</w:t>
      </w:r>
      <w:r>
        <w:rPr>
          <w:rFonts w:hint="eastAsia" w:ascii="仿宋_GB2312" w:hAnsi="仿宋_GB2312" w:eastAsia="仿宋_GB2312" w:cs="仿宋_GB2312"/>
          <w:color w:val="auto"/>
          <w:sz w:val="36"/>
          <w:szCs w:val="36"/>
          <w:lang w:eastAsia="zh-CN"/>
        </w:rPr>
        <w:t>，</w:t>
      </w:r>
      <w:r>
        <w:rPr>
          <w:rFonts w:hint="eastAsia" w:ascii="仿宋_GB2312" w:hAnsi="仿宋_GB2312" w:eastAsia="仿宋_GB2312" w:cs="仿宋_GB2312"/>
          <w:color w:val="auto"/>
          <w:sz w:val="36"/>
          <w:szCs w:val="36"/>
        </w:rPr>
        <w:t>建立海外仓，促进线下与线上交易相结合，拓展国内国际市场；支持茶叶经营主体参加国（境）外重点展会，对接海外订单，提升茶叶自营出口额。</w:t>
      </w:r>
    </w:p>
    <w:p>
      <w:pPr>
        <w:spacing w:line="600" w:lineRule="exact"/>
        <w:ind w:firstLine="720" w:firstLineChars="200"/>
        <w:rPr>
          <w:rFonts w:ascii="黑体" w:hAnsi="黑体" w:eastAsia="黑体" w:cs="黑体"/>
          <w:color w:val="auto"/>
          <w:sz w:val="36"/>
          <w:szCs w:val="36"/>
        </w:rPr>
      </w:pPr>
      <w:r>
        <w:rPr>
          <w:rFonts w:hint="eastAsia" w:ascii="黑体" w:hAnsi="黑体" w:eastAsia="黑体" w:cs="黑体"/>
          <w:color w:val="auto"/>
          <w:sz w:val="36"/>
          <w:szCs w:val="36"/>
        </w:rPr>
        <w:t>第十</w:t>
      </w:r>
      <w:r>
        <w:rPr>
          <w:rFonts w:hint="eastAsia" w:ascii="黑体" w:hAnsi="黑体" w:eastAsia="黑体" w:cs="黑体"/>
          <w:color w:val="auto"/>
          <w:sz w:val="36"/>
          <w:szCs w:val="36"/>
          <w:lang w:eastAsia="zh-CN"/>
        </w:rPr>
        <w:t>五</w:t>
      </w:r>
      <w:r>
        <w:rPr>
          <w:rFonts w:hint="eastAsia" w:ascii="黑体" w:hAnsi="黑体" w:eastAsia="黑体" w:cs="黑体"/>
          <w:color w:val="auto"/>
          <w:sz w:val="36"/>
          <w:szCs w:val="36"/>
        </w:rPr>
        <w:t>条【扩大出口】</w:t>
      </w:r>
      <w:r>
        <w:rPr>
          <w:rFonts w:hint="eastAsia" w:ascii="仿宋_GB2312" w:hAnsi="仿宋_GB2312" w:eastAsia="仿宋_GB2312" w:cs="仿宋_GB2312"/>
          <w:color w:val="auto"/>
          <w:sz w:val="36"/>
          <w:szCs w:val="36"/>
        </w:rPr>
        <w:t>省人民政府应当推动茶叶地理标志产品纳入国际地理标志互认互保清单，支持茶叶经营主体获取</w:t>
      </w:r>
      <w:r>
        <w:rPr>
          <w:rFonts w:ascii="仿宋_GB2312" w:hAnsi="仿宋_GB2312" w:eastAsia="仿宋_GB2312" w:cs="仿宋_GB2312"/>
          <w:color w:val="auto"/>
          <w:sz w:val="36"/>
          <w:szCs w:val="36"/>
        </w:rPr>
        <w:t>国际有机、质量标准</w:t>
      </w:r>
      <w:r>
        <w:rPr>
          <w:rFonts w:hint="eastAsia" w:ascii="仿宋_GB2312" w:hAnsi="仿宋_GB2312" w:eastAsia="仿宋_GB2312" w:cs="仿宋_GB2312"/>
          <w:color w:val="auto"/>
          <w:sz w:val="36"/>
          <w:szCs w:val="36"/>
        </w:rPr>
        <w:t>等</w:t>
      </w:r>
      <w:r>
        <w:rPr>
          <w:rFonts w:ascii="仿宋_GB2312" w:hAnsi="仿宋_GB2312" w:eastAsia="仿宋_GB2312" w:cs="仿宋_GB2312"/>
          <w:color w:val="auto"/>
          <w:sz w:val="36"/>
          <w:szCs w:val="36"/>
        </w:rPr>
        <w:t>认证，增强国际市场竞争力</w:t>
      </w:r>
      <w:r>
        <w:rPr>
          <w:rFonts w:hint="eastAsia" w:ascii="仿宋_GB2312" w:hAnsi="仿宋_GB2312" w:eastAsia="仿宋_GB2312" w:cs="仿宋_GB2312"/>
          <w:color w:val="auto"/>
          <w:sz w:val="36"/>
          <w:szCs w:val="36"/>
        </w:rPr>
        <w:t>，扩大茶叶自营出口。</w:t>
      </w:r>
    </w:p>
    <w:p>
      <w:pPr>
        <w:spacing w:line="600" w:lineRule="exact"/>
        <w:ind w:firstLine="720" w:firstLineChars="200"/>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海关应当会同农业农村部门建立进出口茶叶贸易政策和监管信息共享机制。海关应当支持茶叶经营主体申报出口注册</w:t>
      </w:r>
      <w:r>
        <w:rPr>
          <w:rFonts w:hint="eastAsia" w:ascii="仿宋_GB2312" w:hAnsi="仿宋_GB2312" w:eastAsia="仿宋_GB2312" w:cs="仿宋_GB2312"/>
          <w:color w:val="auto"/>
          <w:sz w:val="36"/>
          <w:szCs w:val="36"/>
          <w:highlight w:val="none"/>
        </w:rPr>
        <w:t>（备案）</w:t>
      </w:r>
      <w:r>
        <w:rPr>
          <w:rFonts w:hint="eastAsia" w:ascii="仿宋_GB2312" w:hAnsi="仿宋_GB2312" w:eastAsia="仿宋_GB2312" w:cs="仿宋_GB2312"/>
          <w:color w:val="auto"/>
          <w:sz w:val="36"/>
          <w:szCs w:val="36"/>
        </w:rPr>
        <w:t>企业、茶叶出口基地建设，组织企业通关培训。</w:t>
      </w:r>
    </w:p>
    <w:p>
      <w:pPr>
        <w:spacing w:line="600" w:lineRule="exact"/>
        <w:ind w:firstLine="720" w:firstLineChars="200"/>
        <w:rPr>
          <w:rFonts w:ascii="黑体" w:hAnsi="黑体" w:eastAsia="仿宋_GB2312" w:cs="黑体"/>
          <w:color w:val="auto"/>
          <w:sz w:val="36"/>
          <w:szCs w:val="36"/>
        </w:rPr>
      </w:pPr>
      <w:r>
        <w:rPr>
          <w:rFonts w:hint="eastAsia" w:ascii="黑体" w:hAnsi="黑体" w:eastAsia="黑体" w:cs="黑体"/>
          <w:color w:val="auto"/>
          <w:sz w:val="36"/>
          <w:szCs w:val="36"/>
        </w:rPr>
        <w:t>第十</w:t>
      </w:r>
      <w:r>
        <w:rPr>
          <w:rFonts w:hint="eastAsia" w:ascii="黑体" w:hAnsi="黑体" w:eastAsia="黑体" w:cs="黑体"/>
          <w:color w:val="auto"/>
          <w:sz w:val="36"/>
          <w:szCs w:val="36"/>
          <w:lang w:eastAsia="zh-CN"/>
        </w:rPr>
        <w:t>六</w:t>
      </w:r>
      <w:r>
        <w:rPr>
          <w:rFonts w:hint="eastAsia" w:ascii="黑体" w:hAnsi="黑体" w:eastAsia="黑体" w:cs="黑体"/>
          <w:color w:val="auto"/>
          <w:sz w:val="36"/>
          <w:szCs w:val="36"/>
        </w:rPr>
        <w:t>条【茶科技发展】</w:t>
      </w:r>
      <w:r>
        <w:rPr>
          <w:rFonts w:hint="eastAsia" w:ascii="仿宋_GB2312" w:hAnsi="仿宋_GB2312" w:eastAsia="仿宋_GB2312" w:cs="仿宋_GB2312"/>
          <w:color w:val="auto"/>
          <w:sz w:val="36"/>
          <w:szCs w:val="36"/>
        </w:rPr>
        <w:t>省人民政府科技主管部门应当加强茶产业相关领域重点实验室建设，支持创建以茶产业为特色的研发平台。鼓励和支持科研机构、高等院校、职业院校和茶叶经营主体联合建立科技创新与成果转化机制，开展茶树育种及种植、茶园管理机械、产品加工的先进技术、设备的研发。</w:t>
      </w:r>
    </w:p>
    <w:p>
      <w:pPr>
        <w:spacing w:line="600" w:lineRule="exact"/>
        <w:ind w:firstLine="720" w:firstLineChars="200"/>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茶叶主产区县级以上人民政府应当构建茶产业科技创新协同机制，推动茶树种业、绿色生产加工技术创新。鼓励和支持建立联合育种体系，培育本土主推的茶树品种，</w:t>
      </w:r>
      <w:r>
        <w:rPr>
          <w:rFonts w:hint="eastAsia" w:ascii="仿宋_GB2312" w:eastAsia="仿宋_GB2312"/>
          <w:color w:val="auto"/>
          <w:sz w:val="36"/>
          <w:szCs w:val="36"/>
        </w:rPr>
        <w:t>推广良种良法</w:t>
      </w:r>
      <w:r>
        <w:rPr>
          <w:rFonts w:hint="eastAsia" w:ascii="仿宋_GB2312" w:hAnsi="仿宋_GB2312" w:eastAsia="仿宋_GB2312" w:cs="仿宋_GB2312"/>
          <w:color w:val="auto"/>
          <w:sz w:val="36"/>
          <w:szCs w:val="36"/>
        </w:rPr>
        <w:t>；创新茶园绿色低碳生产种植、特色茶叶精准加工、功能性茶产品生产技术。</w:t>
      </w:r>
    </w:p>
    <w:p>
      <w:pPr>
        <w:spacing w:line="600" w:lineRule="exact"/>
        <w:ind w:firstLine="720" w:firstLineChars="200"/>
        <w:rPr>
          <w:rFonts w:ascii="仿宋_GB2312" w:hAnsi="仿宋_GB2312" w:eastAsia="仿宋_GB2312" w:cs="仿宋_GB2312"/>
          <w:color w:val="auto"/>
          <w:sz w:val="36"/>
          <w:szCs w:val="36"/>
        </w:rPr>
      </w:pPr>
      <w:r>
        <w:rPr>
          <w:rFonts w:hint="eastAsia" w:ascii="黑体" w:hAnsi="黑体" w:eastAsia="黑体" w:cs="黑体"/>
          <w:color w:val="auto"/>
          <w:sz w:val="36"/>
          <w:szCs w:val="36"/>
        </w:rPr>
        <w:t>第十</w:t>
      </w:r>
      <w:r>
        <w:rPr>
          <w:rFonts w:hint="eastAsia" w:ascii="黑体" w:hAnsi="黑体" w:eastAsia="黑体" w:cs="黑体"/>
          <w:color w:val="auto"/>
          <w:sz w:val="36"/>
          <w:szCs w:val="36"/>
          <w:lang w:eastAsia="zh-CN"/>
        </w:rPr>
        <w:t>七</w:t>
      </w:r>
      <w:r>
        <w:rPr>
          <w:rFonts w:hint="eastAsia" w:ascii="黑体" w:hAnsi="黑体" w:eastAsia="黑体" w:cs="黑体"/>
          <w:color w:val="auto"/>
          <w:sz w:val="36"/>
          <w:szCs w:val="36"/>
        </w:rPr>
        <w:t>条【茶文化发展】</w:t>
      </w:r>
      <w:r>
        <w:rPr>
          <w:rFonts w:hint="eastAsia" w:ascii="仿宋_GB2312" w:hAnsi="仿宋_GB2312" w:eastAsia="仿宋_GB2312" w:cs="仿宋_GB2312"/>
          <w:color w:val="auto"/>
          <w:sz w:val="36"/>
          <w:szCs w:val="36"/>
        </w:rPr>
        <w:t>县级以上人民政府应当支持开展茶文化资源普查和理论研究，保护列入非物质文化遗产名录的茶叶传统制作技艺。鼓励成立茶文化组织，开展茶事、茶艺等活动，挖掘、整理、保护及传播茶文化。</w:t>
      </w:r>
    </w:p>
    <w:p>
      <w:pPr>
        <w:spacing w:line="600" w:lineRule="exact"/>
        <w:ind w:firstLine="720" w:firstLineChars="200"/>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县级以上人民政府文化和旅游主管部门应当支持茶产业与文化、旅游、康养等产业融合发展，培育新业态新模式，提升茶产业综合效益。</w:t>
      </w:r>
    </w:p>
    <w:p>
      <w:pPr>
        <w:spacing w:line="600" w:lineRule="exact"/>
        <w:ind w:firstLine="720" w:firstLineChars="200"/>
        <w:rPr>
          <w:rFonts w:ascii="仿宋_GB2312" w:hAnsi="仿宋_GB2312" w:eastAsia="仿宋_GB2312" w:cs="仿宋_GB2312"/>
          <w:color w:val="auto"/>
          <w:sz w:val="36"/>
          <w:szCs w:val="36"/>
        </w:rPr>
      </w:pPr>
      <w:r>
        <w:rPr>
          <w:rFonts w:hint="eastAsia" w:ascii="黑体" w:hAnsi="黑体" w:eastAsia="黑体" w:cs="黑体"/>
          <w:color w:val="auto"/>
          <w:sz w:val="36"/>
          <w:szCs w:val="36"/>
        </w:rPr>
        <w:t>第十</w:t>
      </w:r>
      <w:r>
        <w:rPr>
          <w:rFonts w:hint="eastAsia" w:ascii="黑体" w:hAnsi="黑体" w:eastAsia="黑体" w:cs="黑体"/>
          <w:color w:val="auto"/>
          <w:sz w:val="36"/>
          <w:szCs w:val="36"/>
          <w:lang w:eastAsia="zh-CN"/>
        </w:rPr>
        <w:t>八</w:t>
      </w:r>
      <w:r>
        <w:rPr>
          <w:rFonts w:hint="eastAsia" w:ascii="黑体" w:hAnsi="黑体" w:eastAsia="黑体" w:cs="黑体"/>
          <w:color w:val="auto"/>
          <w:sz w:val="36"/>
          <w:szCs w:val="36"/>
        </w:rPr>
        <w:t>条【社团组织建设】</w:t>
      </w:r>
      <w:r>
        <w:rPr>
          <w:rFonts w:hint="eastAsia" w:ascii="仿宋_GB2312" w:hAnsi="仿宋_GB2312" w:eastAsia="仿宋_GB2312" w:cs="仿宋_GB2312"/>
          <w:color w:val="auto"/>
          <w:sz w:val="36"/>
          <w:szCs w:val="36"/>
        </w:rPr>
        <w:t>县级以上人民政府应当支持依法成立的茶叶行业社团组织开展名优茶评定等活动。茶叶行业社团组织应当规范行业行为，为茶叶经营主体提供服务，加强行业自律和人才培训，开展行业诚信建设，引导茶叶经营主体依法生产经营。</w:t>
      </w:r>
    </w:p>
    <w:p>
      <w:pPr>
        <w:spacing w:line="600" w:lineRule="exact"/>
        <w:ind w:firstLine="720" w:firstLineChars="200"/>
        <w:rPr>
          <w:rFonts w:ascii="黑体" w:hAnsi="黑体" w:eastAsia="仿宋_GB2312" w:cs="黑体"/>
          <w:color w:val="auto"/>
          <w:sz w:val="36"/>
          <w:szCs w:val="36"/>
          <w:highlight w:val="yellow"/>
        </w:rPr>
      </w:pPr>
      <w:r>
        <w:rPr>
          <w:rFonts w:hint="eastAsia" w:ascii="黑体" w:hAnsi="黑体" w:eastAsia="黑体" w:cs="黑体"/>
          <w:color w:val="auto"/>
          <w:sz w:val="36"/>
          <w:szCs w:val="36"/>
        </w:rPr>
        <w:t>第十</w:t>
      </w:r>
      <w:r>
        <w:rPr>
          <w:rFonts w:hint="eastAsia" w:ascii="黑体" w:hAnsi="黑体" w:eastAsia="黑体" w:cs="黑体"/>
          <w:color w:val="auto"/>
          <w:sz w:val="36"/>
          <w:szCs w:val="36"/>
          <w:lang w:eastAsia="zh-CN"/>
        </w:rPr>
        <w:t>九</w:t>
      </w:r>
      <w:r>
        <w:rPr>
          <w:rFonts w:hint="eastAsia" w:ascii="黑体" w:hAnsi="黑体" w:eastAsia="黑体" w:cs="黑体"/>
          <w:color w:val="auto"/>
          <w:sz w:val="36"/>
          <w:szCs w:val="36"/>
        </w:rPr>
        <w:t>条【优惠政策和措施】</w:t>
      </w:r>
      <w:r>
        <w:rPr>
          <w:rFonts w:hint="eastAsia" w:ascii="仿宋_GB2312" w:hAnsi="仿宋_GB2312" w:eastAsia="仿宋_GB2312" w:cs="仿宋_GB2312"/>
          <w:color w:val="auto"/>
          <w:sz w:val="36"/>
          <w:szCs w:val="36"/>
        </w:rPr>
        <w:t>县级以上人民政府应当制定促进茶产业发展的优惠政策和具体措施。统筹整合中央和省级财政等多渠道资金，加大茶产业发展支持力度。加大有关茶业基础性、公益性研究投入，推进茶业科技创新和成果转化应用。</w:t>
      </w:r>
    </w:p>
    <w:p>
      <w:pPr>
        <w:spacing w:line="600" w:lineRule="exact"/>
        <w:ind w:firstLine="720" w:firstLineChars="200"/>
        <w:rPr>
          <w:rFonts w:ascii="黑体" w:hAnsi="黑体" w:eastAsia="黑体" w:cs="黑体"/>
          <w:color w:val="auto"/>
          <w:sz w:val="36"/>
          <w:szCs w:val="36"/>
        </w:rPr>
      </w:pPr>
      <w:r>
        <w:rPr>
          <w:rFonts w:hint="eastAsia" w:ascii="黑体" w:hAnsi="黑体" w:eastAsia="黑体" w:cs="黑体"/>
          <w:color w:val="auto"/>
          <w:sz w:val="36"/>
          <w:szCs w:val="36"/>
        </w:rPr>
        <w:t>第</w:t>
      </w:r>
      <w:r>
        <w:rPr>
          <w:rFonts w:hint="eastAsia" w:ascii="黑体" w:hAnsi="黑体" w:eastAsia="黑体" w:cs="黑体"/>
          <w:color w:val="auto"/>
          <w:sz w:val="36"/>
          <w:szCs w:val="36"/>
          <w:lang w:eastAsia="zh-CN"/>
        </w:rPr>
        <w:t>二</w:t>
      </w:r>
      <w:r>
        <w:rPr>
          <w:rFonts w:hint="eastAsia" w:ascii="黑体" w:hAnsi="黑体" w:eastAsia="黑体" w:cs="黑体"/>
          <w:color w:val="auto"/>
          <w:sz w:val="36"/>
          <w:szCs w:val="36"/>
        </w:rPr>
        <w:t>十条【确权与抵押】</w:t>
      </w:r>
      <w:r>
        <w:rPr>
          <w:rFonts w:hint="eastAsia" w:ascii="仿宋_GB2312" w:hAnsi="仿宋_GB2312" w:eastAsia="仿宋_GB2312" w:cs="仿宋_GB2312"/>
          <w:color w:val="auto"/>
          <w:sz w:val="36"/>
          <w:szCs w:val="36"/>
        </w:rPr>
        <w:t>茶叶主产区县级以上人民政府应当支持山地茶园的权利人向不动产登记机构提出林权登记申请，由不动产登记机构依法核发不动产权属证书和登记证明。支持山地茶园权利人以林权作为抵押进行贷款。</w:t>
      </w:r>
    </w:p>
    <w:p>
      <w:pPr>
        <w:spacing w:line="600" w:lineRule="exact"/>
        <w:ind w:firstLine="720" w:firstLineChars="200"/>
        <w:rPr>
          <w:rFonts w:ascii="仿宋_GB2312" w:hAnsi="仿宋_GB2312" w:eastAsia="仿宋_GB2312" w:cs="仿宋_GB2312"/>
          <w:color w:val="auto"/>
          <w:sz w:val="36"/>
          <w:szCs w:val="36"/>
        </w:rPr>
      </w:pPr>
      <w:r>
        <w:rPr>
          <w:rFonts w:hint="eastAsia" w:ascii="黑体" w:hAnsi="黑体" w:eastAsia="黑体" w:cs="黑体"/>
          <w:color w:val="auto"/>
          <w:sz w:val="36"/>
          <w:szCs w:val="36"/>
        </w:rPr>
        <w:t>第二十</w:t>
      </w:r>
      <w:r>
        <w:rPr>
          <w:rFonts w:hint="eastAsia" w:ascii="黑体" w:hAnsi="黑体" w:eastAsia="黑体" w:cs="黑体"/>
          <w:color w:val="auto"/>
          <w:sz w:val="36"/>
          <w:szCs w:val="36"/>
          <w:lang w:eastAsia="zh-CN"/>
        </w:rPr>
        <w:t>一</w:t>
      </w:r>
      <w:r>
        <w:rPr>
          <w:rFonts w:hint="eastAsia" w:ascii="黑体" w:hAnsi="黑体" w:eastAsia="黑体" w:cs="黑体"/>
          <w:color w:val="auto"/>
          <w:sz w:val="36"/>
          <w:szCs w:val="36"/>
        </w:rPr>
        <w:t>条【金融与保险】</w:t>
      </w:r>
      <w:r>
        <w:rPr>
          <w:rFonts w:hint="eastAsia" w:ascii="仿宋_GB2312" w:hAnsi="仿宋_GB2312" w:eastAsia="仿宋_GB2312" w:cs="仿宋_GB2312"/>
          <w:color w:val="auto"/>
          <w:sz w:val="36"/>
          <w:szCs w:val="36"/>
        </w:rPr>
        <w:t>茶叶主产区县级以上人民政府鼓励金融机构开发、创新茶产业发展的金融产品和服务，加大对茶产业项目的信贷投入。</w:t>
      </w:r>
    </w:p>
    <w:p>
      <w:pPr>
        <w:spacing w:line="600" w:lineRule="exact"/>
        <w:ind w:firstLine="720" w:firstLineChars="200"/>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创新地方特色茶叶保险产品，优化茶产业风险保障机制。</w:t>
      </w:r>
    </w:p>
    <w:p>
      <w:pPr>
        <w:spacing w:line="600" w:lineRule="exact"/>
        <w:ind w:firstLine="720" w:firstLineChars="200"/>
        <w:rPr>
          <w:rFonts w:ascii="黑体" w:hAnsi="黑体" w:eastAsia="黑体" w:cs="黑体"/>
          <w:color w:val="auto"/>
          <w:sz w:val="36"/>
          <w:szCs w:val="36"/>
        </w:rPr>
      </w:pPr>
      <w:r>
        <w:rPr>
          <w:rFonts w:hint="eastAsia" w:ascii="黑体" w:hAnsi="黑体" w:eastAsia="黑体" w:cs="黑体"/>
          <w:color w:val="auto"/>
          <w:sz w:val="36"/>
          <w:szCs w:val="36"/>
        </w:rPr>
        <w:t>第二十</w:t>
      </w:r>
      <w:r>
        <w:rPr>
          <w:rFonts w:hint="eastAsia" w:ascii="黑体" w:hAnsi="黑体" w:eastAsia="黑体" w:cs="黑体"/>
          <w:color w:val="auto"/>
          <w:sz w:val="36"/>
          <w:szCs w:val="36"/>
          <w:lang w:eastAsia="zh-CN"/>
        </w:rPr>
        <w:t>二</w:t>
      </w:r>
      <w:r>
        <w:rPr>
          <w:rFonts w:hint="eastAsia" w:ascii="黑体" w:hAnsi="黑体" w:eastAsia="黑体" w:cs="黑体"/>
          <w:color w:val="auto"/>
          <w:sz w:val="36"/>
          <w:szCs w:val="36"/>
        </w:rPr>
        <w:t>条【茶机械补贴】</w:t>
      </w:r>
      <w:r>
        <w:rPr>
          <w:rFonts w:hint="eastAsia" w:ascii="仿宋_GB2312" w:hAnsi="仿宋_GB2312" w:eastAsia="仿宋_GB2312" w:cs="仿宋_GB2312"/>
          <w:color w:val="auto"/>
          <w:sz w:val="36"/>
          <w:szCs w:val="36"/>
        </w:rPr>
        <w:t>省人民政府农业农村主管部门应当将适宜在本省推广使用的茶叶生产、加工机械产品，列入本省支持推广的农业机械产品目录，按有关规定对购买目录内机械产品给予补贴。</w:t>
      </w:r>
    </w:p>
    <w:p>
      <w:pPr>
        <w:spacing w:line="600" w:lineRule="exact"/>
        <w:ind w:firstLine="720" w:firstLineChars="200"/>
        <w:rPr>
          <w:rFonts w:ascii="仿宋_GB2312" w:hAnsi="仿宋_GB2312" w:eastAsia="仿宋_GB2312" w:cs="仿宋_GB2312"/>
          <w:color w:val="auto"/>
          <w:sz w:val="36"/>
          <w:szCs w:val="36"/>
        </w:rPr>
      </w:pPr>
      <w:r>
        <w:rPr>
          <w:rFonts w:hint="eastAsia" w:ascii="黑体" w:hAnsi="黑体" w:eastAsia="黑体" w:cs="黑体"/>
          <w:color w:val="auto"/>
          <w:sz w:val="36"/>
          <w:szCs w:val="36"/>
        </w:rPr>
        <w:t>第二十</w:t>
      </w:r>
      <w:r>
        <w:rPr>
          <w:rFonts w:hint="eastAsia" w:ascii="黑体" w:hAnsi="黑体" w:eastAsia="黑体" w:cs="黑体"/>
          <w:color w:val="auto"/>
          <w:sz w:val="36"/>
          <w:szCs w:val="36"/>
          <w:lang w:eastAsia="zh-CN"/>
        </w:rPr>
        <w:t>三</w:t>
      </w:r>
      <w:r>
        <w:rPr>
          <w:rFonts w:hint="eastAsia" w:ascii="黑体" w:hAnsi="黑体" w:eastAsia="黑体" w:cs="黑体"/>
          <w:color w:val="auto"/>
          <w:sz w:val="36"/>
          <w:szCs w:val="36"/>
        </w:rPr>
        <w:t>条【推广与社会化服务】</w:t>
      </w:r>
      <w:r>
        <w:rPr>
          <w:rFonts w:hint="eastAsia" w:ascii="仿宋_GB2312" w:hAnsi="仿宋_GB2312" w:eastAsia="仿宋_GB2312" w:cs="仿宋_GB2312"/>
          <w:color w:val="auto"/>
          <w:sz w:val="36"/>
          <w:szCs w:val="36"/>
        </w:rPr>
        <w:t>茶叶主产区县级以上人民政府应当加强茶叶新品种、</w:t>
      </w:r>
      <w:r>
        <w:rPr>
          <w:rFonts w:hint="eastAsia" w:ascii="仿宋_GB2312" w:hAnsi="仿宋_GB2312" w:eastAsia="仿宋_GB2312" w:cs="仿宋_GB2312"/>
          <w:color w:val="auto"/>
          <w:sz w:val="36"/>
          <w:szCs w:val="36"/>
          <w:highlight w:val="none"/>
        </w:rPr>
        <w:t>新农艺</w:t>
      </w:r>
      <w:r>
        <w:rPr>
          <w:rFonts w:hint="eastAsia" w:ascii="仿宋_GB2312" w:hAnsi="仿宋_GB2312" w:eastAsia="仿宋_GB2312" w:cs="仿宋_GB2312"/>
          <w:color w:val="auto"/>
          <w:sz w:val="36"/>
          <w:szCs w:val="36"/>
        </w:rPr>
        <w:t>、新技术、新机具的推广力量，鼓励茶叶经营主体设立茶叶科技研发、推广机构，开展茶树优良品种选育以及茶叶高产优质栽培等技术的研发和推广。</w:t>
      </w:r>
    </w:p>
    <w:p>
      <w:pPr>
        <w:spacing w:line="600" w:lineRule="exact"/>
        <w:ind w:firstLine="720" w:firstLineChars="200"/>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茶叶主产区县级以上人民政府鼓励支持建设公益性和经营性相结合的茶业社会化服务体系，推进茶叶生产周期全程托管，推动茶叶社会化服务发展。</w:t>
      </w:r>
    </w:p>
    <w:p>
      <w:pPr>
        <w:spacing w:line="600" w:lineRule="exact"/>
        <w:ind w:firstLine="720" w:firstLineChars="200"/>
        <w:rPr>
          <w:rFonts w:ascii="仿宋_GB2312" w:hAnsi="仿宋_GB2312" w:eastAsia="仿宋_GB2312" w:cs="仿宋_GB2312"/>
          <w:color w:val="auto"/>
          <w:sz w:val="36"/>
          <w:szCs w:val="36"/>
        </w:rPr>
      </w:pPr>
      <w:r>
        <w:rPr>
          <w:rFonts w:hint="eastAsia" w:ascii="黑体" w:hAnsi="黑体" w:eastAsia="黑体" w:cs="黑体"/>
          <w:color w:val="auto"/>
          <w:sz w:val="36"/>
          <w:szCs w:val="36"/>
        </w:rPr>
        <w:t>第二十</w:t>
      </w:r>
      <w:r>
        <w:rPr>
          <w:rFonts w:hint="eastAsia" w:ascii="黑体" w:hAnsi="黑体" w:eastAsia="黑体" w:cs="黑体"/>
          <w:color w:val="auto"/>
          <w:sz w:val="36"/>
          <w:szCs w:val="36"/>
          <w:lang w:eastAsia="zh-CN"/>
        </w:rPr>
        <w:t>四</w:t>
      </w:r>
      <w:r>
        <w:rPr>
          <w:rFonts w:hint="eastAsia" w:ascii="黑体" w:hAnsi="黑体" w:eastAsia="黑体" w:cs="黑体"/>
          <w:color w:val="auto"/>
          <w:sz w:val="36"/>
          <w:szCs w:val="36"/>
        </w:rPr>
        <w:t>条【人才培养】</w:t>
      </w:r>
      <w:r>
        <w:rPr>
          <w:rFonts w:hint="eastAsia" w:ascii="仿宋_GB2312" w:hAnsi="仿宋_GB2312" w:eastAsia="仿宋_GB2312" w:cs="仿宋_GB2312"/>
          <w:color w:val="auto"/>
          <w:sz w:val="36"/>
          <w:szCs w:val="36"/>
        </w:rPr>
        <w:t>支持省内相关高校加强茶学学科建设和人才培养，完善人才培育体系；与国内相关高校和科研院所联合设立工作站，加强茶学领域科技人才队伍和智库建设。</w:t>
      </w:r>
    </w:p>
    <w:p>
      <w:pPr>
        <w:spacing w:line="600" w:lineRule="exact"/>
        <w:ind w:firstLine="720" w:firstLineChars="200"/>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鼓励省内涉茶职业院校培养茶产业技术应用型人才。鼓励开展茶叶加工、评茶、茶艺等职业技能培训和认定，培育本土茶产业工匠。</w:t>
      </w:r>
    </w:p>
    <w:p>
      <w:pPr>
        <w:spacing w:line="600" w:lineRule="exact"/>
        <w:ind w:firstLine="720" w:firstLineChars="200"/>
        <w:rPr>
          <w:rFonts w:ascii="仿宋_GB2312" w:hAnsi="仿宋_GB2312" w:eastAsia="仿宋_GB2312" w:cs="仿宋_GB2312"/>
          <w:color w:val="auto"/>
          <w:sz w:val="36"/>
          <w:szCs w:val="36"/>
        </w:rPr>
      </w:pPr>
      <w:r>
        <w:rPr>
          <w:rFonts w:hint="eastAsia" w:ascii="黑体" w:hAnsi="黑体" w:eastAsia="黑体" w:cs="黑体"/>
          <w:color w:val="auto"/>
          <w:sz w:val="36"/>
          <w:szCs w:val="36"/>
        </w:rPr>
        <w:t>第二十五条【检验检测机构与监管】</w:t>
      </w:r>
      <w:r>
        <w:rPr>
          <w:rFonts w:hint="eastAsia" w:ascii="仿宋_GB2312" w:hAnsi="仿宋_GB2312" w:eastAsia="仿宋_GB2312" w:cs="仿宋_GB2312"/>
          <w:color w:val="auto"/>
          <w:sz w:val="36"/>
          <w:szCs w:val="36"/>
        </w:rPr>
        <w:t>茶叶交易场所、批发市场应当设立或委托茶叶质量检验检测机构，对进行销售的茶叶质量安全状况进行抽查检测。</w:t>
      </w:r>
    </w:p>
    <w:p>
      <w:pPr>
        <w:spacing w:line="600" w:lineRule="exact"/>
        <w:ind w:firstLine="720" w:firstLineChars="200"/>
        <w:rPr>
          <w:rFonts w:ascii="仿宋_GB2312" w:hAnsi="仿宋_GB2312" w:eastAsia="仿宋_GB2312" w:cs="仿宋_GB2312"/>
          <w:color w:val="auto"/>
          <w:sz w:val="36"/>
          <w:szCs w:val="36"/>
        </w:rPr>
      </w:pPr>
      <w:r>
        <w:rPr>
          <w:rFonts w:hint="eastAsia" w:ascii="仿宋_GB2312" w:hAnsi="仿宋_GB2312" w:eastAsia="仿宋_GB2312" w:cs="仿宋_GB2312"/>
          <w:color w:val="auto"/>
          <w:sz w:val="36"/>
          <w:szCs w:val="36"/>
        </w:rPr>
        <w:t>县级以上人民政府市场</w:t>
      </w:r>
      <w:r>
        <w:rPr>
          <w:rFonts w:hint="eastAsia" w:ascii="仿宋_GB2312" w:hAnsi="仿宋_GB2312" w:eastAsia="仿宋_GB2312" w:cs="仿宋_GB2312"/>
          <w:color w:val="auto"/>
          <w:sz w:val="36"/>
          <w:szCs w:val="36"/>
          <w:lang w:eastAsia="zh-CN"/>
        </w:rPr>
        <w:t>监督管理主管</w:t>
      </w:r>
      <w:r>
        <w:rPr>
          <w:rFonts w:hint="eastAsia" w:ascii="仿宋_GB2312" w:hAnsi="仿宋_GB2312" w:eastAsia="仿宋_GB2312" w:cs="仿宋_GB2312"/>
          <w:color w:val="auto"/>
          <w:sz w:val="36"/>
          <w:szCs w:val="36"/>
        </w:rPr>
        <w:t>部门应当加强茶叶产品质量安全监管，对生产销售的茶叶产品进行监督抽查，监督抽查结果由市场</w:t>
      </w:r>
      <w:r>
        <w:rPr>
          <w:rFonts w:hint="eastAsia" w:ascii="仿宋_GB2312" w:hAnsi="仿宋_GB2312" w:eastAsia="仿宋_GB2312" w:cs="仿宋_GB2312"/>
          <w:color w:val="auto"/>
          <w:sz w:val="36"/>
          <w:szCs w:val="36"/>
          <w:lang w:eastAsia="zh-CN"/>
        </w:rPr>
        <w:t>监督管理</w:t>
      </w:r>
      <w:r>
        <w:rPr>
          <w:rFonts w:hint="eastAsia" w:ascii="仿宋_GB2312" w:hAnsi="仿宋_GB2312" w:eastAsia="仿宋_GB2312" w:cs="仿宋_GB2312"/>
          <w:color w:val="auto"/>
          <w:sz w:val="36"/>
          <w:szCs w:val="36"/>
        </w:rPr>
        <w:t>部门依法公布。</w:t>
      </w:r>
    </w:p>
    <w:p>
      <w:pPr>
        <w:spacing w:line="600" w:lineRule="exact"/>
        <w:ind w:firstLine="720" w:firstLineChars="200"/>
        <w:rPr>
          <w:rFonts w:ascii="仿宋_GB2312" w:hAnsi="仿宋_GB2312" w:eastAsia="仿宋_GB2312" w:cs="仿宋_GB2312"/>
          <w:color w:val="auto"/>
          <w:sz w:val="36"/>
          <w:szCs w:val="36"/>
        </w:rPr>
      </w:pPr>
      <w:r>
        <w:rPr>
          <w:rFonts w:hint="eastAsia" w:ascii="黑体" w:hAnsi="黑体" w:eastAsia="黑体" w:cs="黑体"/>
          <w:color w:val="auto"/>
          <w:sz w:val="36"/>
          <w:szCs w:val="36"/>
        </w:rPr>
        <w:t>第二十</w:t>
      </w:r>
      <w:r>
        <w:rPr>
          <w:rFonts w:hint="eastAsia" w:ascii="黑体" w:hAnsi="黑体" w:eastAsia="黑体" w:cs="黑体"/>
          <w:color w:val="auto"/>
          <w:sz w:val="36"/>
          <w:szCs w:val="36"/>
          <w:lang w:eastAsia="zh-CN"/>
        </w:rPr>
        <w:t>六</w:t>
      </w:r>
      <w:r>
        <w:rPr>
          <w:rFonts w:hint="eastAsia" w:ascii="黑体" w:hAnsi="黑体" w:eastAsia="黑体" w:cs="黑体"/>
          <w:color w:val="auto"/>
          <w:sz w:val="36"/>
          <w:szCs w:val="36"/>
        </w:rPr>
        <w:t>条</w:t>
      </w:r>
      <w:r>
        <w:rPr>
          <w:rFonts w:hint="eastAsia" w:ascii="黑体" w:hAnsi="黑体" w:eastAsia="黑体" w:cs="黑体"/>
          <w:color w:val="auto"/>
          <w:sz w:val="36"/>
          <w:szCs w:val="36"/>
          <w:lang w:eastAsia="zh-CN"/>
        </w:rPr>
        <w:t>【品牌监管】</w:t>
      </w:r>
      <w:r>
        <w:rPr>
          <w:rFonts w:hint="eastAsia" w:ascii="仿宋_GB2312" w:hAnsi="仿宋_GB2312" w:eastAsia="仿宋_GB2312" w:cs="仿宋_GB2312"/>
          <w:color w:val="auto"/>
          <w:sz w:val="36"/>
          <w:szCs w:val="36"/>
        </w:rPr>
        <w:t>县级以上人民政府市场监督管理</w:t>
      </w:r>
      <w:r>
        <w:rPr>
          <w:rFonts w:hint="eastAsia" w:ascii="仿宋_GB2312" w:hAnsi="仿宋_GB2312" w:eastAsia="仿宋_GB2312" w:cs="仿宋_GB2312"/>
          <w:color w:val="auto"/>
          <w:sz w:val="36"/>
          <w:szCs w:val="36"/>
          <w:lang w:eastAsia="zh-CN"/>
        </w:rPr>
        <w:t>主管</w:t>
      </w:r>
      <w:r>
        <w:rPr>
          <w:rFonts w:hint="eastAsia" w:ascii="仿宋_GB2312" w:hAnsi="仿宋_GB2312" w:eastAsia="仿宋_GB2312" w:cs="仿宋_GB2312"/>
          <w:color w:val="auto"/>
          <w:sz w:val="36"/>
          <w:szCs w:val="36"/>
        </w:rPr>
        <w:t>部门应当</w:t>
      </w:r>
      <w:r>
        <w:rPr>
          <w:rFonts w:hint="eastAsia" w:ascii="仿宋_GB2312" w:hAnsi="仿宋_GB2312" w:eastAsia="仿宋_GB2312" w:cs="仿宋_GB2312"/>
          <w:color w:val="auto"/>
          <w:sz w:val="36"/>
          <w:szCs w:val="36"/>
          <w:lang w:eastAsia="zh-CN"/>
        </w:rPr>
        <w:t>加强茶叶品牌保护，</w:t>
      </w:r>
      <w:r>
        <w:rPr>
          <w:rFonts w:hint="eastAsia" w:ascii="仿宋_GB2312" w:hAnsi="仿宋_GB2312" w:eastAsia="仿宋_GB2312" w:cs="仿宋_GB2312"/>
          <w:color w:val="auto"/>
          <w:sz w:val="36"/>
          <w:szCs w:val="36"/>
        </w:rPr>
        <w:t>依法查处侵犯注册商标</w:t>
      </w:r>
      <w:r>
        <w:rPr>
          <w:rFonts w:hint="eastAsia" w:ascii="仿宋_GB2312" w:hAnsi="仿宋_GB2312" w:eastAsia="仿宋_GB2312" w:cs="仿宋_GB2312"/>
          <w:color w:val="auto"/>
          <w:sz w:val="36"/>
          <w:szCs w:val="36"/>
          <w:lang w:eastAsia="zh-CN"/>
        </w:rPr>
        <w:t>专用权和</w:t>
      </w:r>
      <w:r>
        <w:rPr>
          <w:rFonts w:hint="eastAsia" w:ascii="仿宋_GB2312" w:hAnsi="仿宋_GB2312" w:eastAsia="仿宋_GB2312" w:cs="仿宋_GB2312"/>
          <w:color w:val="auto"/>
          <w:sz w:val="36"/>
          <w:szCs w:val="36"/>
        </w:rPr>
        <w:t>制售假冒伪劣产品</w:t>
      </w:r>
      <w:r>
        <w:rPr>
          <w:rFonts w:hint="eastAsia" w:ascii="仿宋_GB2312" w:hAnsi="仿宋_GB2312" w:eastAsia="仿宋_GB2312" w:cs="仿宋_GB2312"/>
          <w:color w:val="auto"/>
          <w:sz w:val="36"/>
          <w:szCs w:val="36"/>
          <w:lang w:eastAsia="zh-CN"/>
        </w:rPr>
        <w:t>等</w:t>
      </w:r>
      <w:r>
        <w:rPr>
          <w:rFonts w:hint="eastAsia" w:ascii="仿宋_GB2312" w:hAnsi="仿宋_GB2312" w:eastAsia="仿宋_GB2312" w:cs="仿宋_GB2312"/>
          <w:color w:val="auto"/>
          <w:sz w:val="36"/>
          <w:szCs w:val="36"/>
        </w:rPr>
        <w:t>行为，推动开展跨区域执法协作</w:t>
      </w:r>
      <w:r>
        <w:rPr>
          <w:rFonts w:hint="eastAsia" w:ascii="仿宋_GB2312" w:hAnsi="仿宋_GB2312" w:eastAsia="仿宋_GB2312" w:cs="仿宋_GB2312"/>
          <w:color w:val="auto"/>
          <w:sz w:val="36"/>
          <w:szCs w:val="36"/>
          <w:lang w:eastAsia="zh-CN"/>
        </w:rPr>
        <w:t>与维权援助</w:t>
      </w:r>
      <w:r>
        <w:rPr>
          <w:rFonts w:hint="eastAsia" w:ascii="仿宋_GB2312" w:hAnsi="仿宋_GB2312" w:eastAsia="仿宋_GB2312" w:cs="仿宋_GB2312"/>
          <w:color w:val="auto"/>
          <w:sz w:val="36"/>
          <w:szCs w:val="36"/>
        </w:rPr>
        <w:t>，维护茶叶市场秩序。</w:t>
      </w:r>
    </w:p>
    <w:p>
      <w:pPr>
        <w:adjustRightInd w:val="0"/>
        <w:spacing w:line="600" w:lineRule="exact"/>
        <w:ind w:firstLine="720" w:firstLineChars="200"/>
        <w:textAlignment w:val="top"/>
        <w:rPr>
          <w:rFonts w:ascii="仿宋_GB2312" w:eastAsia="仿宋_GB2312" w:cs="宋体"/>
          <w:color w:val="auto"/>
          <w:kern w:val="0"/>
          <w:sz w:val="36"/>
          <w:szCs w:val="36"/>
        </w:rPr>
      </w:pPr>
      <w:r>
        <w:rPr>
          <w:rFonts w:hint="eastAsia" w:ascii="黑体" w:hAnsi="黑体" w:eastAsia="黑体" w:cs="黑体"/>
          <w:color w:val="auto"/>
          <w:sz w:val="36"/>
          <w:szCs w:val="36"/>
        </w:rPr>
        <w:t>第二十</w:t>
      </w:r>
      <w:r>
        <w:rPr>
          <w:rFonts w:hint="eastAsia" w:ascii="黑体" w:hAnsi="黑体" w:eastAsia="黑体" w:cs="黑体"/>
          <w:color w:val="auto"/>
          <w:sz w:val="36"/>
          <w:szCs w:val="36"/>
          <w:lang w:eastAsia="zh-CN"/>
        </w:rPr>
        <w:t>七</w:t>
      </w:r>
      <w:r>
        <w:rPr>
          <w:rFonts w:hint="eastAsia" w:ascii="黑体" w:hAnsi="黑体" w:eastAsia="黑体" w:cs="黑体"/>
          <w:color w:val="auto"/>
          <w:sz w:val="36"/>
          <w:szCs w:val="36"/>
        </w:rPr>
        <w:t>条【违反使用有危害的农药和肥料相关责任】</w:t>
      </w:r>
      <w:r>
        <w:rPr>
          <w:rFonts w:hint="eastAsia" w:ascii="仿宋_GB2312" w:eastAsia="仿宋_GB2312" w:cs="宋体"/>
          <w:color w:val="auto"/>
          <w:kern w:val="0"/>
          <w:sz w:val="36"/>
          <w:szCs w:val="36"/>
        </w:rPr>
        <w:t>违反本条例第</w:t>
      </w:r>
      <w:r>
        <w:rPr>
          <w:rFonts w:hint="eastAsia" w:ascii="仿宋_GB2312" w:eastAsia="仿宋_GB2312" w:cs="宋体"/>
          <w:color w:val="auto"/>
          <w:kern w:val="0"/>
          <w:sz w:val="36"/>
          <w:szCs w:val="36"/>
          <w:lang w:eastAsia="zh-CN"/>
        </w:rPr>
        <w:t>七</w:t>
      </w:r>
      <w:r>
        <w:rPr>
          <w:rFonts w:hint="eastAsia" w:ascii="仿宋_GB2312" w:eastAsia="仿宋_GB2312" w:cs="宋体"/>
          <w:color w:val="auto"/>
          <w:kern w:val="0"/>
          <w:sz w:val="36"/>
          <w:szCs w:val="36"/>
        </w:rPr>
        <w:t>条第二款规定，使用剧毒、高毒、高残留农药和含有危害的重金属元素肥料的，由县级人民政府农业农村主管部门责令改正，没收茶叶产品，使用者为单位的，处五万元以上十万元以下罚款；使用者为个人的，处一千元以上一万元以下罚款。</w:t>
      </w:r>
    </w:p>
    <w:p>
      <w:pPr>
        <w:spacing w:line="600" w:lineRule="exact"/>
        <w:ind w:firstLine="720" w:firstLineChars="200"/>
        <w:rPr>
          <w:rFonts w:ascii="黑体" w:eastAsia="黑体" w:cs="宋体"/>
          <w:color w:val="auto"/>
          <w:kern w:val="0"/>
          <w:sz w:val="36"/>
          <w:szCs w:val="36"/>
        </w:rPr>
      </w:pPr>
      <w:r>
        <w:rPr>
          <w:rFonts w:hint="eastAsia" w:ascii="黑体" w:hAnsi="黑体" w:eastAsia="黑体" w:cs="黑体"/>
          <w:color w:val="auto"/>
          <w:sz w:val="36"/>
          <w:szCs w:val="36"/>
        </w:rPr>
        <w:t>第二十</w:t>
      </w:r>
      <w:r>
        <w:rPr>
          <w:rFonts w:hint="eastAsia" w:ascii="黑体" w:hAnsi="黑体" w:eastAsia="黑体" w:cs="黑体"/>
          <w:color w:val="auto"/>
          <w:sz w:val="36"/>
          <w:szCs w:val="36"/>
          <w:lang w:eastAsia="zh-CN"/>
        </w:rPr>
        <w:t>八</w:t>
      </w:r>
      <w:r>
        <w:rPr>
          <w:rFonts w:hint="eastAsia" w:ascii="黑体" w:hAnsi="黑体" w:eastAsia="黑体" w:cs="黑体"/>
          <w:color w:val="auto"/>
          <w:sz w:val="36"/>
          <w:szCs w:val="36"/>
        </w:rPr>
        <w:t>条【违反茶叶生产记录、添加外源物质相关责任】</w:t>
      </w:r>
      <w:r>
        <w:rPr>
          <w:rFonts w:hint="eastAsia" w:ascii="仿宋_GB2312" w:eastAsia="仿宋_GB2312" w:cs="宋体"/>
          <w:color w:val="auto"/>
          <w:kern w:val="0"/>
          <w:sz w:val="36"/>
          <w:szCs w:val="36"/>
        </w:rPr>
        <w:t>违反本条例第</w:t>
      </w:r>
      <w:r>
        <w:rPr>
          <w:rFonts w:hint="eastAsia" w:ascii="仿宋_GB2312" w:eastAsia="仿宋_GB2312" w:cs="宋体"/>
          <w:color w:val="auto"/>
          <w:kern w:val="0"/>
          <w:sz w:val="36"/>
          <w:szCs w:val="36"/>
          <w:lang w:eastAsia="zh-CN"/>
        </w:rPr>
        <w:t>九</w:t>
      </w:r>
      <w:r>
        <w:rPr>
          <w:rFonts w:hint="eastAsia" w:ascii="仿宋_GB2312" w:eastAsia="仿宋_GB2312" w:cs="宋体"/>
          <w:color w:val="auto"/>
          <w:kern w:val="0"/>
          <w:sz w:val="36"/>
          <w:szCs w:val="36"/>
        </w:rPr>
        <w:t>条第二款规定，</w:t>
      </w:r>
      <w:r>
        <w:rPr>
          <w:rFonts w:hint="eastAsia" w:ascii="仿宋_GB2312" w:hAnsi="仿宋_GB2312" w:eastAsia="仿宋_GB2312" w:cs="仿宋_GB2312"/>
          <w:color w:val="auto"/>
          <w:sz w:val="36"/>
          <w:szCs w:val="36"/>
        </w:rPr>
        <w:t>茶叶生产经营主体</w:t>
      </w:r>
      <w:r>
        <w:rPr>
          <w:rFonts w:hint="eastAsia" w:ascii="仿宋_GB2312" w:eastAsia="仿宋_GB2312" w:cs="宋体"/>
          <w:color w:val="auto"/>
          <w:kern w:val="0"/>
          <w:sz w:val="36"/>
          <w:szCs w:val="36"/>
        </w:rPr>
        <w:t>未建立茶叶生产记录或者伪造茶叶生产记录的，由县级人民政府农业农村主管部门责令改正；拒不改正的，处二百元以上二千元以下罚款。</w:t>
      </w:r>
    </w:p>
    <w:p>
      <w:pPr>
        <w:adjustRightInd w:val="0"/>
        <w:spacing w:line="600" w:lineRule="exact"/>
        <w:ind w:firstLine="641"/>
        <w:textAlignment w:val="top"/>
        <w:rPr>
          <w:rFonts w:ascii="仿宋_GB2312" w:eastAsia="仿宋_GB2312" w:cs="宋体"/>
          <w:color w:val="auto"/>
          <w:kern w:val="0"/>
          <w:sz w:val="36"/>
          <w:szCs w:val="36"/>
        </w:rPr>
      </w:pPr>
      <w:r>
        <w:rPr>
          <w:rFonts w:hint="eastAsia" w:ascii="仿宋_GB2312" w:eastAsia="仿宋_GB2312" w:cs="宋体"/>
          <w:color w:val="auto"/>
          <w:kern w:val="0"/>
          <w:sz w:val="36"/>
          <w:szCs w:val="36"/>
        </w:rPr>
        <w:t>违反本条例第</w:t>
      </w:r>
      <w:r>
        <w:rPr>
          <w:rFonts w:hint="eastAsia" w:ascii="仿宋_GB2312" w:eastAsia="仿宋_GB2312" w:cs="宋体"/>
          <w:color w:val="auto"/>
          <w:kern w:val="0"/>
          <w:sz w:val="36"/>
          <w:szCs w:val="36"/>
          <w:lang w:eastAsia="zh-CN"/>
        </w:rPr>
        <w:t>九</w:t>
      </w:r>
      <w:r>
        <w:rPr>
          <w:rFonts w:hint="eastAsia" w:ascii="仿宋_GB2312" w:eastAsia="仿宋_GB2312" w:cs="宋体"/>
          <w:color w:val="auto"/>
          <w:kern w:val="0"/>
          <w:sz w:val="36"/>
          <w:szCs w:val="36"/>
        </w:rPr>
        <w:t>条第三款规定，</w:t>
      </w:r>
      <w:r>
        <w:rPr>
          <w:rFonts w:hint="eastAsia" w:ascii="仿宋_GB2312" w:hAnsi="仿宋_GB2312" w:eastAsia="仿宋_GB2312" w:cs="仿宋_GB2312"/>
          <w:color w:val="auto"/>
          <w:sz w:val="36"/>
          <w:szCs w:val="36"/>
        </w:rPr>
        <w:t>在茶叶加工中添加糖分、甜味剂、色素、香精等外源物质的，由</w:t>
      </w:r>
      <w:r>
        <w:rPr>
          <w:rFonts w:hint="eastAsia" w:ascii="仿宋_GB2312" w:hAnsi="仿宋_GB2312" w:eastAsia="仿宋_GB2312" w:cs="仿宋_GB2312"/>
          <w:color w:val="auto"/>
          <w:sz w:val="36"/>
          <w:szCs w:val="36"/>
          <w:lang w:eastAsia="zh-CN"/>
        </w:rPr>
        <w:t>县级人民政府</w:t>
      </w:r>
      <w:r>
        <w:rPr>
          <w:rFonts w:hint="eastAsia" w:ascii="仿宋_GB2312" w:hAnsi="仿宋_GB2312" w:eastAsia="仿宋_GB2312" w:cs="仿宋_GB2312"/>
          <w:color w:val="auto"/>
          <w:sz w:val="36"/>
          <w:szCs w:val="36"/>
        </w:rPr>
        <w:t>市场监督管理</w:t>
      </w:r>
      <w:r>
        <w:rPr>
          <w:rFonts w:hint="eastAsia" w:ascii="仿宋_GB2312" w:hAnsi="仿宋_GB2312" w:eastAsia="仿宋_GB2312" w:cs="仿宋_GB2312"/>
          <w:color w:val="auto"/>
          <w:sz w:val="36"/>
          <w:szCs w:val="36"/>
          <w:lang w:eastAsia="zh-CN"/>
        </w:rPr>
        <w:t>主管</w:t>
      </w:r>
      <w:r>
        <w:rPr>
          <w:rFonts w:hint="eastAsia" w:ascii="仿宋_GB2312" w:hAnsi="仿宋_GB2312" w:eastAsia="仿宋_GB2312" w:cs="仿宋_GB2312"/>
          <w:color w:val="auto"/>
          <w:sz w:val="36"/>
          <w:szCs w:val="36"/>
        </w:rPr>
        <w:t>部门责令改正，没收违法所得和违法生产经营的茶叶，并可以没收用于违法生产经营的工具、设备、外源物质等物品；违法生产经营的茶叶货值金额不足</w:t>
      </w:r>
      <w:r>
        <w:rPr>
          <w:rFonts w:hint="eastAsia" w:ascii="仿宋_GB2312" w:hAnsi="仿宋_GB2312" w:eastAsia="仿宋_GB2312" w:cs="仿宋_GB2312"/>
          <w:color w:val="auto"/>
          <w:sz w:val="36"/>
          <w:szCs w:val="36"/>
          <w:lang w:eastAsia="zh-CN"/>
        </w:rPr>
        <w:t>一</w:t>
      </w:r>
      <w:r>
        <w:rPr>
          <w:rFonts w:hint="eastAsia" w:ascii="仿宋_GB2312" w:hAnsi="仿宋_GB2312" w:eastAsia="仿宋_GB2312" w:cs="仿宋_GB2312"/>
          <w:color w:val="auto"/>
          <w:sz w:val="36"/>
          <w:szCs w:val="36"/>
        </w:rPr>
        <w:t>万元的，并处</w:t>
      </w:r>
      <w:r>
        <w:rPr>
          <w:rFonts w:hint="eastAsia" w:ascii="仿宋_GB2312" w:hAnsi="仿宋_GB2312" w:eastAsia="仿宋_GB2312" w:cs="仿宋_GB2312"/>
          <w:color w:val="auto"/>
          <w:sz w:val="36"/>
          <w:szCs w:val="36"/>
          <w:lang w:eastAsia="zh-CN"/>
        </w:rPr>
        <w:t>五</w:t>
      </w:r>
      <w:r>
        <w:rPr>
          <w:rFonts w:hint="eastAsia" w:ascii="仿宋_GB2312" w:hAnsi="仿宋_GB2312" w:eastAsia="仿宋_GB2312" w:cs="仿宋_GB2312"/>
          <w:color w:val="auto"/>
          <w:sz w:val="36"/>
          <w:szCs w:val="36"/>
        </w:rPr>
        <w:t>千元以上</w:t>
      </w:r>
      <w:r>
        <w:rPr>
          <w:rFonts w:hint="eastAsia" w:ascii="仿宋_GB2312" w:hAnsi="仿宋_GB2312" w:eastAsia="仿宋_GB2312" w:cs="仿宋_GB2312"/>
          <w:color w:val="auto"/>
          <w:sz w:val="36"/>
          <w:szCs w:val="36"/>
          <w:lang w:eastAsia="zh-CN"/>
        </w:rPr>
        <w:t>五</w:t>
      </w:r>
      <w:r>
        <w:rPr>
          <w:rFonts w:hint="eastAsia" w:ascii="仿宋_GB2312" w:hAnsi="仿宋_GB2312" w:eastAsia="仿宋_GB2312" w:cs="仿宋_GB2312"/>
          <w:color w:val="auto"/>
          <w:sz w:val="36"/>
          <w:szCs w:val="36"/>
        </w:rPr>
        <w:t>万元以下罚款；货值金额</w:t>
      </w:r>
      <w:r>
        <w:rPr>
          <w:rFonts w:hint="eastAsia" w:ascii="仿宋_GB2312" w:hAnsi="仿宋_GB2312" w:eastAsia="仿宋_GB2312" w:cs="仿宋_GB2312"/>
          <w:color w:val="auto"/>
          <w:sz w:val="36"/>
          <w:szCs w:val="36"/>
          <w:lang w:eastAsia="zh-CN"/>
        </w:rPr>
        <w:t>一</w:t>
      </w:r>
      <w:r>
        <w:rPr>
          <w:rFonts w:hint="eastAsia" w:ascii="仿宋_GB2312" w:hAnsi="仿宋_GB2312" w:eastAsia="仿宋_GB2312" w:cs="仿宋_GB2312"/>
          <w:color w:val="auto"/>
          <w:sz w:val="36"/>
          <w:szCs w:val="36"/>
        </w:rPr>
        <w:t>万元以上的，并处货值金额五倍以上十倍以下罚款；情节严重的，依法吊销许可证。</w:t>
      </w:r>
    </w:p>
    <w:p>
      <w:pPr>
        <w:widowControl/>
        <w:spacing w:line="600" w:lineRule="exact"/>
        <w:ind w:firstLine="720" w:firstLineChars="200"/>
        <w:jc w:val="left"/>
        <w:rPr>
          <w:rFonts w:hint="eastAsia" w:ascii="仿宋_GB2312" w:hAnsi="仿宋_GB2312" w:eastAsia="仿宋_GB2312" w:cs="仿宋_GB2312"/>
          <w:color w:val="auto"/>
          <w:sz w:val="36"/>
          <w:szCs w:val="36"/>
          <w:lang w:eastAsia="zh-CN"/>
        </w:rPr>
      </w:pPr>
      <w:r>
        <w:rPr>
          <w:rFonts w:hint="eastAsia" w:ascii="黑体" w:hAnsi="黑体" w:eastAsia="黑体" w:cs="黑体"/>
          <w:color w:val="auto"/>
          <w:sz w:val="36"/>
          <w:szCs w:val="36"/>
        </w:rPr>
        <w:t>第二十</w:t>
      </w:r>
      <w:r>
        <w:rPr>
          <w:rFonts w:hint="eastAsia" w:ascii="黑体" w:hAnsi="黑体" w:eastAsia="黑体" w:cs="黑体"/>
          <w:color w:val="auto"/>
          <w:sz w:val="36"/>
          <w:szCs w:val="36"/>
          <w:lang w:eastAsia="zh-CN"/>
        </w:rPr>
        <w:t>九</w:t>
      </w:r>
      <w:r>
        <w:rPr>
          <w:rFonts w:hint="eastAsia" w:ascii="黑体" w:hAnsi="黑体" w:eastAsia="黑体" w:cs="黑体"/>
          <w:color w:val="auto"/>
          <w:sz w:val="36"/>
          <w:szCs w:val="36"/>
        </w:rPr>
        <w:t>条【转致条款】</w:t>
      </w:r>
      <w:r>
        <w:rPr>
          <w:rFonts w:hint="eastAsia" w:ascii="仿宋_GB2312" w:hAnsi="仿宋_GB2312" w:eastAsia="仿宋_GB2312" w:cs="仿宋_GB2312"/>
          <w:color w:val="auto"/>
          <w:sz w:val="36"/>
          <w:szCs w:val="36"/>
        </w:rPr>
        <w:t>违反本条例</w:t>
      </w:r>
      <w:r>
        <w:rPr>
          <w:rFonts w:hint="eastAsia" w:ascii="仿宋_GB2312" w:hAnsi="仿宋_GB2312" w:eastAsia="仿宋_GB2312" w:cs="仿宋_GB2312"/>
          <w:color w:val="auto"/>
          <w:sz w:val="36"/>
          <w:szCs w:val="36"/>
          <w:lang w:eastAsia="zh-CN"/>
        </w:rPr>
        <w:t>规定</w:t>
      </w:r>
      <w:r>
        <w:rPr>
          <w:rFonts w:hint="eastAsia" w:ascii="仿宋_GB2312" w:hAnsi="仿宋_GB2312" w:eastAsia="仿宋_GB2312" w:cs="仿宋_GB2312"/>
          <w:color w:val="auto"/>
          <w:sz w:val="36"/>
          <w:szCs w:val="36"/>
        </w:rPr>
        <w:t>的行为，法律、</w:t>
      </w:r>
      <w:r>
        <w:rPr>
          <w:rFonts w:hint="eastAsia" w:ascii="仿宋_GB2312" w:hAnsi="仿宋_GB2312" w:eastAsia="仿宋_GB2312" w:cs="仿宋_GB2312"/>
          <w:color w:val="auto"/>
          <w:sz w:val="36"/>
          <w:szCs w:val="36"/>
          <w:lang w:eastAsia="zh-CN"/>
        </w:rPr>
        <w:t>行政</w:t>
      </w:r>
      <w:r>
        <w:rPr>
          <w:rFonts w:hint="eastAsia" w:ascii="仿宋_GB2312" w:hAnsi="仿宋_GB2312" w:eastAsia="仿宋_GB2312" w:cs="仿宋_GB2312"/>
          <w:color w:val="auto"/>
          <w:sz w:val="36"/>
          <w:szCs w:val="36"/>
        </w:rPr>
        <w:t>法规已有处罚规定的</w:t>
      </w:r>
      <w:r>
        <w:rPr>
          <w:rFonts w:hint="eastAsia" w:ascii="仿宋_GB2312" w:hAnsi="仿宋_GB2312" w:eastAsia="仿宋_GB2312" w:cs="仿宋_GB2312"/>
          <w:color w:val="auto"/>
          <w:sz w:val="36"/>
          <w:szCs w:val="36"/>
          <w:lang w:eastAsia="zh-CN"/>
        </w:rPr>
        <w:t>，适用其规定；构成犯罪的，依法追究刑事责任。</w:t>
      </w:r>
    </w:p>
    <w:p>
      <w:pPr>
        <w:spacing w:line="600" w:lineRule="exact"/>
        <w:ind w:firstLine="720" w:firstLineChars="200"/>
        <w:rPr>
          <w:color w:val="auto"/>
          <w:sz w:val="36"/>
          <w:szCs w:val="36"/>
        </w:rPr>
      </w:pPr>
      <w:r>
        <w:rPr>
          <w:rFonts w:hint="eastAsia" w:ascii="黑体" w:hAnsi="黑体" w:eastAsia="黑体" w:cs="黑体"/>
          <w:color w:val="auto"/>
          <w:sz w:val="36"/>
          <w:szCs w:val="36"/>
        </w:rPr>
        <w:t>第</w:t>
      </w:r>
      <w:r>
        <w:rPr>
          <w:rFonts w:hint="eastAsia" w:ascii="黑体" w:hAnsi="黑体" w:eastAsia="黑体" w:cs="黑体"/>
          <w:color w:val="auto"/>
          <w:sz w:val="36"/>
          <w:szCs w:val="36"/>
          <w:lang w:eastAsia="zh-CN"/>
        </w:rPr>
        <w:t>三</w:t>
      </w:r>
      <w:r>
        <w:rPr>
          <w:rFonts w:hint="eastAsia" w:ascii="黑体" w:hAnsi="黑体" w:eastAsia="黑体" w:cs="黑体"/>
          <w:color w:val="auto"/>
          <w:sz w:val="36"/>
          <w:szCs w:val="36"/>
        </w:rPr>
        <w:t>十条【施行日期】</w:t>
      </w:r>
      <w:r>
        <w:rPr>
          <w:rFonts w:hint="eastAsia" w:ascii="仿宋_GB2312" w:hAnsi="仿宋_GB2312" w:eastAsia="仿宋_GB2312" w:cs="仿宋_GB2312"/>
          <w:color w:val="auto"/>
          <w:sz w:val="36"/>
          <w:szCs w:val="36"/>
        </w:rPr>
        <w:t>本条例自</w:t>
      </w:r>
      <w:r>
        <w:rPr>
          <w:rFonts w:hint="eastAsia" w:ascii="仿宋_GB2312" w:hAnsi="仿宋_GB2312" w:eastAsia="仿宋_GB2312" w:cs="仿宋_GB2312"/>
          <w:color w:val="auto"/>
          <w:sz w:val="36"/>
          <w:szCs w:val="36"/>
          <w:lang w:val="en-US" w:eastAsia="zh-CN"/>
        </w:rPr>
        <w:t>2026</w:t>
      </w:r>
      <w:r>
        <w:rPr>
          <w:rFonts w:hint="eastAsia" w:ascii="仿宋_GB2312" w:hAnsi="仿宋_GB2312" w:eastAsia="仿宋_GB2312" w:cs="仿宋_GB2312"/>
          <w:color w:val="auto"/>
          <w:sz w:val="36"/>
          <w:szCs w:val="36"/>
        </w:rPr>
        <w:t>年  月  日起施行。</w:t>
      </w:r>
    </w:p>
    <w:sectPr>
      <w:headerReference r:id="rId3" w:type="default"/>
      <w:footerReference r:id="rId4" w:type="default"/>
      <w:pgSz w:w="11906" w:h="16838"/>
      <w:pgMar w:top="1440" w:right="1797" w:bottom="1304" w:left="179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Sans Ethiopic"/>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等线">
    <w:altName w:val="宋体"/>
    <w:panose1 w:val="02010600030101010101"/>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方正仿宋_GBK">
    <w:panose1 w:val="02000000000000000000"/>
    <w:charset w:val="86"/>
    <w:family w:val="script"/>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3"/>
                </w:pPr>
                <w:r>
                  <w:t xml:space="preserve">— </w:t>
                </w:r>
                <w:r>
                  <w:fldChar w:fldCharType="begin"/>
                </w:r>
                <w:r>
                  <w:instrText xml:space="preserve"> PAGE  \* MERGEFORMAT </w:instrText>
                </w:r>
                <w:r>
                  <w:fldChar w:fldCharType="separate"/>
                </w:r>
                <w:r>
                  <w:t>1</w:t>
                </w:r>
                <w:r>
                  <w:fldChar w:fldCharType="end"/>
                </w:r>
                <w:r>
                  <w:t xml:space="preserve">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I0ODVlNzU1ODIzMmY3ODk5NzFlNzFkN2RiYjEzY2YifQ=="/>
  </w:docVars>
  <w:rsids>
    <w:rsidRoot w:val="00DC1756"/>
    <w:rsid w:val="00007785"/>
    <w:rsid w:val="00012D8B"/>
    <w:rsid w:val="00047257"/>
    <w:rsid w:val="00062AAF"/>
    <w:rsid w:val="0007770A"/>
    <w:rsid w:val="000A1D26"/>
    <w:rsid w:val="000F0536"/>
    <w:rsid w:val="000F3BC0"/>
    <w:rsid w:val="000F74ED"/>
    <w:rsid w:val="00107899"/>
    <w:rsid w:val="0012776C"/>
    <w:rsid w:val="0013079F"/>
    <w:rsid w:val="001701EA"/>
    <w:rsid w:val="001C6872"/>
    <w:rsid w:val="00211D59"/>
    <w:rsid w:val="00211F0E"/>
    <w:rsid w:val="0022458F"/>
    <w:rsid w:val="002449F5"/>
    <w:rsid w:val="00274B40"/>
    <w:rsid w:val="00295529"/>
    <w:rsid w:val="002F2497"/>
    <w:rsid w:val="002F3DCB"/>
    <w:rsid w:val="003010AA"/>
    <w:rsid w:val="0031516D"/>
    <w:rsid w:val="00373B9F"/>
    <w:rsid w:val="00374108"/>
    <w:rsid w:val="003B049A"/>
    <w:rsid w:val="003D401F"/>
    <w:rsid w:val="00400293"/>
    <w:rsid w:val="00456203"/>
    <w:rsid w:val="0047483A"/>
    <w:rsid w:val="004908A8"/>
    <w:rsid w:val="004A2D0E"/>
    <w:rsid w:val="004A7B12"/>
    <w:rsid w:val="00510795"/>
    <w:rsid w:val="00523D45"/>
    <w:rsid w:val="00540FB7"/>
    <w:rsid w:val="005479E2"/>
    <w:rsid w:val="0058146E"/>
    <w:rsid w:val="005E0C12"/>
    <w:rsid w:val="005F30C2"/>
    <w:rsid w:val="00605CAD"/>
    <w:rsid w:val="0062771F"/>
    <w:rsid w:val="00631363"/>
    <w:rsid w:val="00643251"/>
    <w:rsid w:val="00647464"/>
    <w:rsid w:val="0065007A"/>
    <w:rsid w:val="00666BAB"/>
    <w:rsid w:val="00700BB4"/>
    <w:rsid w:val="0072277C"/>
    <w:rsid w:val="0073201E"/>
    <w:rsid w:val="00755AAC"/>
    <w:rsid w:val="00771C5F"/>
    <w:rsid w:val="007A5D0D"/>
    <w:rsid w:val="007A6133"/>
    <w:rsid w:val="007D5528"/>
    <w:rsid w:val="007F61D8"/>
    <w:rsid w:val="00806EF4"/>
    <w:rsid w:val="008229C9"/>
    <w:rsid w:val="00834AFD"/>
    <w:rsid w:val="00836B67"/>
    <w:rsid w:val="00861A7A"/>
    <w:rsid w:val="008965EA"/>
    <w:rsid w:val="008A27BC"/>
    <w:rsid w:val="008B6222"/>
    <w:rsid w:val="008C74CA"/>
    <w:rsid w:val="008F1B36"/>
    <w:rsid w:val="00926728"/>
    <w:rsid w:val="00994C06"/>
    <w:rsid w:val="009B65CF"/>
    <w:rsid w:val="009D2EB7"/>
    <w:rsid w:val="009D3B34"/>
    <w:rsid w:val="009D7783"/>
    <w:rsid w:val="009D7D89"/>
    <w:rsid w:val="00A34F4C"/>
    <w:rsid w:val="00A76CB9"/>
    <w:rsid w:val="00A976CA"/>
    <w:rsid w:val="00AA11E8"/>
    <w:rsid w:val="00B446F4"/>
    <w:rsid w:val="00B54A8B"/>
    <w:rsid w:val="00B70600"/>
    <w:rsid w:val="00BA54CA"/>
    <w:rsid w:val="00BA5F26"/>
    <w:rsid w:val="00C33D94"/>
    <w:rsid w:val="00C713B6"/>
    <w:rsid w:val="00C80B11"/>
    <w:rsid w:val="00C94C1D"/>
    <w:rsid w:val="00D5745D"/>
    <w:rsid w:val="00D63894"/>
    <w:rsid w:val="00D950C4"/>
    <w:rsid w:val="00DC1756"/>
    <w:rsid w:val="00E43FA6"/>
    <w:rsid w:val="00E455DD"/>
    <w:rsid w:val="00E65EA8"/>
    <w:rsid w:val="00E92694"/>
    <w:rsid w:val="00EA199A"/>
    <w:rsid w:val="00EC5F06"/>
    <w:rsid w:val="00EE7783"/>
    <w:rsid w:val="00EF6833"/>
    <w:rsid w:val="00F17866"/>
    <w:rsid w:val="00F26522"/>
    <w:rsid w:val="00F44FEA"/>
    <w:rsid w:val="00F62717"/>
    <w:rsid w:val="00F746F9"/>
    <w:rsid w:val="00FA3196"/>
    <w:rsid w:val="00FB46A9"/>
    <w:rsid w:val="031459C3"/>
    <w:rsid w:val="055F2BCB"/>
    <w:rsid w:val="0A5C6CFC"/>
    <w:rsid w:val="0BE475CA"/>
    <w:rsid w:val="0C2B1A59"/>
    <w:rsid w:val="0CBB2DDD"/>
    <w:rsid w:val="0D4EC583"/>
    <w:rsid w:val="0DFFF466"/>
    <w:rsid w:val="0E76345F"/>
    <w:rsid w:val="0FFB3E6D"/>
    <w:rsid w:val="0FFF33A5"/>
    <w:rsid w:val="0FFF892D"/>
    <w:rsid w:val="1AB570BD"/>
    <w:rsid w:val="1B5C578B"/>
    <w:rsid w:val="1C450915"/>
    <w:rsid w:val="1C874A89"/>
    <w:rsid w:val="1CF631F1"/>
    <w:rsid w:val="1DEF22BC"/>
    <w:rsid w:val="1DFDFDA8"/>
    <w:rsid w:val="1EDD5738"/>
    <w:rsid w:val="1EF74A1E"/>
    <w:rsid w:val="1EFEAA16"/>
    <w:rsid w:val="1F9F59C0"/>
    <w:rsid w:val="1FDF14F2"/>
    <w:rsid w:val="1FF2AF6D"/>
    <w:rsid w:val="1FFFCA03"/>
    <w:rsid w:val="247C0C4C"/>
    <w:rsid w:val="24E72569"/>
    <w:rsid w:val="25F6A8FA"/>
    <w:rsid w:val="25F9477C"/>
    <w:rsid w:val="26FF221C"/>
    <w:rsid w:val="27361586"/>
    <w:rsid w:val="2860738C"/>
    <w:rsid w:val="2D1E4F96"/>
    <w:rsid w:val="2D6F75A0"/>
    <w:rsid w:val="2E4A311B"/>
    <w:rsid w:val="2E8663E2"/>
    <w:rsid w:val="2FA379D4"/>
    <w:rsid w:val="2FDA48B1"/>
    <w:rsid w:val="339D7C5F"/>
    <w:rsid w:val="33D86629"/>
    <w:rsid w:val="33E41B2B"/>
    <w:rsid w:val="36C510ED"/>
    <w:rsid w:val="371F2AE0"/>
    <w:rsid w:val="376F97F9"/>
    <w:rsid w:val="37FF4B50"/>
    <w:rsid w:val="38D050D5"/>
    <w:rsid w:val="39697599"/>
    <w:rsid w:val="39D731D2"/>
    <w:rsid w:val="39FDA7A8"/>
    <w:rsid w:val="3A69338B"/>
    <w:rsid w:val="3B0E03F8"/>
    <w:rsid w:val="3B7C16A5"/>
    <w:rsid w:val="3B7E5F03"/>
    <w:rsid w:val="3BF3B0E1"/>
    <w:rsid w:val="3C7F4CE1"/>
    <w:rsid w:val="3CEDAB63"/>
    <w:rsid w:val="3CFFC80B"/>
    <w:rsid w:val="3D37F7BB"/>
    <w:rsid w:val="3D7B02C3"/>
    <w:rsid w:val="3D7DFED9"/>
    <w:rsid w:val="3DEA2955"/>
    <w:rsid w:val="3DEF23BE"/>
    <w:rsid w:val="3DFF4A30"/>
    <w:rsid w:val="3E725C9B"/>
    <w:rsid w:val="3EDF11CB"/>
    <w:rsid w:val="3EE002FD"/>
    <w:rsid w:val="3EFF474D"/>
    <w:rsid w:val="3EFFC19F"/>
    <w:rsid w:val="3F7F5143"/>
    <w:rsid w:val="3FA78692"/>
    <w:rsid w:val="3FAFBDF3"/>
    <w:rsid w:val="3FCCCF53"/>
    <w:rsid w:val="3FE3222B"/>
    <w:rsid w:val="3FF6018C"/>
    <w:rsid w:val="427C033D"/>
    <w:rsid w:val="43120CA1"/>
    <w:rsid w:val="45CE5353"/>
    <w:rsid w:val="46C04C97"/>
    <w:rsid w:val="46E12E64"/>
    <w:rsid w:val="47347438"/>
    <w:rsid w:val="47C7FCC3"/>
    <w:rsid w:val="47FFE3CF"/>
    <w:rsid w:val="483FE492"/>
    <w:rsid w:val="48ED6AD5"/>
    <w:rsid w:val="4928696B"/>
    <w:rsid w:val="4A370EF1"/>
    <w:rsid w:val="4AB97C54"/>
    <w:rsid w:val="4BDDFD3B"/>
    <w:rsid w:val="4D6E2F78"/>
    <w:rsid w:val="4DF7F07A"/>
    <w:rsid w:val="4DFFA96D"/>
    <w:rsid w:val="4E0F4C8C"/>
    <w:rsid w:val="4E4D0613"/>
    <w:rsid w:val="4F5F5CE3"/>
    <w:rsid w:val="4FF94D2A"/>
    <w:rsid w:val="50FF8C49"/>
    <w:rsid w:val="514FD409"/>
    <w:rsid w:val="51F54284"/>
    <w:rsid w:val="521F0CE5"/>
    <w:rsid w:val="53BBC0AA"/>
    <w:rsid w:val="54A0435F"/>
    <w:rsid w:val="555E0CA8"/>
    <w:rsid w:val="563A60ED"/>
    <w:rsid w:val="56D4747C"/>
    <w:rsid w:val="56F4EC9D"/>
    <w:rsid w:val="57EEBEC3"/>
    <w:rsid w:val="57FFD7A9"/>
    <w:rsid w:val="58276B45"/>
    <w:rsid w:val="58845D45"/>
    <w:rsid w:val="59DF219A"/>
    <w:rsid w:val="59E3007D"/>
    <w:rsid w:val="59FA49D2"/>
    <w:rsid w:val="5A1E64AA"/>
    <w:rsid w:val="5A4D3BD5"/>
    <w:rsid w:val="5A902780"/>
    <w:rsid w:val="5B5D358C"/>
    <w:rsid w:val="5BBF11A0"/>
    <w:rsid w:val="5BE28B4A"/>
    <w:rsid w:val="5BFC8706"/>
    <w:rsid w:val="5CA50038"/>
    <w:rsid w:val="5D73E8DA"/>
    <w:rsid w:val="5DAD40BC"/>
    <w:rsid w:val="5DFF3DEF"/>
    <w:rsid w:val="5EB369D8"/>
    <w:rsid w:val="5EBE0626"/>
    <w:rsid w:val="5ED370DF"/>
    <w:rsid w:val="5EF3484A"/>
    <w:rsid w:val="5EF7A795"/>
    <w:rsid w:val="5EFF0482"/>
    <w:rsid w:val="5F5A83D6"/>
    <w:rsid w:val="5F700DD2"/>
    <w:rsid w:val="5F7EB7F3"/>
    <w:rsid w:val="5F9B1963"/>
    <w:rsid w:val="5FA62A45"/>
    <w:rsid w:val="5FBE1022"/>
    <w:rsid w:val="5FBE3FAC"/>
    <w:rsid w:val="5FBF7B5D"/>
    <w:rsid w:val="5FC353A5"/>
    <w:rsid w:val="5FEBF649"/>
    <w:rsid w:val="5FF5F3A6"/>
    <w:rsid w:val="5FFE8487"/>
    <w:rsid w:val="601C6864"/>
    <w:rsid w:val="60CB2763"/>
    <w:rsid w:val="61156BE8"/>
    <w:rsid w:val="624B1BFA"/>
    <w:rsid w:val="626743C0"/>
    <w:rsid w:val="62FDBA3E"/>
    <w:rsid w:val="636FCF3A"/>
    <w:rsid w:val="63DF48B2"/>
    <w:rsid w:val="63F7386F"/>
    <w:rsid w:val="63FE4FF2"/>
    <w:rsid w:val="644B5969"/>
    <w:rsid w:val="647924D6"/>
    <w:rsid w:val="64872E45"/>
    <w:rsid w:val="65FF79CF"/>
    <w:rsid w:val="673E478A"/>
    <w:rsid w:val="6797DCB9"/>
    <w:rsid w:val="67A5B87A"/>
    <w:rsid w:val="67BD2C41"/>
    <w:rsid w:val="67DF8677"/>
    <w:rsid w:val="67ED955D"/>
    <w:rsid w:val="67FF385C"/>
    <w:rsid w:val="6AEFDA44"/>
    <w:rsid w:val="6B6D3A19"/>
    <w:rsid w:val="6B6FCA6D"/>
    <w:rsid w:val="6BD739A2"/>
    <w:rsid w:val="6BEDFB7B"/>
    <w:rsid w:val="6C7F8317"/>
    <w:rsid w:val="6D0F0CDD"/>
    <w:rsid w:val="6D5FF6DB"/>
    <w:rsid w:val="6D7749A2"/>
    <w:rsid w:val="6D97577B"/>
    <w:rsid w:val="6DF35513"/>
    <w:rsid w:val="6DFE5F66"/>
    <w:rsid w:val="6E2F4018"/>
    <w:rsid w:val="6E5BFBC9"/>
    <w:rsid w:val="6E897505"/>
    <w:rsid w:val="6F7C9B11"/>
    <w:rsid w:val="6FAB45E0"/>
    <w:rsid w:val="6FACABF1"/>
    <w:rsid w:val="6FADA6AA"/>
    <w:rsid w:val="6FD63B07"/>
    <w:rsid w:val="6FD722AF"/>
    <w:rsid w:val="6FEC7B2F"/>
    <w:rsid w:val="6FFB6EF5"/>
    <w:rsid w:val="717D11CD"/>
    <w:rsid w:val="73351CBE"/>
    <w:rsid w:val="73BF8757"/>
    <w:rsid w:val="73DD40E0"/>
    <w:rsid w:val="73E64696"/>
    <w:rsid w:val="73F02EEA"/>
    <w:rsid w:val="747F27C1"/>
    <w:rsid w:val="748FF013"/>
    <w:rsid w:val="75B3D559"/>
    <w:rsid w:val="75FDDCB0"/>
    <w:rsid w:val="76477CD9"/>
    <w:rsid w:val="76566F9B"/>
    <w:rsid w:val="765F6293"/>
    <w:rsid w:val="76A77CCD"/>
    <w:rsid w:val="777C2BF7"/>
    <w:rsid w:val="777E7A7B"/>
    <w:rsid w:val="77AF85BC"/>
    <w:rsid w:val="77B796A4"/>
    <w:rsid w:val="77DE0145"/>
    <w:rsid w:val="77DE9E87"/>
    <w:rsid w:val="77DFA02F"/>
    <w:rsid w:val="77DFBBA7"/>
    <w:rsid w:val="77EE29A8"/>
    <w:rsid w:val="77F3C4BC"/>
    <w:rsid w:val="77F7E023"/>
    <w:rsid w:val="77FF0E98"/>
    <w:rsid w:val="77FF153A"/>
    <w:rsid w:val="77FF289B"/>
    <w:rsid w:val="785B21C7"/>
    <w:rsid w:val="78EF1390"/>
    <w:rsid w:val="791E2385"/>
    <w:rsid w:val="79BA23B2"/>
    <w:rsid w:val="79E79A47"/>
    <w:rsid w:val="7A6B81DB"/>
    <w:rsid w:val="7AB1A0B0"/>
    <w:rsid w:val="7AD3E415"/>
    <w:rsid w:val="7B2F5C88"/>
    <w:rsid w:val="7B778CF5"/>
    <w:rsid w:val="7BF706FD"/>
    <w:rsid w:val="7BF9D883"/>
    <w:rsid w:val="7BFD7BD9"/>
    <w:rsid w:val="7BFEF656"/>
    <w:rsid w:val="7C6F583E"/>
    <w:rsid w:val="7CDF7EDB"/>
    <w:rsid w:val="7CEC1640"/>
    <w:rsid w:val="7D565F3F"/>
    <w:rsid w:val="7D5FBFCE"/>
    <w:rsid w:val="7D77AF02"/>
    <w:rsid w:val="7DBF2BB9"/>
    <w:rsid w:val="7DEE3D42"/>
    <w:rsid w:val="7DF7202C"/>
    <w:rsid w:val="7DFF7C99"/>
    <w:rsid w:val="7E5415FE"/>
    <w:rsid w:val="7E5F7AF2"/>
    <w:rsid w:val="7E67591B"/>
    <w:rsid w:val="7E7DBADC"/>
    <w:rsid w:val="7E7F499C"/>
    <w:rsid w:val="7EB51739"/>
    <w:rsid w:val="7EBF0FE8"/>
    <w:rsid w:val="7EDF8EFE"/>
    <w:rsid w:val="7EE9D389"/>
    <w:rsid w:val="7EFE2821"/>
    <w:rsid w:val="7F1B0B99"/>
    <w:rsid w:val="7F3908F4"/>
    <w:rsid w:val="7F3F00A7"/>
    <w:rsid w:val="7F3F4EEA"/>
    <w:rsid w:val="7F4DBE04"/>
    <w:rsid w:val="7F53C639"/>
    <w:rsid w:val="7F667168"/>
    <w:rsid w:val="7F7449D6"/>
    <w:rsid w:val="7F7B4FEF"/>
    <w:rsid w:val="7F7B888E"/>
    <w:rsid w:val="7F7F4012"/>
    <w:rsid w:val="7F9F860B"/>
    <w:rsid w:val="7FBF0794"/>
    <w:rsid w:val="7FBFAC00"/>
    <w:rsid w:val="7FCAA3EC"/>
    <w:rsid w:val="7FCB2BE4"/>
    <w:rsid w:val="7FCCCF32"/>
    <w:rsid w:val="7FD50B2A"/>
    <w:rsid w:val="7FDB6526"/>
    <w:rsid w:val="7FDEDB1C"/>
    <w:rsid w:val="7FDF29E4"/>
    <w:rsid w:val="7FEBFDC1"/>
    <w:rsid w:val="7FEF0F44"/>
    <w:rsid w:val="7FEF63AF"/>
    <w:rsid w:val="7FEF9BAA"/>
    <w:rsid w:val="7FEFBE0B"/>
    <w:rsid w:val="7FEFD744"/>
    <w:rsid w:val="7FF329A6"/>
    <w:rsid w:val="7FF753AC"/>
    <w:rsid w:val="7FF928C3"/>
    <w:rsid w:val="7FFAFC55"/>
    <w:rsid w:val="7FFB086B"/>
    <w:rsid w:val="7FFB4689"/>
    <w:rsid w:val="7FFB9C0B"/>
    <w:rsid w:val="7FFDB749"/>
    <w:rsid w:val="7FFE5ED9"/>
    <w:rsid w:val="7FFECA39"/>
    <w:rsid w:val="7FFF8D2B"/>
    <w:rsid w:val="7FFFAD10"/>
    <w:rsid w:val="7FFFDC18"/>
    <w:rsid w:val="8B78615D"/>
    <w:rsid w:val="8E75407C"/>
    <w:rsid w:val="8ED72AB0"/>
    <w:rsid w:val="91F73FA7"/>
    <w:rsid w:val="95DFE225"/>
    <w:rsid w:val="99FE81EE"/>
    <w:rsid w:val="9BF7532A"/>
    <w:rsid w:val="9DECAD9C"/>
    <w:rsid w:val="9DEFF06B"/>
    <w:rsid w:val="9F7BEA4F"/>
    <w:rsid w:val="9FF5EF77"/>
    <w:rsid w:val="A68F423B"/>
    <w:rsid w:val="A77DD73B"/>
    <w:rsid w:val="ADBA6D04"/>
    <w:rsid w:val="AE6BA0A7"/>
    <w:rsid w:val="AF6D93AA"/>
    <w:rsid w:val="AFB59AD1"/>
    <w:rsid w:val="AFFA6133"/>
    <w:rsid w:val="B3D59201"/>
    <w:rsid w:val="B56DB74B"/>
    <w:rsid w:val="B57B551F"/>
    <w:rsid w:val="B6DFBC42"/>
    <w:rsid w:val="B6FF40B6"/>
    <w:rsid w:val="BBB71958"/>
    <w:rsid w:val="BBC9D377"/>
    <w:rsid w:val="BBFFC0D9"/>
    <w:rsid w:val="BC86820D"/>
    <w:rsid w:val="BCDB7A14"/>
    <w:rsid w:val="BCE61D5F"/>
    <w:rsid w:val="BD9F1BEA"/>
    <w:rsid w:val="BDED2269"/>
    <w:rsid w:val="BE3FF981"/>
    <w:rsid w:val="BE7720A4"/>
    <w:rsid w:val="BE7FEBE6"/>
    <w:rsid w:val="BF5D0B9E"/>
    <w:rsid w:val="BF655E43"/>
    <w:rsid w:val="BF73654D"/>
    <w:rsid w:val="BF7D5BA8"/>
    <w:rsid w:val="BFE789B9"/>
    <w:rsid w:val="BFF52F0A"/>
    <w:rsid w:val="BFF7591F"/>
    <w:rsid w:val="BFFAE7FF"/>
    <w:rsid w:val="BFFBBF1C"/>
    <w:rsid w:val="BFFDE9E0"/>
    <w:rsid w:val="BFFEC1AF"/>
    <w:rsid w:val="BFFF9E9B"/>
    <w:rsid w:val="C6BFDA39"/>
    <w:rsid w:val="C7E7FA4F"/>
    <w:rsid w:val="C95CFB03"/>
    <w:rsid w:val="CD830360"/>
    <w:rsid w:val="CEFF8C27"/>
    <w:rsid w:val="CFE71B68"/>
    <w:rsid w:val="CFE7E367"/>
    <w:rsid w:val="CFE8268D"/>
    <w:rsid w:val="CFEB3016"/>
    <w:rsid w:val="CFF90E93"/>
    <w:rsid w:val="D1DFE2A4"/>
    <w:rsid w:val="D5FFCC63"/>
    <w:rsid w:val="D6BCAC1A"/>
    <w:rsid w:val="D7732475"/>
    <w:rsid w:val="D7EBE62C"/>
    <w:rsid w:val="D7EDD05D"/>
    <w:rsid w:val="D7F7F893"/>
    <w:rsid w:val="D7FFBE47"/>
    <w:rsid w:val="DA5DE987"/>
    <w:rsid w:val="DAF86017"/>
    <w:rsid w:val="DB9599A1"/>
    <w:rsid w:val="DBDF52E0"/>
    <w:rsid w:val="DCAEA4C4"/>
    <w:rsid w:val="DCF77FBC"/>
    <w:rsid w:val="DD78F115"/>
    <w:rsid w:val="DD7F4F35"/>
    <w:rsid w:val="DDB7B783"/>
    <w:rsid w:val="DDDF3776"/>
    <w:rsid w:val="DDFF96C5"/>
    <w:rsid w:val="DE7B7E6A"/>
    <w:rsid w:val="DEF9EF55"/>
    <w:rsid w:val="DEFBA478"/>
    <w:rsid w:val="DF5E229B"/>
    <w:rsid w:val="DFB3C045"/>
    <w:rsid w:val="DFED29A1"/>
    <w:rsid w:val="DFF7DAEB"/>
    <w:rsid w:val="DFF89D16"/>
    <w:rsid w:val="DFFB9FAB"/>
    <w:rsid w:val="DFFF8FE4"/>
    <w:rsid w:val="E3F3D4A8"/>
    <w:rsid w:val="E75F8FAE"/>
    <w:rsid w:val="E77A0702"/>
    <w:rsid w:val="E7FB19B8"/>
    <w:rsid w:val="EABFCE60"/>
    <w:rsid w:val="EB3BF5BF"/>
    <w:rsid w:val="EB3C56BB"/>
    <w:rsid w:val="EB6FE86A"/>
    <w:rsid w:val="EB7FD34F"/>
    <w:rsid w:val="EBE5B1EC"/>
    <w:rsid w:val="EBED6CFF"/>
    <w:rsid w:val="EBFD2BD6"/>
    <w:rsid w:val="EC77E112"/>
    <w:rsid w:val="ED9D1448"/>
    <w:rsid w:val="EDBF3D3E"/>
    <w:rsid w:val="EDDF69BF"/>
    <w:rsid w:val="EDF7ED23"/>
    <w:rsid w:val="EE3D3FD1"/>
    <w:rsid w:val="EE7D1906"/>
    <w:rsid w:val="EEEBB410"/>
    <w:rsid w:val="EEF04817"/>
    <w:rsid w:val="EEF5501E"/>
    <w:rsid w:val="EEFF36BA"/>
    <w:rsid w:val="EF5F5EF7"/>
    <w:rsid w:val="EF75B435"/>
    <w:rsid w:val="EF7FAC03"/>
    <w:rsid w:val="EFBB4CE8"/>
    <w:rsid w:val="EFC5D064"/>
    <w:rsid w:val="EFF6A0BE"/>
    <w:rsid w:val="EFFE7D58"/>
    <w:rsid w:val="EFFF823B"/>
    <w:rsid w:val="F2E74DA3"/>
    <w:rsid w:val="F35FDCA9"/>
    <w:rsid w:val="F3655CD7"/>
    <w:rsid w:val="F3F38F18"/>
    <w:rsid w:val="F4BE91B4"/>
    <w:rsid w:val="F4EFED70"/>
    <w:rsid w:val="F51D2E1D"/>
    <w:rsid w:val="F5CF39D1"/>
    <w:rsid w:val="F5CF3E8B"/>
    <w:rsid w:val="F5FA0099"/>
    <w:rsid w:val="F6A71305"/>
    <w:rsid w:val="F6BEEB7B"/>
    <w:rsid w:val="F6F3B7F5"/>
    <w:rsid w:val="F6F3B969"/>
    <w:rsid w:val="F79633AD"/>
    <w:rsid w:val="F7B7E5D5"/>
    <w:rsid w:val="F7D79A0B"/>
    <w:rsid w:val="F7EAEA99"/>
    <w:rsid w:val="F7EEB725"/>
    <w:rsid w:val="F7F7D300"/>
    <w:rsid w:val="F7FF4687"/>
    <w:rsid w:val="F7FFE483"/>
    <w:rsid w:val="F99FF9CA"/>
    <w:rsid w:val="FA3D1FAC"/>
    <w:rsid w:val="FA7DDD2B"/>
    <w:rsid w:val="FAF7F1EB"/>
    <w:rsid w:val="FAFF40B2"/>
    <w:rsid w:val="FAFF4A9B"/>
    <w:rsid w:val="FB6EA516"/>
    <w:rsid w:val="FB6EF362"/>
    <w:rsid w:val="FB9714CF"/>
    <w:rsid w:val="FBB95BC1"/>
    <w:rsid w:val="FBBBB651"/>
    <w:rsid w:val="FBC99BC7"/>
    <w:rsid w:val="FBDD9EDB"/>
    <w:rsid w:val="FBDF120B"/>
    <w:rsid w:val="FBED6808"/>
    <w:rsid w:val="FBFBADA7"/>
    <w:rsid w:val="FBFD0C24"/>
    <w:rsid w:val="FBFF3A94"/>
    <w:rsid w:val="FCB75EE0"/>
    <w:rsid w:val="FCEE0CD0"/>
    <w:rsid w:val="FCFF8741"/>
    <w:rsid w:val="FD6BEC17"/>
    <w:rsid w:val="FD6F3F23"/>
    <w:rsid w:val="FDCF8494"/>
    <w:rsid w:val="FDD34CF4"/>
    <w:rsid w:val="FDF1A73C"/>
    <w:rsid w:val="FDF27B91"/>
    <w:rsid w:val="FDFBEB93"/>
    <w:rsid w:val="FDFD90FF"/>
    <w:rsid w:val="FDFE1489"/>
    <w:rsid w:val="FDFE1BC4"/>
    <w:rsid w:val="FDFF6AEC"/>
    <w:rsid w:val="FDFFFBB6"/>
    <w:rsid w:val="FE665C05"/>
    <w:rsid w:val="FE847043"/>
    <w:rsid w:val="FEBE43C9"/>
    <w:rsid w:val="FEEB92CA"/>
    <w:rsid w:val="FEF7292B"/>
    <w:rsid w:val="FEF730DB"/>
    <w:rsid w:val="FEF775FB"/>
    <w:rsid w:val="FF393C49"/>
    <w:rsid w:val="FF4B4F85"/>
    <w:rsid w:val="FF4F83EC"/>
    <w:rsid w:val="FF6FFF83"/>
    <w:rsid w:val="FF77187A"/>
    <w:rsid w:val="FF7D1E07"/>
    <w:rsid w:val="FF7D5651"/>
    <w:rsid w:val="FF7F9AC1"/>
    <w:rsid w:val="FF7FA1C1"/>
    <w:rsid w:val="FFA9CE8F"/>
    <w:rsid w:val="FFABF49A"/>
    <w:rsid w:val="FFAF1A1D"/>
    <w:rsid w:val="FFBB5585"/>
    <w:rsid w:val="FFBD7023"/>
    <w:rsid w:val="FFBF0E44"/>
    <w:rsid w:val="FFDEE110"/>
    <w:rsid w:val="FFE3F304"/>
    <w:rsid w:val="FFE7ABD4"/>
    <w:rsid w:val="FFEBEAB1"/>
    <w:rsid w:val="FFEC7BC7"/>
    <w:rsid w:val="FFEE868E"/>
    <w:rsid w:val="FFEF00E9"/>
    <w:rsid w:val="FFEF27CB"/>
    <w:rsid w:val="FFF77B8F"/>
    <w:rsid w:val="FFF81212"/>
    <w:rsid w:val="FFF8CE97"/>
    <w:rsid w:val="FFFCC039"/>
    <w:rsid w:val="FFFF4008"/>
    <w:rsid w:val="FFFFCCB5"/>
    <w:rsid w:val="FFFFF61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0F4761"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0F4761"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0F4761"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asciiTheme="minorHAnsi" w:hAnsiTheme="minorHAnsi" w:eastAsiaTheme="minorEastAsia" w:cstheme="majorBidi"/>
      <w:color w:val="0F4761"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asciiTheme="minorHAnsi" w:hAnsiTheme="minorHAnsi" w:eastAsiaTheme="minorEastAsia" w:cstheme="majorBidi"/>
      <w:color w:val="0F4761" w:themeColor="accent1" w:themeShade="BF"/>
      <w:sz w:val="24"/>
    </w:rPr>
  </w:style>
  <w:style w:type="paragraph" w:styleId="7">
    <w:name w:val="heading 6"/>
    <w:basedOn w:val="1"/>
    <w:next w:val="1"/>
    <w:link w:val="24"/>
    <w:semiHidden/>
    <w:unhideWhenUsed/>
    <w:qFormat/>
    <w:uiPriority w:val="9"/>
    <w:pPr>
      <w:keepNext/>
      <w:keepLines/>
      <w:spacing w:before="40"/>
      <w:outlineLvl w:val="5"/>
    </w:pPr>
    <w:rPr>
      <w:rFonts w:asciiTheme="minorHAnsi" w:hAnsiTheme="minorHAnsi" w:eastAsiaTheme="minorEastAsia" w:cstheme="majorBidi"/>
      <w:b/>
      <w:bCs/>
      <w:color w:val="0F4761" w:themeColor="accent1" w:themeShade="BF"/>
      <w:szCs w:val="22"/>
    </w:rPr>
  </w:style>
  <w:style w:type="paragraph" w:styleId="8">
    <w:name w:val="heading 7"/>
    <w:basedOn w:val="1"/>
    <w:next w:val="1"/>
    <w:link w:val="25"/>
    <w:semiHidden/>
    <w:unhideWhenUsed/>
    <w:qFormat/>
    <w:uiPriority w:val="9"/>
    <w:pPr>
      <w:keepNext/>
      <w:keepLines/>
      <w:spacing w:before="40"/>
      <w:outlineLvl w:val="6"/>
    </w:pPr>
    <w:rPr>
      <w:rFonts w:asciiTheme="minorHAnsi" w:hAnsiTheme="minorHAnsi" w:eastAsiaTheme="minorEastAsia" w:cstheme="majorBidi"/>
      <w:b/>
      <w:bCs/>
      <w:color w:val="585858" w:themeColor="text1" w:themeTint="A6"/>
      <w:szCs w:val="22"/>
    </w:rPr>
  </w:style>
  <w:style w:type="paragraph" w:styleId="9">
    <w:name w:val="heading 8"/>
    <w:basedOn w:val="1"/>
    <w:next w:val="1"/>
    <w:link w:val="26"/>
    <w:semiHidden/>
    <w:unhideWhenUsed/>
    <w:qFormat/>
    <w:uiPriority w:val="9"/>
    <w:pPr>
      <w:keepNext/>
      <w:keepLines/>
      <w:outlineLvl w:val="7"/>
    </w:pPr>
    <w:rPr>
      <w:rFonts w:asciiTheme="minorHAnsi" w:hAnsiTheme="minorHAnsi" w:eastAsiaTheme="minorEastAsia" w:cstheme="majorBidi"/>
      <w:color w:val="585858" w:themeColor="text1" w:themeTint="A6"/>
      <w:szCs w:val="22"/>
    </w:rPr>
  </w:style>
  <w:style w:type="paragraph" w:styleId="10">
    <w:name w:val="heading 9"/>
    <w:basedOn w:val="1"/>
    <w:next w:val="1"/>
    <w:link w:val="27"/>
    <w:semiHidden/>
    <w:unhideWhenUsed/>
    <w:qFormat/>
    <w:uiPriority w:val="9"/>
    <w:pPr>
      <w:keepNext/>
      <w:keepLines/>
      <w:outlineLvl w:val="8"/>
    </w:pPr>
    <w:rPr>
      <w:rFonts w:asciiTheme="minorHAnsi" w:hAnsiTheme="minorHAnsi" w:eastAsiaTheme="majorEastAsia" w:cstheme="majorBidi"/>
      <w:color w:val="585858" w:themeColor="text1" w:themeTint="A6"/>
      <w:szCs w:val="2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table of authorities"/>
    <w:next w:val="1"/>
    <w:qFormat/>
    <w:uiPriority w:val="0"/>
    <w:pPr>
      <w:widowControl w:val="0"/>
      <w:ind w:left="200" w:leftChars="200"/>
      <w:jc w:val="both"/>
    </w:pPr>
    <w:rPr>
      <w:rFonts w:ascii="Times New Roman" w:hAnsi="Times New Roman" w:eastAsia="宋体" w:cs="Times New Roman"/>
      <w:kern w:val="2"/>
      <w:sz w:val="21"/>
      <w:szCs w:val="22"/>
      <w:lang w:val="en-US" w:eastAsia="zh-CN" w:bidi="ar-SA"/>
    </w:rPr>
  </w:style>
  <w:style w:type="paragraph" w:styleId="12">
    <w:name w:val="Balloon Text"/>
    <w:basedOn w:val="1"/>
    <w:link w:val="40"/>
    <w:semiHidden/>
    <w:unhideWhenUsed/>
    <w:qFormat/>
    <w:uiPriority w:val="99"/>
    <w:rPr>
      <w:sz w:val="18"/>
      <w:szCs w:val="18"/>
    </w:rPr>
  </w:style>
  <w:style w:type="paragraph" w:styleId="13">
    <w:name w:val="footer"/>
    <w:basedOn w:val="1"/>
    <w:link w:val="38"/>
    <w:unhideWhenUsed/>
    <w:qFormat/>
    <w:uiPriority w:val="99"/>
    <w:pPr>
      <w:tabs>
        <w:tab w:val="center" w:pos="4153"/>
        <w:tab w:val="right" w:pos="8306"/>
      </w:tabs>
      <w:snapToGrid w:val="0"/>
      <w:jc w:val="left"/>
    </w:pPr>
    <w:rPr>
      <w:sz w:val="18"/>
      <w:szCs w:val="18"/>
    </w:rPr>
  </w:style>
  <w:style w:type="paragraph" w:styleId="14">
    <w:name w:val="header"/>
    <w:basedOn w:val="1"/>
    <w:link w:val="37"/>
    <w:unhideWhenUsed/>
    <w:qFormat/>
    <w:uiPriority w:val="99"/>
    <w:pPr>
      <w:tabs>
        <w:tab w:val="center" w:pos="4153"/>
        <w:tab w:val="right" w:pos="8306"/>
      </w:tabs>
      <w:snapToGrid w:val="0"/>
      <w:jc w:val="center"/>
    </w:pPr>
    <w:rPr>
      <w:sz w:val="18"/>
      <w:szCs w:val="18"/>
    </w:rPr>
  </w:style>
  <w:style w:type="paragraph" w:styleId="15">
    <w:name w:val="Subtitle"/>
    <w:basedOn w:val="1"/>
    <w:next w:val="1"/>
    <w:link w:val="29"/>
    <w:qFormat/>
    <w:uiPriority w:val="11"/>
    <w:pPr>
      <w:spacing w:after="160"/>
      <w:jc w:val="center"/>
    </w:pPr>
    <w:rPr>
      <w:rFonts w:asciiTheme="majorHAnsi" w:hAnsiTheme="majorHAnsi" w:eastAsiaTheme="majorEastAsia" w:cstheme="majorBidi"/>
      <w:color w:val="585858" w:themeColor="text1" w:themeTint="A6"/>
      <w:spacing w:val="15"/>
      <w:sz w:val="28"/>
      <w:szCs w:val="28"/>
    </w:rPr>
  </w:style>
  <w:style w:type="paragraph" w:styleId="16">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9">
    <w:name w:val="标题 1 Char"/>
    <w:basedOn w:val="18"/>
    <w:link w:val="2"/>
    <w:qFormat/>
    <w:uiPriority w:val="9"/>
    <w:rPr>
      <w:rFonts w:asciiTheme="majorHAnsi" w:hAnsiTheme="majorHAnsi" w:eastAsiaTheme="majorEastAsia" w:cstheme="majorBidi"/>
      <w:color w:val="0F4761" w:themeColor="accent1" w:themeShade="BF"/>
      <w:sz w:val="48"/>
      <w:szCs w:val="48"/>
    </w:rPr>
  </w:style>
  <w:style w:type="character" w:customStyle="1" w:styleId="20">
    <w:name w:val="标题 2 Char"/>
    <w:basedOn w:val="18"/>
    <w:link w:val="3"/>
    <w:semiHidden/>
    <w:qFormat/>
    <w:uiPriority w:val="9"/>
    <w:rPr>
      <w:rFonts w:asciiTheme="majorHAnsi" w:hAnsiTheme="majorHAnsi" w:eastAsiaTheme="majorEastAsia" w:cstheme="majorBidi"/>
      <w:color w:val="0F4761" w:themeColor="accent1" w:themeShade="BF"/>
      <w:sz w:val="40"/>
      <w:szCs w:val="40"/>
    </w:rPr>
  </w:style>
  <w:style w:type="character" w:customStyle="1" w:styleId="21">
    <w:name w:val="标题 3 Char"/>
    <w:basedOn w:val="18"/>
    <w:link w:val="4"/>
    <w:semiHidden/>
    <w:qFormat/>
    <w:uiPriority w:val="9"/>
    <w:rPr>
      <w:rFonts w:asciiTheme="majorHAnsi" w:hAnsiTheme="majorHAnsi" w:eastAsiaTheme="majorEastAsia" w:cstheme="majorBidi"/>
      <w:color w:val="0F4761" w:themeColor="accent1" w:themeShade="BF"/>
      <w:sz w:val="32"/>
      <w:szCs w:val="32"/>
    </w:rPr>
  </w:style>
  <w:style w:type="character" w:customStyle="1" w:styleId="22">
    <w:name w:val="标题 4 Char"/>
    <w:basedOn w:val="18"/>
    <w:link w:val="5"/>
    <w:semiHidden/>
    <w:qFormat/>
    <w:uiPriority w:val="9"/>
    <w:rPr>
      <w:rFonts w:cstheme="majorBidi"/>
      <w:color w:val="0F4761" w:themeColor="accent1" w:themeShade="BF"/>
      <w:sz w:val="28"/>
      <w:szCs w:val="28"/>
    </w:rPr>
  </w:style>
  <w:style w:type="character" w:customStyle="1" w:styleId="23">
    <w:name w:val="标题 5 Char"/>
    <w:basedOn w:val="18"/>
    <w:link w:val="6"/>
    <w:semiHidden/>
    <w:qFormat/>
    <w:uiPriority w:val="9"/>
    <w:rPr>
      <w:rFonts w:cstheme="majorBidi"/>
      <w:color w:val="0F4761" w:themeColor="accent1" w:themeShade="BF"/>
      <w:sz w:val="24"/>
      <w:szCs w:val="24"/>
    </w:rPr>
  </w:style>
  <w:style w:type="character" w:customStyle="1" w:styleId="24">
    <w:name w:val="标题 6 Char"/>
    <w:basedOn w:val="18"/>
    <w:link w:val="7"/>
    <w:semiHidden/>
    <w:qFormat/>
    <w:uiPriority w:val="9"/>
    <w:rPr>
      <w:rFonts w:cstheme="majorBidi"/>
      <w:b/>
      <w:bCs/>
      <w:color w:val="0F4761" w:themeColor="accent1" w:themeShade="BF"/>
    </w:rPr>
  </w:style>
  <w:style w:type="character" w:customStyle="1" w:styleId="25">
    <w:name w:val="标题 7 Char"/>
    <w:basedOn w:val="18"/>
    <w:link w:val="8"/>
    <w:semiHidden/>
    <w:qFormat/>
    <w:uiPriority w:val="9"/>
    <w:rPr>
      <w:rFonts w:cstheme="majorBidi"/>
      <w:b/>
      <w:bCs/>
      <w:color w:val="585858" w:themeColor="text1" w:themeTint="A6"/>
    </w:rPr>
  </w:style>
  <w:style w:type="character" w:customStyle="1" w:styleId="26">
    <w:name w:val="标题 8 Char"/>
    <w:basedOn w:val="18"/>
    <w:link w:val="9"/>
    <w:semiHidden/>
    <w:qFormat/>
    <w:uiPriority w:val="9"/>
    <w:rPr>
      <w:rFonts w:cstheme="majorBidi"/>
      <w:color w:val="585858" w:themeColor="text1" w:themeTint="A6"/>
    </w:rPr>
  </w:style>
  <w:style w:type="character" w:customStyle="1" w:styleId="27">
    <w:name w:val="标题 9 Char"/>
    <w:basedOn w:val="18"/>
    <w:link w:val="10"/>
    <w:semiHidden/>
    <w:qFormat/>
    <w:uiPriority w:val="9"/>
    <w:rPr>
      <w:rFonts w:eastAsiaTheme="majorEastAsia" w:cstheme="majorBidi"/>
      <w:color w:val="585858" w:themeColor="text1" w:themeTint="A6"/>
    </w:rPr>
  </w:style>
  <w:style w:type="character" w:customStyle="1" w:styleId="28">
    <w:name w:val="标题 Char"/>
    <w:basedOn w:val="18"/>
    <w:link w:val="16"/>
    <w:qFormat/>
    <w:uiPriority w:val="10"/>
    <w:rPr>
      <w:rFonts w:asciiTheme="majorHAnsi" w:hAnsiTheme="majorHAnsi" w:eastAsiaTheme="majorEastAsia" w:cstheme="majorBidi"/>
      <w:spacing w:val="-10"/>
      <w:kern w:val="28"/>
      <w:sz w:val="56"/>
      <w:szCs w:val="56"/>
    </w:rPr>
  </w:style>
  <w:style w:type="character" w:customStyle="1" w:styleId="29">
    <w:name w:val="副标题 Char"/>
    <w:basedOn w:val="18"/>
    <w:link w:val="15"/>
    <w:qFormat/>
    <w:uiPriority w:val="11"/>
    <w:rPr>
      <w:rFonts w:asciiTheme="majorHAnsi" w:hAnsiTheme="majorHAnsi" w:eastAsiaTheme="majorEastAsia" w:cstheme="majorBidi"/>
      <w:color w:val="585858" w:themeColor="text1" w:themeTint="A6"/>
      <w:spacing w:val="15"/>
      <w:sz w:val="28"/>
      <w:szCs w:val="28"/>
    </w:rPr>
  </w:style>
  <w:style w:type="paragraph" w:styleId="30">
    <w:name w:val="Quote"/>
    <w:basedOn w:val="1"/>
    <w:next w:val="1"/>
    <w:link w:val="31"/>
    <w:qFormat/>
    <w:uiPriority w:val="29"/>
    <w:pPr>
      <w:spacing w:before="160" w:after="160"/>
      <w:jc w:val="center"/>
    </w:pPr>
    <w:rPr>
      <w:rFonts w:asciiTheme="minorHAnsi" w:hAnsiTheme="minorHAnsi" w:eastAsiaTheme="minorEastAsia" w:cstheme="minorBidi"/>
      <w:i/>
      <w:iCs/>
      <w:color w:val="3F3F3F" w:themeColor="text1" w:themeTint="BF"/>
      <w:szCs w:val="22"/>
    </w:rPr>
  </w:style>
  <w:style w:type="character" w:customStyle="1" w:styleId="31">
    <w:name w:val="引用 Char"/>
    <w:basedOn w:val="18"/>
    <w:link w:val="30"/>
    <w:qFormat/>
    <w:uiPriority w:val="29"/>
    <w:rPr>
      <w:i/>
      <w:iCs/>
      <w:color w:val="3F3F3F" w:themeColor="text1" w:themeTint="BF"/>
    </w:rPr>
  </w:style>
  <w:style w:type="paragraph" w:styleId="32">
    <w:name w:val="List Paragraph"/>
    <w:basedOn w:val="1"/>
    <w:qFormat/>
    <w:uiPriority w:val="34"/>
    <w:pPr>
      <w:ind w:left="720"/>
      <w:contextualSpacing/>
    </w:pPr>
    <w:rPr>
      <w:rFonts w:asciiTheme="minorHAnsi" w:hAnsiTheme="minorHAnsi" w:eastAsiaTheme="minorEastAsia" w:cstheme="minorBidi"/>
      <w:szCs w:val="22"/>
    </w:rPr>
  </w:style>
  <w:style w:type="character" w:customStyle="1" w:styleId="33">
    <w:name w:val="明显强调1"/>
    <w:basedOn w:val="18"/>
    <w:qFormat/>
    <w:uiPriority w:val="21"/>
    <w:rPr>
      <w:i/>
      <w:iCs/>
      <w:color w:val="0F4761"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0F4761" w:themeColor="accent1" w:themeShade="BF"/>
      <w:szCs w:val="22"/>
    </w:rPr>
  </w:style>
  <w:style w:type="character" w:customStyle="1" w:styleId="35">
    <w:name w:val="明显引用 Char"/>
    <w:basedOn w:val="18"/>
    <w:link w:val="34"/>
    <w:qFormat/>
    <w:uiPriority w:val="30"/>
    <w:rPr>
      <w:i/>
      <w:iCs/>
      <w:color w:val="0F4761" w:themeColor="accent1" w:themeShade="BF"/>
    </w:rPr>
  </w:style>
  <w:style w:type="character" w:customStyle="1" w:styleId="36">
    <w:name w:val="明显参考1"/>
    <w:basedOn w:val="18"/>
    <w:qFormat/>
    <w:uiPriority w:val="32"/>
    <w:rPr>
      <w:b/>
      <w:bCs/>
      <w:smallCaps/>
      <w:color w:val="0F4761" w:themeColor="accent1" w:themeShade="BF"/>
      <w:spacing w:val="5"/>
    </w:rPr>
  </w:style>
  <w:style w:type="character" w:customStyle="1" w:styleId="37">
    <w:name w:val="页眉 Char"/>
    <w:basedOn w:val="18"/>
    <w:link w:val="14"/>
    <w:qFormat/>
    <w:uiPriority w:val="99"/>
    <w:rPr>
      <w:rFonts w:ascii="Calibri" w:hAnsi="Calibri" w:eastAsia="宋体" w:cs="Times New Roman"/>
      <w:sz w:val="18"/>
      <w:szCs w:val="18"/>
    </w:rPr>
  </w:style>
  <w:style w:type="character" w:customStyle="1" w:styleId="38">
    <w:name w:val="页脚 Char"/>
    <w:basedOn w:val="18"/>
    <w:link w:val="13"/>
    <w:qFormat/>
    <w:uiPriority w:val="99"/>
    <w:rPr>
      <w:rFonts w:ascii="Calibri" w:hAnsi="Calibri" w:eastAsia="宋体" w:cs="Times New Roman"/>
      <w:sz w:val="18"/>
      <w:szCs w:val="18"/>
    </w:rPr>
  </w:style>
  <w:style w:type="paragraph" w:customStyle="1" w:styleId="39">
    <w:name w:val="修订1"/>
    <w:hidden/>
    <w:semiHidden/>
    <w:qFormat/>
    <w:uiPriority w:val="99"/>
    <w:rPr>
      <w:rFonts w:ascii="Calibri" w:hAnsi="Calibri" w:eastAsia="宋体" w:cs="Times New Roman"/>
      <w:kern w:val="2"/>
      <w:sz w:val="21"/>
      <w:szCs w:val="24"/>
      <w:lang w:val="en-US" w:eastAsia="zh-CN" w:bidi="ar-SA"/>
    </w:rPr>
  </w:style>
  <w:style w:type="character" w:customStyle="1" w:styleId="40">
    <w:name w:val="批注框文本 Char"/>
    <w:basedOn w:val="18"/>
    <w:link w:val="12"/>
    <w:semiHidden/>
    <w:qFormat/>
    <w:uiPriority w:val="99"/>
    <w:rPr>
      <w:rFonts w:ascii="Calibri" w:hAnsi="Calibri" w:eastAsia="宋体" w:cs="Times New Roman"/>
      <w:sz w:val="18"/>
      <w:szCs w:val="18"/>
    </w:rPr>
  </w:style>
  <w:style w:type="paragraph" w:customStyle="1" w:styleId="41">
    <w:name w:val="Default"/>
    <w:unhideWhenUsed/>
    <w:qFormat/>
    <w:uiPriority w:val="99"/>
    <w:pPr>
      <w:widowControl w:val="0"/>
      <w:autoSpaceDE w:val="0"/>
      <w:autoSpaceDN w:val="0"/>
      <w:adjustRightInd w:val="0"/>
    </w:pPr>
    <w:rPr>
      <w:rFonts w:hint="eastAsia" w:ascii="方正仿宋_GBK" w:hAnsi="方正仿宋_GBK" w:eastAsia="方正仿宋_GBK"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4513</Words>
  <Characters>4516</Characters>
  <Lines>47</Lines>
  <Paragraphs>13</Paragraphs>
  <TotalTime>0</TotalTime>
  <ScaleCrop>false</ScaleCrop>
  <LinksUpToDate>false</LinksUpToDate>
  <CharactersWithSpaces>4520</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2025-10-27T11:05:00Z</dcterms:created>
  <dc:creator>彭华</dc:creator>
  <cp:lastModifiedBy>黄兰</cp:lastModifiedBy>
  <dcterms:modified xsi:type="dcterms:W3CDTF">2025-10-27T16:56:54Z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eyJoZGlkIjoiZTkyZmE1MTM2OWI3NTkyOWFhMWRlNTlhM2Y4MmU5ZDMiLCJ1c2VySWQiOiI3OTA4MzY1ODAifQ==</vt:lpwstr>
  </property>
  <property fmtid="{D5CDD505-2E9C-101B-9397-08002B2CF9AE}" pid="3" name="KSOProductBuildVer">
    <vt:lpwstr>2052-11.8.2.12019</vt:lpwstr>
  </property>
  <property fmtid="{D5CDD505-2E9C-101B-9397-08002B2CF9AE}" pid="4" name="ICV">
    <vt:lpwstr>F843764138014DEBA7D479F826FAF46A_13</vt:lpwstr>
  </property>
</Properties>
</file>