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93C40A">
      <w:pPr>
        <w:jc w:val="center"/>
        <w:rPr>
          <w:rFonts w:hint="default" w:ascii="Times New Roman" w:hAnsi="Times New Roman" w:eastAsia="方正小标宋简体" w:cs="Times New Roman"/>
          <w:sz w:val="44"/>
          <w:szCs w:val="44"/>
          <w:lang w:val="en" w:eastAsia="zh-CN"/>
        </w:rPr>
      </w:pPr>
      <w:bookmarkStart w:id="0" w:name="_GoBack"/>
      <w:r>
        <w:rPr>
          <w:rFonts w:hint="default" w:ascii="Times New Roman" w:hAnsi="Times New Roman" w:eastAsia="方正小标宋简体" w:cs="Times New Roman"/>
          <w:sz w:val="44"/>
          <w:szCs w:val="44"/>
        </w:rPr>
        <w:t>不公平格式条款</w:t>
      </w:r>
      <w:r>
        <w:rPr>
          <w:rFonts w:hint="default" w:ascii="Times New Roman" w:hAnsi="Times New Roman" w:eastAsia="方正小标宋简体" w:cs="Times New Roman"/>
          <w:sz w:val="44"/>
          <w:szCs w:val="44"/>
          <w:lang w:eastAsia="zh-CN"/>
        </w:rPr>
        <w:t>指引</w:t>
      </w:r>
      <w:r>
        <w:rPr>
          <w:rFonts w:hint="default" w:ascii="Times New Roman" w:hAnsi="Times New Roman" w:eastAsia="方正小标宋简体" w:cs="Times New Roman"/>
          <w:color w:val="auto"/>
          <w:sz w:val="44"/>
          <w:szCs w:val="44"/>
          <w:lang w:eastAsia="zh-CN"/>
        </w:rPr>
        <w:t>清单（二）</w:t>
      </w:r>
    </w:p>
    <w:bookmarkEnd w:id="0"/>
    <w:tbl>
      <w:tblPr>
        <w:tblStyle w:val="4"/>
        <w:tblW w:w="50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4356"/>
        <w:gridCol w:w="7803"/>
      </w:tblGrid>
      <w:tr w14:paraId="2205B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blHeader/>
          <w:jc w:val="center"/>
        </w:trPr>
        <w:tc>
          <w:tcPr>
            <w:tcW w:w="332" w:type="pct"/>
            <w:noWrap/>
            <w:vAlign w:val="center"/>
          </w:tcPr>
          <w:p w14:paraId="6442E4C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val="0"/>
                <w:bCs w:val="0"/>
                <w:i w:val="0"/>
                <w:color w:val="000000"/>
                <w:sz w:val="28"/>
                <w:szCs w:val="28"/>
                <w:u w:val="none"/>
              </w:rPr>
            </w:pPr>
            <w:r>
              <w:rPr>
                <w:rFonts w:hint="default" w:ascii="Times New Roman" w:hAnsi="Times New Roman" w:eastAsia="黑体" w:cs="Times New Roman"/>
                <w:sz w:val="28"/>
                <w:szCs w:val="28"/>
                <w:lang w:val="en-US" w:eastAsia="zh-CN"/>
              </w:rPr>
              <w:t>序号</w:t>
            </w:r>
          </w:p>
        </w:tc>
        <w:tc>
          <w:tcPr>
            <w:tcW w:w="1672" w:type="pct"/>
            <w:noWrap w:val="0"/>
            <w:vAlign w:val="center"/>
          </w:tcPr>
          <w:p w14:paraId="10B59F2B">
            <w:pPr>
              <w:keepNext w:val="0"/>
              <w:keepLines w:val="0"/>
              <w:pageBreakBefore w:val="0"/>
              <w:widowControl/>
              <w:suppressLineNumbers w:val="0"/>
              <w:kinsoku/>
              <w:wordWrap/>
              <w:overflowPunct/>
              <w:topLinePunct w:val="0"/>
              <w:autoSpaceDE/>
              <w:autoSpaceDN/>
              <w:bidi w:val="0"/>
              <w:adjustRightInd/>
              <w:snapToGrid/>
              <w:spacing w:line="460" w:lineRule="exact"/>
              <w:ind w:firstLine="840" w:firstLineChars="300"/>
              <w:jc w:val="both"/>
              <w:textAlignment w:val="center"/>
              <w:rPr>
                <w:rFonts w:hint="default" w:ascii="Times New Roman" w:hAnsi="Times New Roman" w:eastAsia="黑体" w:cs="Times New Roman"/>
                <w:b w:val="0"/>
                <w:bCs w:val="0"/>
                <w:i w:val="0"/>
                <w:color w:val="000000"/>
                <w:sz w:val="28"/>
                <w:szCs w:val="28"/>
                <w:u w:val="none"/>
              </w:rPr>
            </w:pPr>
            <w:r>
              <w:rPr>
                <w:rFonts w:hint="default" w:ascii="Times New Roman" w:hAnsi="Times New Roman" w:eastAsia="黑体" w:cs="Times New Roman"/>
                <w:sz w:val="28"/>
                <w:szCs w:val="28"/>
                <w:lang w:val="en-US" w:eastAsia="zh-CN"/>
              </w:rPr>
              <w:t>格式条款内容</w:t>
            </w:r>
          </w:p>
        </w:tc>
        <w:tc>
          <w:tcPr>
            <w:tcW w:w="2995" w:type="pct"/>
            <w:noWrap w:val="0"/>
            <w:vAlign w:val="center"/>
          </w:tcPr>
          <w:p w14:paraId="7A514CC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val="0"/>
                <w:bCs w:val="0"/>
                <w:i w:val="0"/>
                <w:color w:val="000000"/>
                <w:sz w:val="28"/>
                <w:szCs w:val="28"/>
                <w:u w:val="none"/>
              </w:rPr>
            </w:pPr>
            <w:r>
              <w:rPr>
                <w:rFonts w:hint="default" w:ascii="Times New Roman" w:hAnsi="Times New Roman" w:eastAsia="黑体" w:cs="Times New Roman"/>
                <w:sz w:val="28"/>
                <w:szCs w:val="28"/>
                <w:lang w:val="en-US" w:eastAsia="zh-CN"/>
              </w:rPr>
              <w:t>条款内容解析</w:t>
            </w:r>
          </w:p>
        </w:tc>
      </w:tr>
      <w:tr w14:paraId="30C23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332" w:type="pct"/>
            <w:noWrap/>
            <w:vAlign w:val="center"/>
          </w:tcPr>
          <w:p w14:paraId="03C6CC7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一</w:t>
            </w:r>
          </w:p>
        </w:tc>
        <w:tc>
          <w:tcPr>
            <w:tcW w:w="4667" w:type="pct"/>
            <w:gridSpan w:val="2"/>
            <w:noWrap w:val="0"/>
            <w:vAlign w:val="center"/>
          </w:tcPr>
          <w:p w14:paraId="1782C547">
            <w:pPr>
              <w:keepNext w:val="0"/>
              <w:keepLines w:val="0"/>
              <w:pageBreakBefore w:val="0"/>
              <w:widowControl/>
              <w:kinsoku/>
              <w:wordWrap/>
              <w:overflowPunct/>
              <w:topLinePunct w:val="0"/>
              <w:autoSpaceDE/>
              <w:autoSpaceDN/>
              <w:bidi w:val="0"/>
              <w:adjustRightInd/>
              <w:snapToGrid/>
              <w:spacing w:line="460" w:lineRule="exact"/>
              <w:ind w:firstLine="0" w:firstLineChars="0"/>
              <w:jc w:val="both"/>
              <w:rPr>
                <w:rFonts w:hint="default" w:ascii="Times New Roman" w:hAnsi="Times New Roman" w:eastAsia="黑体" w:cs="Times New Roman"/>
                <w:b w:val="0"/>
                <w:bCs/>
                <w:i w:val="0"/>
                <w:color w:val="000000"/>
                <w:sz w:val="28"/>
                <w:szCs w:val="28"/>
                <w:u w:val="none"/>
              </w:rPr>
            </w:pPr>
            <w:r>
              <w:rPr>
                <w:rFonts w:hint="default" w:ascii="Times New Roman" w:hAnsi="Times New Roman" w:eastAsia="黑体" w:cs="Times New Roman"/>
                <w:b w:val="0"/>
                <w:bCs/>
                <w:i w:val="0"/>
                <w:color w:val="000000"/>
                <w:kern w:val="0"/>
                <w:sz w:val="28"/>
                <w:szCs w:val="28"/>
                <w:u w:val="none"/>
                <w:lang w:val="en-US" w:eastAsia="zh-CN" w:bidi="ar"/>
              </w:rPr>
              <w:t>易见于美容美发、健身等行业</w:t>
            </w:r>
          </w:p>
        </w:tc>
      </w:tr>
      <w:tr w14:paraId="36AA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1" w:hRule="atLeast"/>
          <w:jc w:val="center"/>
        </w:trPr>
        <w:tc>
          <w:tcPr>
            <w:tcW w:w="332" w:type="pct"/>
            <w:noWrap/>
            <w:vAlign w:val="center"/>
          </w:tcPr>
          <w:p w14:paraId="2CDA55E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1</w:t>
            </w:r>
          </w:p>
        </w:tc>
        <w:tc>
          <w:tcPr>
            <w:tcW w:w="1672" w:type="pct"/>
            <w:noWrap w:val="0"/>
            <w:vAlign w:val="center"/>
          </w:tcPr>
          <w:p w14:paraId="486D204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美容美发服务过程中，因操作不当造成顾客皮肤损伤的，本店仅承担治疗费用，不给予其他赔偿</w:t>
            </w:r>
          </w:p>
        </w:tc>
        <w:tc>
          <w:tcPr>
            <w:tcW w:w="2995" w:type="pct"/>
            <w:noWrap w:val="0"/>
            <w:vAlign w:val="center"/>
          </w:tcPr>
          <w:p w14:paraId="7A777BAA">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center"/>
              <w:rPr>
                <w:rFonts w:hint="default" w:ascii="Times New Roman" w:hAnsi="Times New Roman" w:eastAsia="仿宋_GB2312" w:cs="Times New Roman"/>
                <w:i w:val="0"/>
                <w:color w:val="000000"/>
                <w:sz w:val="28"/>
                <w:szCs w:val="28"/>
                <w:u w:val="none"/>
                <w:lang w:val="en"/>
              </w:rPr>
            </w:pPr>
            <w:r>
              <w:rPr>
                <w:rFonts w:hint="default" w:ascii="Times New Roman" w:hAnsi="Times New Roman" w:eastAsia="仿宋_GB2312" w:cs="Times New Roman"/>
                <w:i w:val="0"/>
                <w:color w:val="000000"/>
                <w:kern w:val="0"/>
                <w:sz w:val="28"/>
                <w:szCs w:val="28"/>
                <w:u w:val="none"/>
                <w:lang w:val="en-US" w:eastAsia="zh-CN" w:bidi="ar"/>
              </w:rPr>
              <w:t>消费者在购买、使用商品和接受服务时享有人身、财产安全不受损害的权利，消费者有权要求经营者提供的商品和服务，符合保障人身、财产安全的要求，消费者因购买、使用商品或者接受服务受到人身、财产损害的，享有依法获得赔偿的权利。侵害他人造成人身损害的，应当赔偿医疗费、护理费、交通费、营养费、住院伙食补助费等为治疗和康复支出的合理费用，以及因误工减少的收入。此条款内容减轻经营者造成消费者人身伤害依法应当承担的责任、限制消费者依法请求支付损害赔偿金的权利</w:t>
            </w:r>
          </w:p>
        </w:tc>
      </w:tr>
      <w:tr w14:paraId="5480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1" w:hRule="atLeast"/>
          <w:jc w:val="center"/>
        </w:trPr>
        <w:tc>
          <w:tcPr>
            <w:tcW w:w="332" w:type="pct"/>
            <w:noWrap/>
            <w:vAlign w:val="center"/>
          </w:tcPr>
          <w:p w14:paraId="6197CC3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2</w:t>
            </w:r>
          </w:p>
        </w:tc>
        <w:tc>
          <w:tcPr>
            <w:tcW w:w="1672" w:type="pct"/>
            <w:noWrap w:val="0"/>
            <w:vAlign w:val="center"/>
          </w:tcPr>
          <w:p w14:paraId="61352AD4">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2"/>
                <w:sz w:val="28"/>
                <w:szCs w:val="28"/>
                <w:u w:val="none"/>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因健身房设施故障导致会员受伤的，健身房只承担基本医疗费用，不赔偿其他损失</w:t>
            </w:r>
          </w:p>
        </w:tc>
        <w:tc>
          <w:tcPr>
            <w:tcW w:w="2995" w:type="pct"/>
            <w:noWrap w:val="0"/>
            <w:vAlign w:val="center"/>
          </w:tcPr>
          <w:p w14:paraId="169A0A6F">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2"/>
                <w:sz w:val="28"/>
                <w:szCs w:val="28"/>
                <w:u w:val="none"/>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宾馆、商场、银行、车站、机场、体育场馆、娱乐场所等经营场所、公共场所的经营者、管理者或者群众性活动的组织者，未尽到安全保障义务，造成他人损害的，应当承担侵权责任。在健身房事故中，如果事故是由于设施故障引发的，且健身房未尽到合理的安全保障义务，如未定期检查、维护设施，或未在设施故障处设置明显的警示标志等，那么健身房就应当对因此遭受损害的消费者承担民事赔偿责任。赔偿范围通常包括受害者的医疗费、护理费、交通费、营养费、住院伙食补助费等为治疗和康复支出的合理费用，以及因误工减少的收入。此条款内容减轻经营者造成消费者人身伤害依法应当承担的责任、限制消费者依法请求支付损害赔偿金的权利</w:t>
            </w:r>
          </w:p>
        </w:tc>
      </w:tr>
      <w:tr w14:paraId="61D1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332" w:type="pct"/>
            <w:noWrap/>
            <w:vAlign w:val="center"/>
          </w:tcPr>
          <w:p w14:paraId="2A409172">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3</w:t>
            </w:r>
          </w:p>
        </w:tc>
        <w:tc>
          <w:tcPr>
            <w:tcW w:w="1672" w:type="pct"/>
            <w:noWrap w:val="0"/>
            <w:vAlign w:val="center"/>
          </w:tcPr>
          <w:p w14:paraId="431C9F6D">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会员购卡后因自身原因不可退卡</w:t>
            </w:r>
          </w:p>
        </w:tc>
        <w:tc>
          <w:tcPr>
            <w:tcW w:w="2995" w:type="pct"/>
            <w:vMerge w:val="restart"/>
            <w:noWrap w:val="0"/>
            <w:vAlign w:val="center"/>
          </w:tcPr>
          <w:p w14:paraId="3DC7A7E8">
            <w:pPr>
              <w:keepNext w:val="0"/>
              <w:keepLines w:val="0"/>
              <w:pageBreakBefore w:val="0"/>
              <w:widowControl/>
              <w:suppressLineNumbers w:val="0"/>
              <w:tabs>
                <w:tab w:val="left" w:pos="1399"/>
              </w:tabs>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sz w:val="28"/>
                <w:szCs w:val="28"/>
                <w:u w:val="none"/>
                <w:lang w:eastAsia="zh-CN"/>
              </w:rPr>
            </w:pPr>
            <w:r>
              <w:rPr>
                <w:rFonts w:hint="default" w:ascii="Times New Roman" w:hAnsi="Times New Roman" w:eastAsia="仿宋_GB2312" w:cs="Times New Roman"/>
                <w:i w:val="0"/>
                <w:color w:val="000000"/>
                <w:sz w:val="28"/>
                <w:szCs w:val="28"/>
                <w:u w:val="none"/>
                <w:lang w:eastAsia="zh-CN"/>
              </w:rPr>
              <w:t>经营者与消费者订立合同，不得利用格式条款等方式作出减轻或者免除自身责任、加重消费者责任、排除或者限制消费者权利的规定，此条款内容排除或者限制了消费者依法变更或者解除合同的权利</w:t>
            </w:r>
          </w:p>
        </w:tc>
      </w:tr>
      <w:tr w14:paraId="5B37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332" w:type="pct"/>
            <w:noWrap/>
            <w:vAlign w:val="center"/>
          </w:tcPr>
          <w:p w14:paraId="6BC2658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4</w:t>
            </w:r>
          </w:p>
        </w:tc>
        <w:tc>
          <w:tcPr>
            <w:tcW w:w="1672" w:type="pct"/>
            <w:noWrap w:val="0"/>
            <w:vAlign w:val="center"/>
          </w:tcPr>
          <w:p w14:paraId="71DF59CE">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课程费用不退不换，仅限本人使用</w:t>
            </w:r>
          </w:p>
        </w:tc>
        <w:tc>
          <w:tcPr>
            <w:tcW w:w="2995" w:type="pct"/>
            <w:vMerge w:val="continue"/>
            <w:noWrap w:val="0"/>
            <w:vAlign w:val="center"/>
          </w:tcPr>
          <w:p w14:paraId="5B8DCCA7">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p>
        </w:tc>
      </w:tr>
      <w:tr w14:paraId="2CF5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332" w:type="pct"/>
            <w:noWrap/>
            <w:vAlign w:val="center"/>
          </w:tcPr>
          <w:p w14:paraId="4DB6A60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kern w:val="2"/>
                <w:sz w:val="28"/>
                <w:szCs w:val="28"/>
                <w:u w:val="none"/>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5</w:t>
            </w:r>
          </w:p>
        </w:tc>
        <w:tc>
          <w:tcPr>
            <w:tcW w:w="1672" w:type="pct"/>
            <w:noWrap w:val="0"/>
            <w:vAlign w:val="center"/>
          </w:tcPr>
          <w:p w14:paraId="4C8BB1D8">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培训费一旦缴纳，不予退费</w:t>
            </w:r>
          </w:p>
        </w:tc>
        <w:tc>
          <w:tcPr>
            <w:tcW w:w="2995" w:type="pct"/>
            <w:vMerge w:val="continue"/>
            <w:noWrap w:val="0"/>
            <w:vAlign w:val="center"/>
          </w:tcPr>
          <w:p w14:paraId="218C9985">
            <w:pPr>
              <w:keepNext w:val="0"/>
              <w:keepLines w:val="0"/>
              <w:pageBreakBefore w:val="0"/>
              <w:widowControl/>
              <w:suppressLineNumbers w:val="0"/>
              <w:kinsoku/>
              <w:wordWrap/>
              <w:overflowPunct/>
              <w:topLinePunct w:val="0"/>
              <w:autoSpaceDE/>
              <w:autoSpaceDN/>
              <w:bidi w:val="0"/>
              <w:adjustRightInd/>
              <w:snapToGrid/>
              <w:spacing w:line="400" w:lineRule="exact"/>
              <w:ind w:firstLine="537" w:firstLineChars="192"/>
              <w:jc w:val="both"/>
              <w:textAlignment w:val="center"/>
              <w:rPr>
                <w:rFonts w:hint="default" w:ascii="Times New Roman" w:hAnsi="Times New Roman" w:eastAsia="仿宋_GB2312" w:cs="Times New Roman"/>
                <w:i w:val="0"/>
                <w:color w:val="000000"/>
                <w:sz w:val="28"/>
                <w:szCs w:val="28"/>
                <w:u w:val="none"/>
              </w:rPr>
            </w:pPr>
          </w:p>
        </w:tc>
      </w:tr>
      <w:tr w14:paraId="7018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1" w:hRule="atLeast"/>
          <w:jc w:val="center"/>
        </w:trPr>
        <w:tc>
          <w:tcPr>
            <w:tcW w:w="332" w:type="pct"/>
            <w:noWrap/>
            <w:vAlign w:val="center"/>
          </w:tcPr>
          <w:p w14:paraId="7A5C3BF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kern w:val="2"/>
                <w:sz w:val="28"/>
                <w:szCs w:val="28"/>
                <w:u w:val="none"/>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6</w:t>
            </w:r>
          </w:p>
        </w:tc>
        <w:tc>
          <w:tcPr>
            <w:tcW w:w="1672" w:type="pct"/>
            <w:noWrap w:val="0"/>
            <w:vAlign w:val="center"/>
          </w:tcPr>
          <w:p w14:paraId="6E7D3F2A">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购买本产品必须接受指定附加服务</w:t>
            </w:r>
          </w:p>
        </w:tc>
        <w:tc>
          <w:tcPr>
            <w:tcW w:w="2995" w:type="pct"/>
            <w:noWrap w:val="0"/>
            <w:vAlign w:val="center"/>
          </w:tcPr>
          <w:p w14:paraId="1EDB3109">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消费者享有自主选择商品或者服务的权利。经营者不得以暴力、胁迫、限制人身自由等方式或者利用技术手段，强制或者变相强制消费者购买商品或者接受服务，或者排除、限制消费者选择其他经营者提供的商品或者服务。经营者通过搭配、组合等方式提供商品或者服务的，应当以显著方式提请消费者注意。此条款内容违背消费者意愿，强行搭售其他商品或服务，侵犯了消费者的知情权和选择权，排除或者限制消费者依法自主选择商品或者服务的权利</w:t>
            </w:r>
          </w:p>
        </w:tc>
      </w:tr>
      <w:tr w14:paraId="171E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2" w:hRule="atLeast"/>
          <w:jc w:val="center"/>
        </w:trPr>
        <w:tc>
          <w:tcPr>
            <w:tcW w:w="332" w:type="pct"/>
            <w:noWrap/>
            <w:vAlign w:val="center"/>
          </w:tcPr>
          <w:p w14:paraId="65A0C41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kern w:val="2"/>
                <w:sz w:val="28"/>
                <w:szCs w:val="28"/>
                <w:u w:val="none"/>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7</w:t>
            </w:r>
          </w:p>
        </w:tc>
        <w:tc>
          <w:tcPr>
            <w:tcW w:w="1672" w:type="pct"/>
            <w:noWrap w:val="0"/>
            <w:vAlign w:val="center"/>
          </w:tcPr>
          <w:p w14:paraId="33E5DCAA">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某游泳馆：请妥善保管好自己的贵重物品，若有遗失，本店概不负责</w:t>
            </w:r>
          </w:p>
        </w:tc>
        <w:tc>
          <w:tcPr>
            <w:tcW w:w="2995" w:type="pct"/>
            <w:noWrap w:val="0"/>
            <w:vAlign w:val="center"/>
          </w:tcPr>
          <w:p w14:paraId="0E7AF989">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宾馆、商场、餐馆、银行、机场、车站、港口、影剧院等经营场所的经营者，应当对消费者尽到安全保障义务，如果消费者在经营场所内丢失了物品，经营者是否承担责任，首先要看其是否尽到了安全保障义务，游泳馆不能直接通过格式条款来不合理地免除自己在这方面的义务和责任</w:t>
            </w:r>
          </w:p>
        </w:tc>
      </w:tr>
      <w:tr w14:paraId="5F8B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332" w:type="pct"/>
            <w:noWrap/>
            <w:vAlign w:val="center"/>
          </w:tcPr>
          <w:p w14:paraId="0CCEC30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kern w:val="2"/>
                <w:sz w:val="28"/>
                <w:szCs w:val="28"/>
                <w:u w:val="none"/>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8</w:t>
            </w:r>
          </w:p>
        </w:tc>
        <w:tc>
          <w:tcPr>
            <w:tcW w:w="1672" w:type="pct"/>
            <w:noWrap w:val="0"/>
            <w:vAlign w:val="center"/>
          </w:tcPr>
          <w:p w14:paraId="1330185B">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进入泳池需同时出示游泳卡和本人身份证，如非本人使用，一经查出一律没收并同时作废，游泳卡费用不予退回</w:t>
            </w:r>
          </w:p>
        </w:tc>
        <w:tc>
          <w:tcPr>
            <w:tcW w:w="2995" w:type="pct"/>
            <w:noWrap w:val="0"/>
            <w:vAlign w:val="center"/>
          </w:tcPr>
          <w:p w14:paraId="2ED0B5A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center"/>
              <w:rPr>
                <w:rFonts w:hint="default" w:ascii="Times New Roman" w:hAnsi="Times New Roman" w:eastAsia="仿宋_GB2312" w:cs="Times New Roman"/>
                <w:i w:val="0"/>
                <w:color w:val="000000"/>
                <w:sz w:val="28"/>
                <w:szCs w:val="28"/>
                <w:u w:val="none"/>
              </w:rPr>
            </w:pPr>
            <w:r>
              <w:rPr>
                <w:rFonts w:hint="default" w:ascii="Times New Roman" w:hAnsi="Times New Roman" w:eastAsia="仿宋_GB2312" w:cs="Times New Roman"/>
                <w:i w:val="0"/>
                <w:color w:val="000000"/>
                <w:kern w:val="0"/>
                <w:sz w:val="28"/>
                <w:szCs w:val="28"/>
                <w:u w:val="none"/>
                <w:lang w:val="en-US" w:eastAsia="zh-CN" w:bidi="ar"/>
              </w:rPr>
              <w:t>游泳场馆经营者可以禁止非本人使用游泳卡的行为，以保障服务秩序和安全，但无权因此将游泳卡作废且不退回费用，此条款内容排除或者限制消费者依法变更或者解除合同的权利</w:t>
            </w:r>
          </w:p>
        </w:tc>
      </w:tr>
      <w:tr w14:paraId="0E19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332" w:type="pct"/>
            <w:noWrap/>
            <w:vAlign w:val="center"/>
          </w:tcPr>
          <w:p w14:paraId="277808D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val="0"/>
                <w:bCs/>
                <w:i w:val="0"/>
                <w:color w:val="000000"/>
                <w:kern w:val="2"/>
                <w:sz w:val="28"/>
                <w:szCs w:val="28"/>
                <w:u w:val="none"/>
                <w:lang w:val="en-US" w:eastAsia="zh-CN" w:bidi="ar-SA"/>
              </w:rPr>
            </w:pPr>
            <w:r>
              <w:rPr>
                <w:rFonts w:hint="default" w:ascii="Times New Roman" w:hAnsi="Times New Roman" w:eastAsia="黑体" w:cs="Times New Roman"/>
                <w:b w:val="0"/>
                <w:bCs/>
                <w:i w:val="0"/>
                <w:color w:val="000000"/>
                <w:kern w:val="0"/>
                <w:sz w:val="28"/>
                <w:szCs w:val="28"/>
                <w:u w:val="none"/>
                <w:lang w:val="en-US" w:eastAsia="zh-CN" w:bidi="ar"/>
              </w:rPr>
              <w:t>二</w:t>
            </w:r>
          </w:p>
        </w:tc>
        <w:tc>
          <w:tcPr>
            <w:tcW w:w="4667" w:type="pct"/>
            <w:gridSpan w:val="2"/>
            <w:noWrap w:val="0"/>
            <w:vAlign w:val="center"/>
          </w:tcPr>
          <w:p w14:paraId="61212051">
            <w:pPr>
              <w:keepNext w:val="0"/>
              <w:keepLines w:val="0"/>
              <w:pageBreakBefore w:val="0"/>
              <w:widowControl/>
              <w:suppressLineNumbers w:val="0"/>
              <w:kinsoku/>
              <w:wordWrap/>
              <w:overflowPunct/>
              <w:topLinePunct w:val="0"/>
              <w:autoSpaceDE/>
              <w:autoSpaceDN/>
              <w:bidi w:val="0"/>
              <w:adjustRightInd/>
              <w:snapToGrid/>
              <w:spacing w:line="460" w:lineRule="exact"/>
              <w:ind w:firstLine="0" w:firstLineChars="0"/>
              <w:jc w:val="both"/>
              <w:textAlignment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易见于房地产交易、房屋租赁行业</w:t>
            </w:r>
          </w:p>
        </w:tc>
      </w:tr>
      <w:tr w14:paraId="22DF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5" w:hRule="atLeast"/>
          <w:jc w:val="center"/>
        </w:trPr>
        <w:tc>
          <w:tcPr>
            <w:tcW w:w="332" w:type="pct"/>
            <w:noWrap/>
            <w:vAlign w:val="center"/>
          </w:tcPr>
          <w:p w14:paraId="760D325F">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kern w:val="2"/>
                <w:sz w:val="28"/>
                <w:szCs w:val="28"/>
                <w:u w:val="none"/>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9</w:t>
            </w:r>
          </w:p>
        </w:tc>
        <w:tc>
          <w:tcPr>
            <w:tcW w:w="1672" w:type="pct"/>
            <w:noWrap w:val="0"/>
            <w:vAlign w:val="center"/>
          </w:tcPr>
          <w:p w14:paraId="05CFF4B3">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2"/>
                <w:sz w:val="28"/>
                <w:szCs w:val="28"/>
                <w:u w:val="none"/>
                <w:lang w:val="en-US" w:eastAsia="zh-CN" w:bidi="ar-SA"/>
              </w:rPr>
            </w:pPr>
            <w:r>
              <w:rPr>
                <w:rFonts w:hint="default" w:ascii="Times New Roman" w:hAnsi="Times New Roman" w:eastAsia="仿宋_GB2312" w:cs="Times New Roman"/>
                <w:i w:val="0"/>
                <w:color w:val="000000"/>
                <w:kern w:val="0"/>
                <w:sz w:val="28"/>
                <w:szCs w:val="28"/>
                <w:u w:val="none"/>
                <w:lang w:val="en-US" w:eastAsia="zh-CN" w:bidi="ar"/>
              </w:rPr>
              <w:t>开发商逾期交房，按日支付已付房款万分之一的违约金，且违约金总额不超过房价款的1%；若购房者逾期付款，按日支付房价款万分之五的违约金，无上限</w:t>
            </w:r>
          </w:p>
        </w:tc>
        <w:tc>
          <w:tcPr>
            <w:tcW w:w="2995" w:type="pct"/>
            <w:noWrap w:val="0"/>
            <w:vAlign w:val="center"/>
          </w:tcPr>
          <w:p w14:paraId="5C9529EC">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当事人可以约定一方违约时应当根据违约情况向对方支付一定数额的违约金，也可以约定因违约产生的损失赔偿额的计算方法。此条款内容对买卖双方违约责任的设定明显不对等，减轻经营者依法应当承担的违约责任、限制消费者依法请求支付违约金的权利，开发商逾期交房的违约成本过低，而购房者逾期付款的责任过重，违反了公平原则，损害了购房者的利益</w:t>
            </w:r>
          </w:p>
        </w:tc>
      </w:tr>
      <w:tr w14:paraId="376B3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jc w:val="center"/>
        </w:trPr>
        <w:tc>
          <w:tcPr>
            <w:tcW w:w="332" w:type="pct"/>
            <w:noWrap/>
            <w:vAlign w:val="center"/>
          </w:tcPr>
          <w:p w14:paraId="3F57F39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10</w:t>
            </w:r>
          </w:p>
        </w:tc>
        <w:tc>
          <w:tcPr>
            <w:tcW w:w="1672" w:type="pct"/>
            <w:noWrap w:val="0"/>
            <w:vAlign w:val="center"/>
          </w:tcPr>
          <w:p w14:paraId="49F3BA3E">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承租后租金概不退还</w:t>
            </w:r>
          </w:p>
        </w:tc>
        <w:tc>
          <w:tcPr>
            <w:tcW w:w="2995" w:type="pct"/>
            <w:noWrap w:val="0"/>
            <w:vAlign w:val="center"/>
          </w:tcPr>
          <w:p w14:paraId="7A40DD6C">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经营者与消费者订立合同，不得利用格式条款等方式作出减轻或者免除自身责任、加重消费者责任、排除或者限制消费者权利的规定，此条款内容排除或者限制了承租人依法变更或者解除合同的权利</w:t>
            </w:r>
          </w:p>
        </w:tc>
      </w:tr>
      <w:tr w14:paraId="6C7E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noWrap/>
            <w:vAlign w:val="center"/>
          </w:tcPr>
          <w:p w14:paraId="187C9D9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11</w:t>
            </w:r>
          </w:p>
        </w:tc>
        <w:tc>
          <w:tcPr>
            <w:tcW w:w="1672" w:type="pct"/>
            <w:noWrap w:val="0"/>
            <w:vAlign w:val="center"/>
          </w:tcPr>
          <w:p w14:paraId="4D00655D">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租赁期内，房东有权随时提高租金，租客不得异议</w:t>
            </w:r>
          </w:p>
        </w:tc>
        <w:tc>
          <w:tcPr>
            <w:tcW w:w="2995" w:type="pct"/>
            <w:noWrap w:val="0"/>
            <w:vAlign w:val="center"/>
          </w:tcPr>
          <w:p w14:paraId="475841F4">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房屋租赁合同期内，出租人不得单方面随意提高租金水平，此条款内容出租人单方面设定随时提高租金且承租人不得异议的条款，破坏了租赁关系的稳定性和公平性，侵犯了承租人对租金的合理预期和自主选择权</w:t>
            </w:r>
          </w:p>
        </w:tc>
      </w:tr>
      <w:tr w14:paraId="1F04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332" w:type="pct"/>
            <w:noWrap/>
            <w:vAlign w:val="center"/>
          </w:tcPr>
          <w:p w14:paraId="79CC936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val="0"/>
                <w:bCs/>
                <w:i w:val="0"/>
                <w:color w:val="000000"/>
                <w:sz w:val="28"/>
                <w:szCs w:val="28"/>
                <w:u w:val="none"/>
                <w:lang w:val="en-US" w:eastAsia="zh-CN"/>
              </w:rPr>
            </w:pPr>
            <w:r>
              <w:rPr>
                <w:rFonts w:hint="default" w:ascii="Times New Roman" w:hAnsi="Times New Roman" w:eastAsia="黑体" w:cs="Times New Roman"/>
                <w:b w:val="0"/>
                <w:bCs/>
                <w:i w:val="0"/>
                <w:color w:val="000000"/>
                <w:kern w:val="0"/>
                <w:sz w:val="28"/>
                <w:szCs w:val="28"/>
                <w:u w:val="none"/>
                <w:lang w:val="en-US" w:eastAsia="zh-CN" w:bidi="ar"/>
              </w:rPr>
              <w:t>三</w:t>
            </w:r>
          </w:p>
        </w:tc>
        <w:tc>
          <w:tcPr>
            <w:tcW w:w="4667" w:type="pct"/>
            <w:gridSpan w:val="2"/>
            <w:noWrap w:val="0"/>
            <w:vAlign w:val="center"/>
          </w:tcPr>
          <w:p w14:paraId="17BF94F5">
            <w:pPr>
              <w:keepNext w:val="0"/>
              <w:keepLines w:val="0"/>
              <w:pageBreakBefore w:val="0"/>
              <w:widowControl/>
              <w:kinsoku/>
              <w:wordWrap/>
              <w:overflowPunct/>
              <w:topLinePunct w:val="0"/>
              <w:autoSpaceDE/>
              <w:autoSpaceDN/>
              <w:bidi w:val="0"/>
              <w:adjustRightInd/>
              <w:snapToGrid/>
              <w:spacing w:line="460" w:lineRule="exact"/>
              <w:ind w:firstLine="0" w:firstLineChars="0"/>
              <w:jc w:val="both"/>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易见于商品零售业</w:t>
            </w:r>
          </w:p>
        </w:tc>
      </w:tr>
      <w:tr w14:paraId="1331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6" w:hRule="atLeast"/>
          <w:jc w:val="center"/>
        </w:trPr>
        <w:tc>
          <w:tcPr>
            <w:tcW w:w="332" w:type="pct"/>
            <w:noWrap/>
            <w:vAlign w:val="center"/>
          </w:tcPr>
          <w:p w14:paraId="4EF20A2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12</w:t>
            </w:r>
          </w:p>
        </w:tc>
        <w:tc>
          <w:tcPr>
            <w:tcW w:w="1672" w:type="pct"/>
            <w:noWrap w:val="0"/>
            <w:vAlign w:val="center"/>
          </w:tcPr>
          <w:p w14:paraId="44A7F0E5">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left"/>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商品一经售出，概不退换</w:t>
            </w:r>
          </w:p>
        </w:tc>
        <w:tc>
          <w:tcPr>
            <w:tcW w:w="2995" w:type="pct"/>
            <w:noWrap w:val="0"/>
            <w:vAlign w:val="center"/>
          </w:tcPr>
          <w:p w14:paraId="54F6B243">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经营者与消费者订立合同，不得利用格式条款等方式作出减轻或者免除自身责任、加重消费者责任、排除或者限制消费者权利的规定，此条款内容排除或者限制了消费者依法变更或者解除合同的权利、免除或者减轻经营者对其所提供的商品或者服务依法应当承担的修理、重作、更换、退货、补足商品数量、退还货款和服务费用等责任</w:t>
            </w:r>
          </w:p>
        </w:tc>
      </w:tr>
      <w:tr w14:paraId="7652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5" w:hRule="atLeast"/>
          <w:jc w:val="center"/>
        </w:trPr>
        <w:tc>
          <w:tcPr>
            <w:tcW w:w="332" w:type="pct"/>
            <w:noWrap w:val="0"/>
            <w:vAlign w:val="center"/>
          </w:tcPr>
          <w:p w14:paraId="50B6B20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13</w:t>
            </w:r>
          </w:p>
        </w:tc>
        <w:tc>
          <w:tcPr>
            <w:tcW w:w="1672" w:type="pct"/>
            <w:noWrap w:val="0"/>
            <w:vAlign w:val="center"/>
          </w:tcPr>
          <w:p w14:paraId="3B4A4FE2">
            <w:pPr>
              <w:keepNext w:val="0"/>
              <w:keepLines w:val="0"/>
              <w:pageBreakBefore w:val="0"/>
              <w:widowControl/>
              <w:suppressLineNumbers w:val="0"/>
              <w:kinsoku/>
              <w:wordWrap/>
              <w:overflowPunct/>
              <w:topLinePunct w:val="0"/>
              <w:autoSpaceDE/>
              <w:autoSpaceDN/>
              <w:bidi w:val="0"/>
              <w:adjustRightInd/>
              <w:snapToGrid/>
              <w:spacing w:line="460" w:lineRule="exact"/>
              <w:ind w:firstLine="0" w:firstLineChars="0"/>
              <w:jc w:val="center"/>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特价商品，概不退换</w:t>
            </w:r>
          </w:p>
        </w:tc>
        <w:tc>
          <w:tcPr>
            <w:tcW w:w="2995" w:type="pct"/>
            <w:noWrap w:val="0"/>
            <w:vAlign w:val="center"/>
          </w:tcPr>
          <w:p w14:paraId="0422CDAC">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无论是特价、减价还是打折商品，只是经营者为了促销，在价格上给予消费者一定的优惠，并不等于瑕疵商品，经营者提供的商品或者服务不符合质量要求的，消费者可以依照法律规定要求经营者履行更换、修理等义务。此条款内容排除或者限制了消费者依法变更或者解除合同的权利、免除或者减轻经营者对其所提供的商品或者服务依法应当承担的修理、重作、更换、退货、补足商品数量、退还货款和服务费用等责任</w:t>
            </w:r>
          </w:p>
        </w:tc>
      </w:tr>
      <w:tr w14:paraId="4068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7" w:hRule="atLeast"/>
          <w:jc w:val="center"/>
        </w:trPr>
        <w:tc>
          <w:tcPr>
            <w:tcW w:w="332" w:type="pct"/>
            <w:noWrap w:val="0"/>
            <w:vAlign w:val="center"/>
          </w:tcPr>
          <w:p w14:paraId="143CA5A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14</w:t>
            </w:r>
          </w:p>
        </w:tc>
        <w:tc>
          <w:tcPr>
            <w:tcW w:w="1672" w:type="pct"/>
            <w:noWrap w:val="0"/>
            <w:vAlign w:val="center"/>
          </w:tcPr>
          <w:p w14:paraId="45188A02">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left"/>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奖品、赠品不实行三包政策</w:t>
            </w:r>
          </w:p>
        </w:tc>
        <w:tc>
          <w:tcPr>
            <w:tcW w:w="2995" w:type="pct"/>
            <w:noWrap w:val="0"/>
            <w:vAlign w:val="center"/>
          </w:tcPr>
          <w:p w14:paraId="1B7CECFF">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left"/>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零售商开展促销活动，不得降低促销商品（包括有奖销售的奖品、赠品）的质量和售后服务水平，不得将质量不合格的物品作为奖品、赠品。赠品虽然名义上是免费的，但实际上是商家为了促销而赠送的商品，其质量和售后服务应与正常销售的商品相同，如果商家赠送的赠品存在质量问题，消费者同样可以要求退换或者赔偿。此条款内容免除或者减轻经营者对其所提供的商品或者服务依法应当承担的修理、重作、更换、退货、补足商品数量、退还货款和服务费用等责任</w:t>
            </w:r>
          </w:p>
        </w:tc>
      </w:tr>
      <w:tr w14:paraId="4FBA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332" w:type="pct"/>
            <w:noWrap w:val="0"/>
            <w:vAlign w:val="center"/>
          </w:tcPr>
          <w:p w14:paraId="0AE162AB">
            <w:pPr>
              <w:keepNext w:val="0"/>
              <w:keepLines w:val="0"/>
              <w:pageBreakBefore w:val="0"/>
              <w:widowControl/>
              <w:kinsoku/>
              <w:wordWrap/>
              <w:overflowPunct/>
              <w:topLinePunct w:val="0"/>
              <w:autoSpaceDE/>
              <w:autoSpaceDN/>
              <w:bidi w:val="0"/>
              <w:adjustRightInd/>
              <w:snapToGrid/>
              <w:spacing w:line="460" w:lineRule="exact"/>
              <w:jc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四</w:t>
            </w:r>
          </w:p>
        </w:tc>
        <w:tc>
          <w:tcPr>
            <w:tcW w:w="4667" w:type="pct"/>
            <w:gridSpan w:val="2"/>
            <w:noWrap w:val="0"/>
            <w:vAlign w:val="center"/>
          </w:tcPr>
          <w:p w14:paraId="0C42AC2F">
            <w:pPr>
              <w:keepNext w:val="0"/>
              <w:keepLines w:val="0"/>
              <w:pageBreakBefore w:val="0"/>
              <w:widowControl/>
              <w:kinsoku/>
              <w:wordWrap/>
              <w:overflowPunct/>
              <w:topLinePunct w:val="0"/>
              <w:autoSpaceDE/>
              <w:autoSpaceDN/>
              <w:bidi w:val="0"/>
              <w:adjustRightInd/>
              <w:snapToGrid/>
              <w:spacing w:line="460" w:lineRule="exact"/>
              <w:ind w:firstLine="0" w:firstLineChars="0"/>
              <w:jc w:val="both"/>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易见于教育培训服务行业</w:t>
            </w:r>
          </w:p>
        </w:tc>
      </w:tr>
      <w:tr w14:paraId="19E55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noWrap w:val="0"/>
            <w:vAlign w:val="center"/>
          </w:tcPr>
          <w:p w14:paraId="6D81101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15</w:t>
            </w:r>
          </w:p>
        </w:tc>
        <w:tc>
          <w:tcPr>
            <w:tcW w:w="1672" w:type="pct"/>
            <w:noWrap w:val="0"/>
            <w:vAlign w:val="center"/>
          </w:tcPr>
          <w:p w14:paraId="2CC93F6A">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甲方（经营者）最大程度保证辅导老师等教学团队的稳定性，为保证辅导计划顺利完成，甲方有权更换辅导老师，但应提前通知乙方或乙方法定监护人</w:t>
            </w:r>
          </w:p>
        </w:tc>
        <w:tc>
          <w:tcPr>
            <w:tcW w:w="2995" w:type="pct"/>
            <w:noWrap w:val="0"/>
            <w:vAlign w:val="center"/>
          </w:tcPr>
          <w:p w14:paraId="0315BF48">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培训合同中，若对辅导老师有具体约定，则未经消费者同意不能更换老师，否则即是违约；若对辅导老师没有具体约定，在培训中途，培训机构因客观原因需要更换辅导老师的，则按照合同公平原则，应给予消费者解除合同的选择权。此条款内容给予了培训机构自由更换师资的权利，限制了消费者拒绝更换老师的诉求等情况，进而限制了消费者解除合同的权利</w:t>
            </w:r>
          </w:p>
        </w:tc>
      </w:tr>
      <w:tr w14:paraId="266D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jc w:val="center"/>
        </w:trPr>
        <w:tc>
          <w:tcPr>
            <w:tcW w:w="332" w:type="pct"/>
            <w:noWrap w:val="0"/>
            <w:vAlign w:val="center"/>
          </w:tcPr>
          <w:p w14:paraId="471341D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16</w:t>
            </w:r>
          </w:p>
        </w:tc>
        <w:tc>
          <w:tcPr>
            <w:tcW w:w="1672" w:type="pct"/>
            <w:noWrap w:val="0"/>
            <w:vAlign w:val="center"/>
          </w:tcPr>
          <w:p w14:paraId="58792A0E">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甲方（经营者）未按期开展培训服务的，经乙方书面催告后仍不开展服务的，乙方有权要求甲方履行合同或者解除合同。乙方未按本协议约定的日期及时足额支付培训费用的，按照总费用的5%支付滞纳金；逾期超过30日仍未支付的，甲方有权解除本协议，停止服务，并由乙方赔偿甲方总费用50%的违约金</w:t>
            </w:r>
          </w:p>
        </w:tc>
        <w:tc>
          <w:tcPr>
            <w:tcW w:w="2995" w:type="pct"/>
            <w:noWrap w:val="0"/>
            <w:vAlign w:val="center"/>
          </w:tcPr>
          <w:p w14:paraId="2411E339">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采用格式条款订立合同的，提供格式条款的一方应当遵循公平原则确定当事人之间的权利和义务。此条款内容设定培训机构未按约定开展培训业务，乙方只是有权解除合同，未设定甲方的违约责任，而乙方未按约定期限支付费用，则要支付滞纳金，且超过30日未支付的，甲方有权解除协议并要求乙方赔偿培训费总额50%的金额，双方违约责任的设定不对等，免除或者减轻经营者依法应当承担的违约责任、限制消费者依法请求支付违约金的权利</w:t>
            </w:r>
          </w:p>
        </w:tc>
      </w:tr>
      <w:tr w14:paraId="54A7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9" w:hRule="atLeast"/>
          <w:jc w:val="center"/>
        </w:trPr>
        <w:tc>
          <w:tcPr>
            <w:tcW w:w="332" w:type="pct"/>
            <w:noWrap w:val="0"/>
            <w:vAlign w:val="center"/>
          </w:tcPr>
          <w:p w14:paraId="7EB0E3B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17</w:t>
            </w:r>
          </w:p>
        </w:tc>
        <w:tc>
          <w:tcPr>
            <w:tcW w:w="1672" w:type="pct"/>
            <w:noWrap w:val="0"/>
            <w:vAlign w:val="center"/>
          </w:tcPr>
          <w:p w14:paraId="19AD3BBC">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乙方（消费者）如果发生退课时费情况，必须提供有效收费凭证，如乙方无法提供有效收费凭证，甲方无法进行退还程序，无法实现退款，一切后果由乙方承担责任</w:t>
            </w:r>
          </w:p>
        </w:tc>
        <w:tc>
          <w:tcPr>
            <w:tcW w:w="2995" w:type="pct"/>
            <w:noWrap w:val="0"/>
            <w:vAlign w:val="center"/>
          </w:tcPr>
          <w:p w14:paraId="0BBF04F6">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即使乙方不能提供甲方收费时出具的收费凭证，乙方的付费交易记录、甲方自身的收费记录等均可以证明甲方收费的事实，故只要乙方能够证明向甲方付款的事实，甲方应当退费。此条款内容将有效凭证作为退款的唯一条件，免除或者减轻经营者的退款责任、排除或者限制消费者依法解除合同的权利</w:t>
            </w:r>
          </w:p>
        </w:tc>
      </w:tr>
      <w:tr w14:paraId="1227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2" w:hRule="atLeast"/>
          <w:jc w:val="center"/>
        </w:trPr>
        <w:tc>
          <w:tcPr>
            <w:tcW w:w="332" w:type="pct"/>
            <w:noWrap w:val="0"/>
            <w:vAlign w:val="center"/>
          </w:tcPr>
          <w:p w14:paraId="1F3EF57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18</w:t>
            </w:r>
          </w:p>
        </w:tc>
        <w:tc>
          <w:tcPr>
            <w:tcW w:w="1672" w:type="pct"/>
            <w:noWrap w:val="0"/>
            <w:vAlign w:val="center"/>
          </w:tcPr>
          <w:p w14:paraId="69DA8846">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乙方（消费者）及其法定监护人保证提供给甲方全面、真实、可靠、有效的乙方相关信息。此信息作为甲方制订对乙方的辅导方案和辅导计划的依据，若乙方及其法定监护人所提供的信息存在虚假，甲方有权在不退款的情况下，无条件提前解除本协议</w:t>
            </w:r>
          </w:p>
        </w:tc>
        <w:tc>
          <w:tcPr>
            <w:tcW w:w="2995" w:type="pct"/>
            <w:noWrap w:val="0"/>
            <w:vAlign w:val="center"/>
          </w:tcPr>
          <w:p w14:paraId="184C238F">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从该条款的内容看，甲方要求乙方提供学员信息全面、真实、可靠，只是作为制定辅导方案划的依据，仅因乙方信息存在虚假就解除合同且不予退款，缺乏法律依据。若因乙方提供信息不准确导致学员无法适应培训机构教学进度的，也可以通过协商变更合同等方式解决。此条款内容免除或者减轻经营者的退款责任</w:t>
            </w:r>
          </w:p>
        </w:tc>
      </w:tr>
      <w:tr w14:paraId="0D2A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332" w:type="pct"/>
            <w:noWrap w:val="0"/>
            <w:vAlign w:val="center"/>
          </w:tcPr>
          <w:p w14:paraId="331A7EF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五</w:t>
            </w:r>
          </w:p>
        </w:tc>
        <w:tc>
          <w:tcPr>
            <w:tcW w:w="4667" w:type="pct"/>
            <w:gridSpan w:val="2"/>
            <w:noWrap w:val="0"/>
            <w:vAlign w:val="center"/>
          </w:tcPr>
          <w:p w14:paraId="1FBEEB00">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易见于住宅装修装饰行业</w:t>
            </w:r>
          </w:p>
        </w:tc>
      </w:tr>
      <w:tr w14:paraId="5167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3" w:hRule="atLeast"/>
          <w:jc w:val="center"/>
        </w:trPr>
        <w:tc>
          <w:tcPr>
            <w:tcW w:w="332" w:type="pct"/>
            <w:noWrap w:val="0"/>
            <w:vAlign w:val="center"/>
          </w:tcPr>
          <w:p w14:paraId="1BFBF04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19</w:t>
            </w:r>
          </w:p>
        </w:tc>
        <w:tc>
          <w:tcPr>
            <w:tcW w:w="1672" w:type="pct"/>
            <w:noWrap w:val="0"/>
            <w:vAlign w:val="center"/>
          </w:tcPr>
          <w:p w14:paraId="715B9355">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装修施工期间属于甲方（消费者）购买材料由乙方（装修公司）施工的项目，如有因乙方施工造成质量问题，乙方负责保修期间的人工费用，材料由甲方负责</w:t>
            </w:r>
          </w:p>
        </w:tc>
        <w:tc>
          <w:tcPr>
            <w:tcW w:w="2995" w:type="pct"/>
            <w:noWrap w:val="0"/>
            <w:vAlign w:val="center"/>
          </w:tcPr>
          <w:p w14:paraId="0F404F62">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装修过程中，因施工造成质量问题后，往往需要进行拆除部分或全部原装修材料进行重新施工。拆除过程中，原装修材料会遭到部分或者全部损坏。消费者自购材料属于其自身财产，因经营者施工质量不合格对消费者造成的损失应由经营者一并承担。此条款内容设定乙方施工造成的质量问题，仅承担人工费用不承担材料费用，免除或者减轻经营者应当承担的责任</w:t>
            </w:r>
          </w:p>
        </w:tc>
      </w:tr>
      <w:tr w14:paraId="32C1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9" w:hRule="atLeast"/>
          <w:jc w:val="center"/>
        </w:trPr>
        <w:tc>
          <w:tcPr>
            <w:tcW w:w="332" w:type="pct"/>
            <w:noWrap w:val="0"/>
            <w:vAlign w:val="center"/>
          </w:tcPr>
          <w:p w14:paraId="1826CD5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20</w:t>
            </w:r>
          </w:p>
        </w:tc>
        <w:tc>
          <w:tcPr>
            <w:tcW w:w="1672" w:type="pct"/>
            <w:noWrap w:val="0"/>
            <w:vAlign w:val="center"/>
          </w:tcPr>
          <w:p w14:paraId="07D8631D">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乙方（经营者）超过约定时间七日仍不能给付设计图纸的，乙方应当退还实际收取的定金</w:t>
            </w:r>
          </w:p>
        </w:tc>
        <w:tc>
          <w:tcPr>
            <w:tcW w:w="2995" w:type="pct"/>
            <w:noWrap w:val="0"/>
            <w:vAlign w:val="center"/>
          </w:tcPr>
          <w:p w14:paraId="665C74FD">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给付定金的一方不履行债务或者履行债务不符合约定，致使不能实现合同目的的，无权请求返还定金；收受定金的一方不履行债务或者履行债务不符合约定，致使不能实现合同目的的，应当双倍返还定金。此条款内容免除了装修公司因违约而应当双倍返还定金的法定责任，免除或者减轻经营者依法应当承担的违约责任、排除或者限制消费者依法请求支付违约金或者损害赔偿金的权利</w:t>
            </w:r>
          </w:p>
        </w:tc>
      </w:tr>
      <w:tr w14:paraId="4172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noWrap w:val="0"/>
            <w:vAlign w:val="center"/>
          </w:tcPr>
          <w:p w14:paraId="55AB866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21</w:t>
            </w:r>
          </w:p>
        </w:tc>
        <w:tc>
          <w:tcPr>
            <w:tcW w:w="1672" w:type="pct"/>
            <w:noWrap w:val="0"/>
            <w:vAlign w:val="center"/>
          </w:tcPr>
          <w:p w14:paraId="0B10A898">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auto"/>
                <w:kern w:val="0"/>
                <w:sz w:val="28"/>
                <w:szCs w:val="28"/>
                <w:u w:val="none"/>
                <w:lang w:val="en-US" w:eastAsia="zh-CN" w:bidi="ar"/>
              </w:rPr>
              <w:t>装修材料由装修公司选定，业主不得更换，若有质量问题，装修公司仅负责维修，不承担其他责任</w:t>
            </w:r>
          </w:p>
        </w:tc>
        <w:tc>
          <w:tcPr>
            <w:tcW w:w="2995" w:type="pct"/>
            <w:noWrap w:val="0"/>
            <w:vAlign w:val="center"/>
          </w:tcPr>
          <w:p w14:paraId="2F66987F">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both"/>
              <w:textAlignment w:val="center"/>
              <w:rPr>
                <w:rFonts w:hint="default" w:ascii="Times New Roman" w:hAnsi="Times New Roman" w:eastAsia="仿宋_GB2312" w:cs="Times New Roman"/>
                <w:i w:val="0"/>
                <w:strike/>
                <w:color w:val="000000"/>
                <w:kern w:val="0"/>
                <w:sz w:val="28"/>
                <w:szCs w:val="28"/>
                <w:highlight w:val="red"/>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业主对装修材料应有一定的选择权，此条款限制了业主权利，且装修公司对材料质量问题仅负责维修，逃避了可能给业主带来的其他损失的赔偿责任，此条款内容排除或者限制消费者依法自主选择商品或者服务的权利、免除或者减轻经营者对其所提供的商品或者服务依法应当承担的责任</w:t>
            </w:r>
          </w:p>
        </w:tc>
      </w:tr>
      <w:tr w14:paraId="4A2D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jc w:val="center"/>
        </w:trPr>
        <w:tc>
          <w:tcPr>
            <w:tcW w:w="332" w:type="pct"/>
            <w:noWrap w:val="0"/>
            <w:vAlign w:val="center"/>
          </w:tcPr>
          <w:p w14:paraId="74DAB16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22</w:t>
            </w:r>
          </w:p>
        </w:tc>
        <w:tc>
          <w:tcPr>
            <w:tcW w:w="1672" w:type="pct"/>
            <w:noWrap w:val="0"/>
            <w:vAlign w:val="center"/>
          </w:tcPr>
          <w:p w14:paraId="17844B8B">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both"/>
              <w:textAlignment w:val="center"/>
              <w:rPr>
                <w:rFonts w:hint="default" w:ascii="Times New Roman" w:hAnsi="Times New Roman" w:eastAsia="仿宋_GB2312" w:cs="Times New Roman"/>
                <w:i w:val="0"/>
                <w:color w:val="auto"/>
                <w:kern w:val="0"/>
                <w:sz w:val="28"/>
                <w:szCs w:val="28"/>
                <w:u w:val="none"/>
                <w:lang w:val="en-US" w:eastAsia="zh-CN" w:bidi="ar"/>
              </w:rPr>
            </w:pPr>
            <w:r>
              <w:rPr>
                <w:rFonts w:hint="default" w:ascii="Times New Roman" w:hAnsi="Times New Roman" w:eastAsia="仿宋_GB2312" w:cs="Times New Roman"/>
                <w:i w:val="0"/>
                <w:color w:val="auto"/>
                <w:kern w:val="0"/>
                <w:sz w:val="28"/>
                <w:szCs w:val="28"/>
                <w:u w:val="none"/>
                <w:lang w:val="en-US" w:eastAsia="zh-CN" w:bidi="ar"/>
              </w:rPr>
              <w:t>本工程设计费为人民币50000元，甲方（消费者）需在合同签订时付给乙方设计定金人民币20000元</w:t>
            </w:r>
          </w:p>
        </w:tc>
        <w:tc>
          <w:tcPr>
            <w:tcW w:w="2995" w:type="pct"/>
            <w:noWrap w:val="0"/>
            <w:vAlign w:val="center"/>
          </w:tcPr>
          <w:p w14:paraId="2D18155D">
            <w:pPr>
              <w:keepNext w:val="0"/>
              <w:keepLines w:val="0"/>
              <w:pageBreakBefore w:val="0"/>
              <w:widowControl/>
              <w:suppressLineNumbers w:val="0"/>
              <w:tabs>
                <w:tab w:val="left" w:pos="1426"/>
              </w:tabs>
              <w:kinsoku/>
              <w:wordWrap/>
              <w:overflowPunct/>
              <w:topLinePunct w:val="0"/>
              <w:autoSpaceDE/>
              <w:autoSpaceDN/>
              <w:bidi w:val="0"/>
              <w:adjustRightInd/>
              <w:snapToGrid/>
              <w:spacing w:line="44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定金的数额由当事人约定，但是不得超过主合同标的额的百分之二十，此条款内容不合理地加重了消费者的责任</w:t>
            </w:r>
          </w:p>
        </w:tc>
      </w:tr>
      <w:tr w14:paraId="183F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32" w:type="pct"/>
            <w:noWrap w:val="0"/>
            <w:vAlign w:val="center"/>
          </w:tcPr>
          <w:p w14:paraId="6C1A76E8">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val="0"/>
                <w:bCs/>
                <w:i w:val="0"/>
                <w:color w:val="000000"/>
                <w:sz w:val="28"/>
                <w:szCs w:val="28"/>
                <w:u w:val="none"/>
                <w:lang w:val="en-US" w:eastAsia="zh-CN"/>
              </w:rPr>
            </w:pPr>
            <w:r>
              <w:rPr>
                <w:rFonts w:hint="default" w:ascii="Times New Roman" w:hAnsi="Times New Roman" w:eastAsia="黑体" w:cs="Times New Roman"/>
                <w:b w:val="0"/>
                <w:bCs/>
                <w:i w:val="0"/>
                <w:color w:val="000000"/>
                <w:kern w:val="0"/>
                <w:sz w:val="28"/>
                <w:szCs w:val="28"/>
                <w:u w:val="none"/>
                <w:lang w:val="en-US" w:eastAsia="zh-CN" w:bidi="ar"/>
              </w:rPr>
              <w:t>六</w:t>
            </w:r>
          </w:p>
        </w:tc>
        <w:tc>
          <w:tcPr>
            <w:tcW w:w="4667" w:type="pct"/>
            <w:gridSpan w:val="2"/>
            <w:noWrap w:val="0"/>
            <w:vAlign w:val="center"/>
          </w:tcPr>
          <w:p w14:paraId="7DF8D93D">
            <w:pPr>
              <w:keepNext w:val="0"/>
              <w:keepLines w:val="0"/>
              <w:pageBreakBefore w:val="0"/>
              <w:widowControl/>
              <w:suppressLineNumbers w:val="0"/>
              <w:kinsoku/>
              <w:wordWrap/>
              <w:overflowPunct/>
              <w:topLinePunct w:val="0"/>
              <w:autoSpaceDE/>
              <w:autoSpaceDN/>
              <w:bidi w:val="0"/>
              <w:adjustRightInd/>
              <w:snapToGrid/>
              <w:spacing w:line="460" w:lineRule="exact"/>
              <w:ind w:firstLine="0" w:firstLineChars="0"/>
              <w:jc w:val="both"/>
              <w:textAlignment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易见于餐饮行业</w:t>
            </w:r>
          </w:p>
        </w:tc>
      </w:tr>
      <w:tr w14:paraId="2B937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3" w:hRule="atLeast"/>
          <w:jc w:val="center"/>
        </w:trPr>
        <w:tc>
          <w:tcPr>
            <w:tcW w:w="332" w:type="pct"/>
            <w:noWrap w:val="0"/>
            <w:vAlign w:val="center"/>
          </w:tcPr>
          <w:p w14:paraId="24C9E0CD">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23</w:t>
            </w:r>
          </w:p>
        </w:tc>
        <w:tc>
          <w:tcPr>
            <w:tcW w:w="1672" w:type="pct"/>
            <w:noWrap w:val="0"/>
            <w:vAlign w:val="center"/>
          </w:tcPr>
          <w:p w14:paraId="139ECBEA">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left"/>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餐饮经营者设置最低消费</w:t>
            </w:r>
          </w:p>
        </w:tc>
        <w:tc>
          <w:tcPr>
            <w:tcW w:w="2995" w:type="pct"/>
            <w:noWrap w:val="0"/>
            <w:vAlign w:val="center"/>
          </w:tcPr>
          <w:p w14:paraId="3B72868C">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left"/>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餐饮服务经营者应当主动对消费者进行防止食品浪费提示提醒，在醒目位置张贴或者摆放反食品浪费标识，或者由服务人员提示说明，引导消费者按需适量点餐，不得诱导、误导消费者超量点餐，禁止设置最低消费。餐饮经营者设置最低消费排除或者限制消费者依法自主选择商品或者服务的权利，可能会迫使消费者过量点餐，超过合理消费的范畴，造成不必要的餐饮浪费</w:t>
            </w:r>
          </w:p>
        </w:tc>
      </w:tr>
      <w:tr w14:paraId="1702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noWrap w:val="0"/>
            <w:vAlign w:val="center"/>
          </w:tcPr>
          <w:p w14:paraId="00AA8CF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24</w:t>
            </w:r>
          </w:p>
        </w:tc>
        <w:tc>
          <w:tcPr>
            <w:tcW w:w="1672" w:type="pct"/>
            <w:noWrap w:val="0"/>
            <w:vAlign w:val="center"/>
          </w:tcPr>
          <w:p w14:paraId="2C042792">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left"/>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本店消毒餐具有偿使用，工本费二元，不提供免费餐具</w:t>
            </w:r>
          </w:p>
        </w:tc>
        <w:tc>
          <w:tcPr>
            <w:tcW w:w="2995" w:type="pct"/>
            <w:noWrap w:val="0"/>
            <w:vAlign w:val="center"/>
          </w:tcPr>
          <w:p w14:paraId="42B218D2">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餐饮服务提供者应当按照要求对餐具、饮具进行清洗消毒，不得使用未经清洗消毒的餐具、饮具。消费者在餐饮服务经营单位就餐时，经营者应当主动告知消费者所使用餐具是否属于收费餐具，不能把收费餐具作为唯一的选择，应该同时提供已洗净、消毒、符合安全卫生标准的免费餐具供消费者自主选择，餐具收费应当明码标价。此条款内容免除或者减轻经营者自身责任、加重消费者责任</w:t>
            </w:r>
          </w:p>
        </w:tc>
      </w:tr>
      <w:tr w14:paraId="4F464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6" w:hRule="atLeast"/>
          <w:jc w:val="center"/>
        </w:trPr>
        <w:tc>
          <w:tcPr>
            <w:tcW w:w="332" w:type="pct"/>
            <w:noWrap w:val="0"/>
            <w:vAlign w:val="center"/>
          </w:tcPr>
          <w:p w14:paraId="052655D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25</w:t>
            </w:r>
          </w:p>
        </w:tc>
        <w:tc>
          <w:tcPr>
            <w:tcW w:w="1672" w:type="pct"/>
            <w:noWrap w:val="0"/>
            <w:vAlign w:val="center"/>
          </w:tcPr>
          <w:p w14:paraId="2C257A8A">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left"/>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若遇大型接待等不可抗力，导致宴会无法正常接待的，甲方不承担违约责任</w:t>
            </w:r>
          </w:p>
        </w:tc>
        <w:tc>
          <w:tcPr>
            <w:tcW w:w="2995" w:type="pct"/>
            <w:noWrap w:val="0"/>
            <w:vAlign w:val="center"/>
          </w:tcPr>
          <w:p w14:paraId="1B156BF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当事人一方因不可抗力不能履行合同的，根据不可抗力的影响，部分或者全部免除责任，但是法律另有规定的除外。因不可抗力不能履行合同的，应当及时通知对方，以减轻可能给对方造成的损失，并应当在合理期限内提供证明。此条款内容扩大不可抗力范围，既不通知对方，又不在合理期限内提供证明，完全免除经营者依法应当承担的违约责任、排除或者限制消费者依法请求支付违约金或者损害赔偿金的权利</w:t>
            </w:r>
          </w:p>
        </w:tc>
      </w:tr>
      <w:tr w14:paraId="2D34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332" w:type="pct"/>
            <w:noWrap w:val="0"/>
            <w:vAlign w:val="center"/>
          </w:tcPr>
          <w:p w14:paraId="5D60633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eastAsia" w:ascii="黑体" w:hAnsi="黑体" w:eastAsia="黑体" w:cs="黑体"/>
                <w:b w:val="0"/>
                <w:bCs/>
                <w:i w:val="0"/>
                <w:color w:val="000000"/>
                <w:kern w:val="0"/>
                <w:sz w:val="28"/>
                <w:szCs w:val="28"/>
                <w:u w:val="none"/>
                <w:lang w:val="en-US" w:eastAsia="zh-CN" w:bidi="ar"/>
              </w:rPr>
            </w:pPr>
            <w:r>
              <w:rPr>
                <w:rFonts w:hint="eastAsia" w:ascii="黑体" w:hAnsi="黑体" w:eastAsia="黑体" w:cs="黑体"/>
                <w:b w:val="0"/>
                <w:bCs/>
                <w:i w:val="0"/>
                <w:color w:val="000000"/>
                <w:kern w:val="0"/>
                <w:sz w:val="28"/>
                <w:szCs w:val="28"/>
                <w:u w:val="none"/>
                <w:lang w:val="en-US" w:eastAsia="zh-CN" w:bidi="ar"/>
              </w:rPr>
              <w:t>七</w:t>
            </w:r>
          </w:p>
        </w:tc>
        <w:tc>
          <w:tcPr>
            <w:tcW w:w="4667" w:type="pct"/>
            <w:gridSpan w:val="2"/>
            <w:noWrap w:val="0"/>
            <w:vAlign w:val="center"/>
          </w:tcPr>
          <w:p w14:paraId="36D749F4">
            <w:pPr>
              <w:keepNext w:val="0"/>
              <w:keepLines w:val="0"/>
              <w:pageBreakBefore w:val="0"/>
              <w:widowControl/>
              <w:suppressLineNumbers w:val="0"/>
              <w:kinsoku/>
              <w:wordWrap/>
              <w:overflowPunct/>
              <w:topLinePunct w:val="0"/>
              <w:autoSpaceDE/>
              <w:autoSpaceDN/>
              <w:bidi w:val="0"/>
              <w:adjustRightInd/>
              <w:snapToGrid/>
              <w:spacing w:line="460" w:lineRule="exact"/>
              <w:ind w:firstLine="0" w:firstLineChars="0"/>
              <w:jc w:val="both"/>
              <w:textAlignment w:val="center"/>
              <w:rPr>
                <w:rFonts w:hint="eastAsia" w:ascii="黑体" w:hAnsi="黑体" w:eastAsia="黑体" w:cs="黑体"/>
                <w:bCs/>
                <w:i w:val="0"/>
                <w:color w:val="000000"/>
                <w:kern w:val="0"/>
                <w:sz w:val="28"/>
                <w:szCs w:val="28"/>
                <w:u w:val="none"/>
                <w:lang w:val="en-US" w:eastAsia="zh-CN" w:bidi="ar"/>
              </w:rPr>
            </w:pPr>
            <w:r>
              <w:rPr>
                <w:rFonts w:hint="eastAsia" w:ascii="黑体" w:hAnsi="黑体" w:eastAsia="黑体" w:cs="黑体"/>
                <w:b w:val="0"/>
                <w:bCs/>
                <w:i w:val="0"/>
                <w:color w:val="000000"/>
                <w:kern w:val="0"/>
                <w:sz w:val="28"/>
                <w:szCs w:val="28"/>
                <w:u w:val="none"/>
                <w:lang w:val="en-US" w:eastAsia="zh-CN" w:bidi="ar"/>
              </w:rPr>
              <w:t>易见于家政行业</w:t>
            </w:r>
          </w:p>
        </w:tc>
      </w:tr>
      <w:tr w14:paraId="1F13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noWrap w:val="0"/>
            <w:vAlign w:val="center"/>
          </w:tcPr>
          <w:p w14:paraId="31E56B3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26</w:t>
            </w:r>
          </w:p>
        </w:tc>
        <w:tc>
          <w:tcPr>
            <w:tcW w:w="1672" w:type="pct"/>
            <w:noWrap w:val="0"/>
            <w:vAlign w:val="center"/>
          </w:tcPr>
          <w:p w14:paraId="55F540CB">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甲方（消费者）知悉并理解，丙方基于本合同为甲方首次提供家政服务人员信息并促成合作交易（以甲方签约为准）即视为丙方完成居间服务义务，一旦丙方完成居间服务义务，甲方应按本合同约定向丙方支付首次匹配服务费用，任何情况下丙方对甲方已支付的首次匹配服务费用无退还义务</w:t>
            </w:r>
          </w:p>
        </w:tc>
        <w:tc>
          <w:tcPr>
            <w:tcW w:w="2995" w:type="pct"/>
            <w:noWrap w:val="0"/>
            <w:vAlign w:val="center"/>
          </w:tcPr>
          <w:p w14:paraId="38EBAB7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此条款内容设定丙方为甲方首次提供家政服务人员信息并促成合作交易即视为丙方完成居间服务义务，且任何情况下首次匹配服务费用均不退还，免除或者减轻经营者自身责任、加重消费者责任</w:t>
            </w:r>
          </w:p>
        </w:tc>
      </w:tr>
      <w:tr w14:paraId="70AE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332" w:type="pct"/>
            <w:noWrap w:val="0"/>
            <w:vAlign w:val="center"/>
          </w:tcPr>
          <w:p w14:paraId="1EBE8651">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八</w:t>
            </w:r>
          </w:p>
        </w:tc>
        <w:tc>
          <w:tcPr>
            <w:tcW w:w="4667" w:type="pct"/>
            <w:gridSpan w:val="2"/>
            <w:noWrap w:val="0"/>
            <w:vAlign w:val="center"/>
          </w:tcPr>
          <w:p w14:paraId="5D53A232">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易见于网购行业</w:t>
            </w:r>
          </w:p>
        </w:tc>
      </w:tr>
      <w:tr w14:paraId="29CC6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jc w:val="center"/>
        </w:trPr>
        <w:tc>
          <w:tcPr>
            <w:tcW w:w="332" w:type="pct"/>
            <w:noWrap w:val="0"/>
            <w:vAlign w:val="center"/>
          </w:tcPr>
          <w:p w14:paraId="7F29DBB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27</w:t>
            </w:r>
          </w:p>
        </w:tc>
        <w:tc>
          <w:tcPr>
            <w:tcW w:w="1672" w:type="pct"/>
            <w:noWrap w:val="0"/>
            <w:vAlign w:val="center"/>
          </w:tcPr>
          <w:p w14:paraId="2796DD60">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商品拆封后不支持“七天无理由退货”</w:t>
            </w:r>
          </w:p>
        </w:tc>
        <w:tc>
          <w:tcPr>
            <w:tcW w:w="2995" w:type="pct"/>
            <w:noWrap w:val="0"/>
            <w:vAlign w:val="center"/>
          </w:tcPr>
          <w:p w14:paraId="13A81F0D">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消费者因检查商品的必要对商品进行拆封查验且不影响商品完好，电子商务经营者不得以商品已拆封为由主张不适用七天无理由退货制度。此条款内容设定只要商品拆封后就不支持“七天无理由退货”，免除或者减轻经营者对其所提供的商品或者服务依法应当承担的责任、排除或者限制消费者依法变更或者解除合同的权利</w:t>
            </w:r>
          </w:p>
        </w:tc>
      </w:tr>
      <w:tr w14:paraId="4A78B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6" w:hRule="atLeast"/>
          <w:jc w:val="center"/>
        </w:trPr>
        <w:tc>
          <w:tcPr>
            <w:tcW w:w="332" w:type="pct"/>
            <w:noWrap w:val="0"/>
            <w:vAlign w:val="center"/>
          </w:tcPr>
          <w:p w14:paraId="1109896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28</w:t>
            </w:r>
          </w:p>
        </w:tc>
        <w:tc>
          <w:tcPr>
            <w:tcW w:w="1672" w:type="pct"/>
            <w:noWrap w:val="0"/>
            <w:vAlign w:val="center"/>
          </w:tcPr>
          <w:p w14:paraId="42D9836F">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收货人签收商品即视为认可商品质量符合约定</w:t>
            </w:r>
          </w:p>
        </w:tc>
        <w:tc>
          <w:tcPr>
            <w:tcW w:w="2995" w:type="pct"/>
            <w:noWrap w:val="0"/>
            <w:vAlign w:val="center"/>
          </w:tcPr>
          <w:p w14:paraId="42543056">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在日常生活中，很多情况下消费者无法当面签收快递，快递员往往依消费者要求将商品放在快递柜、代收点或家门口，此时物流信息虽然显示“已签收”，但消费者尚未查看商品的实际情况。此条款内容“签收即视为认可商品质量”，免除或者减轻经营者对其所提供的商品质量应承担的责任</w:t>
            </w:r>
          </w:p>
        </w:tc>
      </w:tr>
      <w:tr w14:paraId="76AD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332" w:type="pct"/>
            <w:noWrap w:val="0"/>
            <w:vAlign w:val="center"/>
          </w:tcPr>
          <w:p w14:paraId="01A4A06E">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kern w:val="2"/>
                <w:sz w:val="28"/>
                <w:szCs w:val="28"/>
                <w:u w:val="none"/>
                <w:lang w:val="en-US" w:eastAsia="zh-CN" w:bidi="ar-SA"/>
              </w:rPr>
            </w:pPr>
            <w:r>
              <w:rPr>
                <w:rFonts w:hint="default" w:ascii="Times New Roman" w:hAnsi="Times New Roman" w:eastAsia="仿宋_GB2312" w:cs="Times New Roman"/>
                <w:i w:val="0"/>
                <w:color w:val="000000"/>
                <w:sz w:val="28"/>
                <w:szCs w:val="28"/>
                <w:u w:val="none"/>
                <w:lang w:val="en-US" w:eastAsia="zh-CN"/>
              </w:rPr>
              <w:t>29</w:t>
            </w:r>
          </w:p>
        </w:tc>
        <w:tc>
          <w:tcPr>
            <w:tcW w:w="1672" w:type="pct"/>
            <w:noWrap w:val="0"/>
            <w:vAlign w:val="center"/>
          </w:tcPr>
          <w:p w14:paraId="278C79A4">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本公司可通过在自营网站修改并公示规则的方式，随时变更、中断或终止部分或全部服务内容。消费者在接到通知后，如继续使用本公司提供服务，则视为接受条款变更</w:t>
            </w:r>
          </w:p>
        </w:tc>
        <w:tc>
          <w:tcPr>
            <w:tcW w:w="2995" w:type="pct"/>
            <w:noWrap w:val="0"/>
            <w:vAlign w:val="center"/>
          </w:tcPr>
          <w:p w14:paraId="7A2EC6B7">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通过该类格式条款，经营者利用其优势地位单方面赋予自身随时变更或终止合同的权利，部分履行或者不履行合同中约定的义务范围、内容，免除或者减轻依法应当承担的违约责任，排除或者限制消费者依法请求支付违约金或者损害赔偿金的权利</w:t>
            </w:r>
          </w:p>
        </w:tc>
      </w:tr>
      <w:tr w14:paraId="2EC5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32" w:type="pct"/>
            <w:noWrap w:val="0"/>
            <w:vAlign w:val="center"/>
          </w:tcPr>
          <w:p w14:paraId="5E750033">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kern w:val="2"/>
                <w:sz w:val="28"/>
                <w:szCs w:val="28"/>
                <w:u w:val="none"/>
                <w:lang w:val="en-US" w:eastAsia="zh-CN" w:bidi="ar-SA"/>
              </w:rPr>
            </w:pPr>
            <w:r>
              <w:rPr>
                <w:rFonts w:hint="default" w:ascii="Times New Roman" w:hAnsi="Times New Roman" w:eastAsia="仿宋_GB2312" w:cs="Times New Roman"/>
                <w:i w:val="0"/>
                <w:color w:val="000000"/>
                <w:sz w:val="28"/>
                <w:szCs w:val="28"/>
                <w:u w:val="none"/>
                <w:lang w:val="en-US" w:eastAsia="zh-CN"/>
              </w:rPr>
              <w:t>30</w:t>
            </w:r>
          </w:p>
        </w:tc>
        <w:tc>
          <w:tcPr>
            <w:tcW w:w="1672" w:type="pct"/>
            <w:noWrap w:val="0"/>
            <w:vAlign w:val="center"/>
          </w:tcPr>
          <w:p w14:paraId="664A9235">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当事人在自建网站的《阅读服务条款》《用户守则》页面有“本公司对服务的及时性、安全性、准确性都不作担保”“本网站对用户由于使用或不能使用本网站信息所引起的一切损害不承担任何法律责任”等文字信息</w:t>
            </w:r>
          </w:p>
        </w:tc>
        <w:tc>
          <w:tcPr>
            <w:tcW w:w="2995" w:type="pct"/>
            <w:noWrap w:val="0"/>
            <w:vAlign w:val="center"/>
          </w:tcPr>
          <w:p w14:paraId="771220C3">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此条款内容免除或者减轻经营者因故意或者重大过失造成消费者财产损失依法应当承担的责任</w:t>
            </w:r>
          </w:p>
        </w:tc>
      </w:tr>
      <w:tr w14:paraId="761E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32" w:type="pct"/>
            <w:noWrap w:val="0"/>
            <w:vAlign w:val="center"/>
          </w:tcPr>
          <w:p w14:paraId="75BD2AA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val="0"/>
                <w:bCs/>
                <w:i w:val="0"/>
                <w:color w:val="000000"/>
                <w:sz w:val="28"/>
                <w:szCs w:val="28"/>
                <w:u w:val="none"/>
                <w:lang w:val="en-US" w:eastAsia="zh-CN"/>
              </w:rPr>
            </w:pPr>
            <w:r>
              <w:rPr>
                <w:rFonts w:hint="default" w:ascii="Times New Roman" w:hAnsi="Times New Roman" w:eastAsia="黑体" w:cs="Times New Roman"/>
                <w:b w:val="0"/>
                <w:bCs/>
                <w:i w:val="0"/>
                <w:color w:val="000000"/>
                <w:kern w:val="0"/>
                <w:sz w:val="28"/>
                <w:szCs w:val="28"/>
                <w:u w:val="none"/>
                <w:lang w:val="en-US" w:eastAsia="zh-CN" w:bidi="ar"/>
              </w:rPr>
              <w:t>九</w:t>
            </w:r>
          </w:p>
        </w:tc>
        <w:tc>
          <w:tcPr>
            <w:tcW w:w="4667" w:type="pct"/>
            <w:gridSpan w:val="2"/>
            <w:noWrap w:val="0"/>
            <w:vAlign w:val="center"/>
          </w:tcPr>
          <w:p w14:paraId="2BE129D2">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易见于殡葬行业</w:t>
            </w:r>
          </w:p>
        </w:tc>
      </w:tr>
      <w:tr w14:paraId="2776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332" w:type="pct"/>
            <w:noWrap w:val="0"/>
            <w:vAlign w:val="center"/>
          </w:tcPr>
          <w:p w14:paraId="336F24C0">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31</w:t>
            </w:r>
          </w:p>
        </w:tc>
        <w:tc>
          <w:tcPr>
            <w:tcW w:w="1672" w:type="pct"/>
            <w:noWrap w:val="0"/>
            <w:vAlign w:val="center"/>
          </w:tcPr>
          <w:p w14:paraId="36F02925">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殡葬服务套餐一经选定，不得更换，已交费用不予退还</w:t>
            </w:r>
          </w:p>
        </w:tc>
        <w:tc>
          <w:tcPr>
            <w:tcW w:w="2995" w:type="pct"/>
            <w:noWrap w:val="0"/>
            <w:vAlign w:val="center"/>
          </w:tcPr>
          <w:p w14:paraId="6A390FE1">
            <w:pPr>
              <w:keepNext w:val="0"/>
              <w:keepLines w:val="0"/>
              <w:pageBreakBefore w:val="0"/>
              <w:widowControl/>
              <w:suppressLineNumbers w:val="0"/>
              <w:tabs>
                <w:tab w:val="left" w:pos="1413"/>
              </w:tabs>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家属在特殊情况下可能有更换套餐的合理需求，此条款内容此条款剥夺了家属更换套餐和退费的权利，排除或者限制了消费者依法变更或者解除合同的权利</w:t>
            </w:r>
          </w:p>
        </w:tc>
      </w:tr>
      <w:tr w14:paraId="2936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3" w:hRule="atLeast"/>
          <w:jc w:val="center"/>
        </w:trPr>
        <w:tc>
          <w:tcPr>
            <w:tcW w:w="332" w:type="pct"/>
            <w:noWrap w:val="0"/>
            <w:vAlign w:val="center"/>
          </w:tcPr>
          <w:p w14:paraId="3B0206F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32</w:t>
            </w:r>
          </w:p>
        </w:tc>
        <w:tc>
          <w:tcPr>
            <w:tcW w:w="1672" w:type="pct"/>
            <w:noWrap w:val="0"/>
            <w:vAlign w:val="center"/>
          </w:tcPr>
          <w:p w14:paraId="521CB855">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因殡葬服务公司原因导致仪式延误的，仅退还部分服务费用，不承担其他责任</w:t>
            </w:r>
          </w:p>
        </w:tc>
        <w:tc>
          <w:tcPr>
            <w:tcW w:w="2995" w:type="pct"/>
            <w:noWrap w:val="0"/>
            <w:vAlign w:val="center"/>
          </w:tcPr>
          <w:p w14:paraId="3509E15E">
            <w:pPr>
              <w:keepNext w:val="0"/>
              <w:keepLines w:val="0"/>
              <w:pageBreakBefore w:val="0"/>
              <w:widowControl/>
              <w:suppressLineNumbers w:val="0"/>
              <w:tabs>
                <w:tab w:val="left" w:pos="1794"/>
              </w:tabs>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仪式延误可能会给家属带来精神伤害和其他不便，仅退还部分服务费用免除了服务公司应承担的其他合理责任。此条款内容免除或者减轻经营者依法应当承担的违约责任、排除或者限制消费者依法请求支付违约金或者损害赔偿金的权利</w:t>
            </w:r>
          </w:p>
        </w:tc>
      </w:tr>
      <w:tr w14:paraId="331D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332" w:type="pct"/>
            <w:noWrap w:val="0"/>
            <w:vAlign w:val="center"/>
          </w:tcPr>
          <w:p w14:paraId="62BE8BEC">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黑体" w:cs="Times New Roman"/>
                <w:b w:val="0"/>
                <w:bCs/>
                <w:i w:val="0"/>
                <w:color w:val="000000"/>
                <w:sz w:val="28"/>
                <w:szCs w:val="28"/>
                <w:u w:val="none"/>
                <w:lang w:val="en-US" w:eastAsia="zh-CN"/>
              </w:rPr>
            </w:pPr>
            <w:r>
              <w:rPr>
                <w:rFonts w:hint="default" w:ascii="Times New Roman" w:hAnsi="Times New Roman" w:eastAsia="黑体" w:cs="Times New Roman"/>
                <w:b w:val="0"/>
                <w:bCs/>
                <w:i w:val="0"/>
                <w:color w:val="000000"/>
                <w:kern w:val="0"/>
                <w:sz w:val="28"/>
                <w:szCs w:val="28"/>
                <w:u w:val="none"/>
                <w:lang w:val="en-US" w:eastAsia="zh-CN" w:bidi="ar"/>
              </w:rPr>
              <w:t>十</w:t>
            </w:r>
          </w:p>
        </w:tc>
        <w:tc>
          <w:tcPr>
            <w:tcW w:w="4667" w:type="pct"/>
            <w:gridSpan w:val="2"/>
            <w:noWrap w:val="0"/>
            <w:vAlign w:val="center"/>
          </w:tcPr>
          <w:p w14:paraId="050021F1">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易见于汽车销售、维修等行业</w:t>
            </w:r>
          </w:p>
        </w:tc>
      </w:tr>
      <w:tr w14:paraId="09E5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atLeast"/>
          <w:jc w:val="center"/>
        </w:trPr>
        <w:tc>
          <w:tcPr>
            <w:tcW w:w="332" w:type="pct"/>
            <w:noWrap w:val="0"/>
            <w:vAlign w:val="center"/>
          </w:tcPr>
          <w:p w14:paraId="034466A7">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33</w:t>
            </w:r>
          </w:p>
        </w:tc>
        <w:tc>
          <w:tcPr>
            <w:tcW w:w="1672" w:type="pct"/>
            <w:noWrap w:val="0"/>
            <w:vAlign w:val="center"/>
          </w:tcPr>
          <w:p w14:paraId="05882515">
            <w:pPr>
              <w:keepNext w:val="0"/>
              <w:keepLines w:val="0"/>
              <w:pageBreakBefore w:val="0"/>
              <w:widowControl/>
              <w:suppressLineNumbers w:val="0"/>
              <w:tabs>
                <w:tab w:val="left" w:pos="1527"/>
              </w:tabs>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购车合同中约定，车辆售出后，无论出现任何质量问题，经销商仅负责维修，不承担退换车责任</w:t>
            </w:r>
          </w:p>
        </w:tc>
        <w:tc>
          <w:tcPr>
            <w:tcW w:w="2995" w:type="pct"/>
            <w:noWrap w:val="0"/>
            <w:vAlign w:val="center"/>
          </w:tcPr>
          <w:p w14:paraId="4F29C68D">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经销商在车辆售出后出现质量问题时并非仅承担维修责任，消费者在符合法定条件下可要求退换车。此条款内容免除或者减轻经营者对其所提供的商品或者服务依法应当承担责任、排除或者限制消费者依法变更或者解除合同的权利</w:t>
            </w:r>
          </w:p>
        </w:tc>
      </w:tr>
      <w:tr w14:paraId="3464F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jc w:val="center"/>
        </w:trPr>
        <w:tc>
          <w:tcPr>
            <w:tcW w:w="332" w:type="pct"/>
            <w:noWrap w:val="0"/>
            <w:vAlign w:val="center"/>
          </w:tcPr>
          <w:p w14:paraId="4AF4AB3B">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34</w:t>
            </w:r>
          </w:p>
        </w:tc>
        <w:tc>
          <w:tcPr>
            <w:tcW w:w="1672" w:type="pct"/>
            <w:noWrap w:val="0"/>
            <w:vAlign w:val="center"/>
          </w:tcPr>
          <w:p w14:paraId="7AD6B6D1">
            <w:pPr>
              <w:keepNext w:val="0"/>
              <w:keepLines w:val="0"/>
              <w:pageBreakBefore w:val="0"/>
              <w:widowControl/>
              <w:suppressLineNumbers w:val="0"/>
              <w:tabs>
                <w:tab w:val="left" w:pos="668"/>
              </w:tabs>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维修保养时，必须使用本公司指定的配件，否则车辆出现任何问题本公司概不负责</w:t>
            </w:r>
          </w:p>
        </w:tc>
        <w:tc>
          <w:tcPr>
            <w:tcW w:w="2995" w:type="pct"/>
            <w:noWrap w:val="0"/>
            <w:vAlign w:val="center"/>
          </w:tcPr>
          <w:p w14:paraId="672FE6D2">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机动车维修经营者应当将原厂配件、同质配件和修复配件分别标识，明码标价，供用户选择。此条款内容免除或者减轻经营者对其所提供的商品或者服务依法应当承担责任、排除或者限制消费者依法自主选择商品或者服务的权利、排除或者限制消费者依法请求支付违约金或者损害赔偿金的权利</w:t>
            </w:r>
          </w:p>
        </w:tc>
      </w:tr>
      <w:tr w14:paraId="4BA8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noWrap w:val="0"/>
            <w:vAlign w:val="center"/>
          </w:tcPr>
          <w:p w14:paraId="4907D02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35</w:t>
            </w:r>
          </w:p>
        </w:tc>
        <w:tc>
          <w:tcPr>
            <w:tcW w:w="1672" w:type="pct"/>
            <w:noWrap w:val="0"/>
            <w:vAlign w:val="center"/>
          </w:tcPr>
          <w:p w14:paraId="19E798B0">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如乙方（消费者）购买的车辆因汽车制造商原因发生颜色、配置、价格、停产或减产等变化造成无法按期交付车辆的，甲方也作相应变化，无需承担任何责任</w:t>
            </w:r>
          </w:p>
        </w:tc>
        <w:tc>
          <w:tcPr>
            <w:tcW w:w="2995" w:type="pct"/>
            <w:noWrap w:val="0"/>
            <w:vAlign w:val="center"/>
          </w:tcPr>
          <w:p w14:paraId="696E0BF5">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此条款内容免除或者减轻经营者依法应当承担的违约责任、排除或者限制消费者依法请求支付违约金或者损害赔偿金的权利</w:t>
            </w:r>
          </w:p>
        </w:tc>
      </w:tr>
      <w:tr w14:paraId="7305C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4" w:hRule="atLeast"/>
          <w:jc w:val="center"/>
        </w:trPr>
        <w:tc>
          <w:tcPr>
            <w:tcW w:w="332" w:type="pct"/>
            <w:noWrap w:val="0"/>
            <w:vAlign w:val="center"/>
          </w:tcPr>
          <w:p w14:paraId="38E3E729">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36</w:t>
            </w:r>
          </w:p>
        </w:tc>
        <w:tc>
          <w:tcPr>
            <w:tcW w:w="1672" w:type="pct"/>
            <w:noWrap w:val="0"/>
            <w:vAlign w:val="center"/>
          </w:tcPr>
          <w:p w14:paraId="5D37CCB8">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因汽车生产厂商产品配置和规格调整，无论生产厂商是否调整价格，甲方均有权按照更新的产品配置和规格及对应价格向乙方交付车辆。乙方同意无条件接受此等改变，不要求甲方承担责任，并不得以此为由要求终止本合同</w:t>
            </w:r>
          </w:p>
        </w:tc>
        <w:tc>
          <w:tcPr>
            <w:tcW w:w="2995" w:type="pct"/>
            <w:noWrap w:val="0"/>
            <w:vAlign w:val="center"/>
          </w:tcPr>
          <w:p w14:paraId="4442CB71">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此条款内容免除或者减轻经营者依法应当承担的违约责任、排除或者限制消费者依法变更或者解除合同的权利，违背了公平交易的基本原则</w:t>
            </w:r>
          </w:p>
        </w:tc>
      </w:tr>
      <w:tr w14:paraId="1AB4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332" w:type="pct"/>
            <w:noWrap w:val="0"/>
            <w:vAlign w:val="center"/>
          </w:tcPr>
          <w:p w14:paraId="109FBAF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color w:val="000000"/>
                <w:sz w:val="28"/>
                <w:szCs w:val="28"/>
                <w:u w:val="none"/>
                <w:lang w:val="en-US" w:eastAsia="zh-CN"/>
              </w:rPr>
            </w:pPr>
            <w:r>
              <w:rPr>
                <w:rFonts w:hint="default" w:ascii="Times New Roman" w:hAnsi="Times New Roman" w:eastAsia="黑体" w:cs="Times New Roman"/>
                <w:b w:val="0"/>
                <w:bCs/>
                <w:i w:val="0"/>
                <w:color w:val="000000"/>
                <w:kern w:val="0"/>
                <w:sz w:val="28"/>
                <w:szCs w:val="28"/>
                <w:u w:val="none"/>
                <w:lang w:val="en-US" w:eastAsia="zh-CN" w:bidi="ar"/>
              </w:rPr>
              <w:t>十一</w:t>
            </w:r>
          </w:p>
        </w:tc>
        <w:tc>
          <w:tcPr>
            <w:tcW w:w="4667" w:type="pct"/>
            <w:gridSpan w:val="2"/>
            <w:noWrap w:val="0"/>
            <w:vAlign w:val="center"/>
          </w:tcPr>
          <w:p w14:paraId="7F4CDAE4">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default" w:ascii="Times New Roman" w:hAnsi="Times New Roman" w:eastAsia="黑体" w:cs="Times New Roman"/>
                <w:i w:val="0"/>
                <w:color w:val="000000"/>
                <w:kern w:val="0"/>
                <w:sz w:val="28"/>
                <w:szCs w:val="28"/>
                <w:u w:val="none"/>
                <w:lang w:val="en-US" w:eastAsia="zh-CN" w:bidi="ar"/>
              </w:rPr>
            </w:pPr>
            <w:r>
              <w:rPr>
                <w:rFonts w:hint="default" w:ascii="Times New Roman" w:hAnsi="Times New Roman" w:eastAsia="黑体" w:cs="Times New Roman"/>
                <w:b/>
                <w:i w:val="0"/>
                <w:color w:val="000000"/>
                <w:kern w:val="0"/>
                <w:sz w:val="28"/>
                <w:szCs w:val="28"/>
                <w:u w:val="none"/>
                <w:lang w:val="en-US" w:eastAsia="zh-CN" w:bidi="ar"/>
              </w:rPr>
              <w:t>易见于住宿服务行业</w:t>
            </w:r>
          </w:p>
        </w:tc>
      </w:tr>
      <w:tr w14:paraId="5B655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noWrap w:val="0"/>
            <w:vAlign w:val="center"/>
          </w:tcPr>
          <w:p w14:paraId="34081666">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37</w:t>
            </w:r>
          </w:p>
        </w:tc>
        <w:tc>
          <w:tcPr>
            <w:tcW w:w="1672" w:type="pct"/>
            <w:noWrap w:val="0"/>
            <w:vAlign w:val="center"/>
          </w:tcPr>
          <w:p w14:paraId="4EF1FDDB">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预订成功后，若客人取消预订，无论取消时间距离入住日期远近，酒店都将收取全部房费的[X]%作为手续费</w:t>
            </w:r>
          </w:p>
        </w:tc>
        <w:tc>
          <w:tcPr>
            <w:tcW w:w="2995" w:type="pct"/>
            <w:noWrap w:val="0"/>
            <w:vAlign w:val="center"/>
          </w:tcPr>
          <w:p w14:paraId="7A0E398C">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平台和酒店应该制定“阶梯退款”规则，距离入住时间越近，消费者要承担的违约责任就越大；在距离入住日期较远时，酒店可能有足够的时间将房间重新出售，此时收取高额手续费是不合理的。此条款内容要求消费者承担的违约金或者损害赔偿金超过法定数额或者合理数额、排除或者限制消费者依法变更或者解除合同的权利</w:t>
            </w:r>
          </w:p>
        </w:tc>
      </w:tr>
      <w:tr w14:paraId="5DC1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jc w:val="center"/>
        </w:trPr>
        <w:tc>
          <w:tcPr>
            <w:tcW w:w="332" w:type="pct"/>
            <w:noWrap w:val="0"/>
            <w:vAlign w:val="center"/>
          </w:tcPr>
          <w:p w14:paraId="56E41F34">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38</w:t>
            </w:r>
          </w:p>
        </w:tc>
        <w:tc>
          <w:tcPr>
            <w:tcW w:w="1672" w:type="pct"/>
            <w:noWrap w:val="0"/>
            <w:vAlign w:val="center"/>
          </w:tcPr>
          <w:p w14:paraId="21C78E20">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因客人自身原因导致的延误退房，酒店将按照每小时[X]元的标准收取额外费用，且该费用不受最高限额限制</w:t>
            </w:r>
          </w:p>
        </w:tc>
        <w:tc>
          <w:tcPr>
            <w:tcW w:w="2995" w:type="pct"/>
            <w:noWrap w:val="0"/>
            <w:vAlign w:val="center"/>
          </w:tcPr>
          <w:p w14:paraId="49CE6CEA">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消费者延误退房会给酒店带来一定不便，但无限额的额外收费缺乏合理性。酒店应根据实际情况，如房间的预订情况、延误时间的长短等，合理确定额外收费的标准和上限。此条款内容加重了消费者责任</w:t>
            </w:r>
          </w:p>
        </w:tc>
      </w:tr>
      <w:tr w14:paraId="399C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332" w:type="pct"/>
            <w:noWrap w:val="0"/>
            <w:vAlign w:val="center"/>
          </w:tcPr>
          <w:p w14:paraId="2541C66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i w:val="0"/>
                <w:color w:val="000000"/>
                <w:sz w:val="28"/>
                <w:szCs w:val="28"/>
                <w:u w:val="none"/>
                <w:lang w:val="en-US" w:eastAsia="zh-CN"/>
              </w:rPr>
            </w:pPr>
            <w:r>
              <w:rPr>
                <w:rFonts w:hint="default" w:ascii="Times New Roman" w:hAnsi="Times New Roman" w:eastAsia="黑体" w:cs="Times New Roman"/>
                <w:b w:val="0"/>
                <w:bCs/>
                <w:i w:val="0"/>
                <w:color w:val="000000"/>
                <w:kern w:val="0"/>
                <w:sz w:val="28"/>
                <w:szCs w:val="28"/>
                <w:u w:val="none"/>
                <w:lang w:val="en-US" w:eastAsia="zh-CN" w:bidi="ar"/>
              </w:rPr>
              <w:t>十二</w:t>
            </w:r>
          </w:p>
        </w:tc>
        <w:tc>
          <w:tcPr>
            <w:tcW w:w="4667" w:type="pct"/>
            <w:gridSpan w:val="2"/>
            <w:noWrap w:val="0"/>
            <w:vAlign w:val="center"/>
          </w:tcPr>
          <w:p w14:paraId="506358DB">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center"/>
              <w:rPr>
                <w:rFonts w:hint="default" w:ascii="Times New Roman" w:hAnsi="Times New Roman" w:eastAsia="黑体" w:cs="Times New Roman"/>
                <w:i w:val="0"/>
                <w:color w:val="000000"/>
                <w:kern w:val="0"/>
                <w:sz w:val="28"/>
                <w:szCs w:val="28"/>
                <w:u w:val="none"/>
                <w:lang w:val="en-US" w:eastAsia="zh-CN" w:bidi="ar"/>
              </w:rPr>
            </w:pPr>
            <w:r>
              <w:rPr>
                <w:rFonts w:hint="default" w:ascii="Times New Roman" w:hAnsi="Times New Roman" w:eastAsia="黑体" w:cs="Times New Roman"/>
                <w:b/>
                <w:i w:val="0"/>
                <w:color w:val="000000"/>
                <w:kern w:val="0"/>
                <w:sz w:val="28"/>
                <w:szCs w:val="28"/>
                <w:u w:val="none"/>
                <w:lang w:val="en-US" w:eastAsia="zh-CN" w:bidi="ar"/>
              </w:rPr>
              <w:t>易见于文旅等行业</w:t>
            </w:r>
          </w:p>
        </w:tc>
      </w:tr>
      <w:tr w14:paraId="4BAB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atLeast"/>
          <w:jc w:val="center"/>
        </w:trPr>
        <w:tc>
          <w:tcPr>
            <w:tcW w:w="332" w:type="pct"/>
            <w:noWrap w:val="0"/>
            <w:vAlign w:val="center"/>
          </w:tcPr>
          <w:p w14:paraId="27E7B32A">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39</w:t>
            </w:r>
          </w:p>
        </w:tc>
        <w:tc>
          <w:tcPr>
            <w:tcW w:w="1672" w:type="pct"/>
            <w:noWrap w:val="0"/>
            <w:vAlign w:val="center"/>
          </w:tcPr>
          <w:p w14:paraId="41954E3D">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以上内容如有调整不另行通知，以出团通知书为准，在景点不变的情况下，有可能根据实际情况对顺序作出适当调整</w:t>
            </w:r>
          </w:p>
        </w:tc>
        <w:tc>
          <w:tcPr>
            <w:tcW w:w="2995" w:type="pct"/>
            <w:noWrap w:val="0"/>
            <w:vAlign w:val="center"/>
          </w:tcPr>
          <w:p w14:paraId="1A55D015">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此条款经营者在未征得消费者同意的情况下，赋予经营者单方面调整行程、变更合同的权利，免除或者减轻经营者依法应当承担的违约责任、排除或者限制消费者依法自主选择商品或者服务的权利</w:t>
            </w:r>
          </w:p>
        </w:tc>
      </w:tr>
      <w:tr w14:paraId="5937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32" w:type="pct"/>
            <w:noWrap w:val="0"/>
            <w:vAlign w:val="center"/>
          </w:tcPr>
          <w:p w14:paraId="0C373F05">
            <w:pPr>
              <w:keepNext w:val="0"/>
              <w:keepLines w:val="0"/>
              <w:pageBreakBefore w:val="0"/>
              <w:widowControl/>
              <w:suppressLineNumbers w:val="0"/>
              <w:kinsoku/>
              <w:wordWrap/>
              <w:overflowPunct/>
              <w:topLinePunct w:val="0"/>
              <w:autoSpaceDE/>
              <w:autoSpaceDN/>
              <w:bidi w:val="0"/>
              <w:adjustRightInd/>
              <w:snapToGrid/>
              <w:spacing w:line="46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40</w:t>
            </w:r>
          </w:p>
        </w:tc>
        <w:tc>
          <w:tcPr>
            <w:tcW w:w="1672" w:type="pct"/>
            <w:noWrap w:val="0"/>
            <w:vAlign w:val="center"/>
          </w:tcPr>
          <w:p w14:paraId="65364D0C">
            <w:pPr>
              <w:keepNext w:val="0"/>
              <w:keepLines w:val="0"/>
              <w:pageBreakBefore w:val="0"/>
              <w:widowControl/>
              <w:suppressLineNumbers w:val="0"/>
              <w:tabs>
                <w:tab w:val="left" w:pos="1650"/>
              </w:tabs>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影票一经售出，恕不退换</w:t>
            </w:r>
          </w:p>
        </w:tc>
        <w:tc>
          <w:tcPr>
            <w:tcW w:w="2995" w:type="pct"/>
            <w:noWrap w:val="0"/>
            <w:vAlign w:val="center"/>
          </w:tcPr>
          <w:p w14:paraId="04602F0A">
            <w:pPr>
              <w:keepNext w:val="0"/>
              <w:keepLines w:val="0"/>
              <w:pageBreakBefore w:val="0"/>
              <w:widowControl/>
              <w:suppressLineNumbers w:val="0"/>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消费者难免会因各种突发状况无法按时观影，电影票虽属时效性商品，但提前退票并不一定影响二次销售，一刀切禁止退改，缺乏法律依据。此条款内容排除或者限制消费者依法变更或者解除合同的权利</w:t>
            </w:r>
          </w:p>
        </w:tc>
      </w:tr>
      <w:tr w14:paraId="0596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332" w:type="pct"/>
            <w:noWrap w:val="0"/>
            <w:vAlign w:val="center"/>
          </w:tcPr>
          <w:p w14:paraId="498C9FF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黑体" w:cs="Times New Roman"/>
                <w:b w:val="0"/>
                <w:bCs/>
                <w:i w:val="0"/>
                <w:color w:val="000000"/>
                <w:sz w:val="28"/>
                <w:szCs w:val="28"/>
                <w:u w:val="none"/>
                <w:lang w:val="en-US" w:eastAsia="zh-CN"/>
              </w:rPr>
            </w:pPr>
            <w:r>
              <w:rPr>
                <w:rFonts w:hint="default" w:ascii="Times New Roman" w:hAnsi="Times New Roman" w:eastAsia="黑体" w:cs="Times New Roman"/>
                <w:b w:val="0"/>
                <w:bCs/>
                <w:i w:val="0"/>
                <w:color w:val="000000"/>
                <w:kern w:val="0"/>
                <w:sz w:val="28"/>
                <w:szCs w:val="28"/>
                <w:u w:val="none"/>
                <w:lang w:val="en-US" w:eastAsia="zh-CN" w:bidi="ar"/>
              </w:rPr>
              <w:t>十三</w:t>
            </w:r>
          </w:p>
        </w:tc>
        <w:tc>
          <w:tcPr>
            <w:tcW w:w="4667" w:type="pct"/>
            <w:gridSpan w:val="2"/>
            <w:noWrap w:val="0"/>
            <w:vAlign w:val="center"/>
          </w:tcPr>
          <w:p w14:paraId="2DAAEA4F">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center"/>
              <w:rPr>
                <w:rFonts w:hint="default" w:ascii="Times New Roman" w:hAnsi="Times New Roman" w:eastAsia="黑体" w:cs="Times New Roman"/>
                <w:b w:val="0"/>
                <w:bCs/>
                <w:i w:val="0"/>
                <w:color w:val="000000"/>
                <w:kern w:val="0"/>
                <w:sz w:val="28"/>
                <w:szCs w:val="28"/>
                <w:u w:val="none"/>
                <w:lang w:val="en-US" w:eastAsia="zh-CN" w:bidi="ar"/>
              </w:rPr>
            </w:pPr>
            <w:r>
              <w:rPr>
                <w:rFonts w:hint="default" w:ascii="Times New Roman" w:hAnsi="Times New Roman" w:eastAsia="黑体" w:cs="Times New Roman"/>
                <w:b w:val="0"/>
                <w:bCs/>
                <w:i w:val="0"/>
                <w:color w:val="000000"/>
                <w:kern w:val="0"/>
                <w:sz w:val="28"/>
                <w:szCs w:val="28"/>
                <w:u w:val="none"/>
                <w:lang w:val="en-US" w:eastAsia="zh-CN" w:bidi="ar"/>
              </w:rPr>
              <w:t>易见于宠物行业</w:t>
            </w:r>
          </w:p>
        </w:tc>
      </w:tr>
      <w:tr w14:paraId="3277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1" w:hRule="atLeast"/>
          <w:jc w:val="center"/>
        </w:trPr>
        <w:tc>
          <w:tcPr>
            <w:tcW w:w="332" w:type="pct"/>
            <w:noWrap w:val="0"/>
            <w:vAlign w:val="center"/>
          </w:tcPr>
          <w:p w14:paraId="0C42CF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41</w:t>
            </w:r>
          </w:p>
        </w:tc>
        <w:tc>
          <w:tcPr>
            <w:tcW w:w="1672" w:type="pct"/>
            <w:noWrap w:val="0"/>
            <w:vAlign w:val="center"/>
          </w:tcPr>
          <w:p w14:paraId="7A236F83">
            <w:pPr>
              <w:keepNext w:val="0"/>
              <w:keepLines w:val="0"/>
              <w:pageBreakBefore w:val="0"/>
              <w:widowControl/>
              <w:suppressLineNumbers w:val="0"/>
              <w:tabs>
                <w:tab w:val="left" w:pos="1650"/>
              </w:tabs>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sz w:val="28"/>
                <w:szCs w:val="28"/>
                <w:u w:val="none"/>
              </w:rPr>
              <w:t>因宠物是活体特殊商品，有着双方都无法预知的人为因素或隐藏突发因素，故宠物猫售出24小时后确诊感染猫瘟的，</w:t>
            </w:r>
            <w:r>
              <w:rPr>
                <w:rFonts w:hint="default" w:ascii="Times New Roman" w:hAnsi="Times New Roman" w:eastAsia="仿宋_GB2312" w:cs="Times New Roman"/>
                <w:i w:val="0"/>
                <w:color w:val="000000"/>
                <w:sz w:val="28"/>
                <w:szCs w:val="28"/>
                <w:u w:val="none"/>
                <w:lang w:eastAsia="zh-CN"/>
              </w:rPr>
              <w:t>甲</w:t>
            </w:r>
            <w:r>
              <w:rPr>
                <w:rFonts w:hint="default" w:ascii="Times New Roman" w:hAnsi="Times New Roman" w:eastAsia="仿宋_GB2312" w:cs="Times New Roman"/>
                <w:i w:val="0"/>
                <w:color w:val="000000"/>
                <w:sz w:val="28"/>
                <w:szCs w:val="28"/>
                <w:u w:val="none"/>
              </w:rPr>
              <w:t>方</w:t>
            </w:r>
            <w:r>
              <w:rPr>
                <w:rFonts w:hint="default" w:ascii="Times New Roman" w:hAnsi="Times New Roman" w:eastAsia="仿宋_GB2312" w:cs="Times New Roman"/>
                <w:i w:val="0"/>
                <w:color w:val="000000"/>
                <w:sz w:val="28"/>
                <w:szCs w:val="28"/>
                <w:u w:val="none"/>
                <w:lang w:eastAsia="zh-CN"/>
              </w:rPr>
              <w:t>（经营者）</w:t>
            </w:r>
            <w:r>
              <w:rPr>
                <w:rFonts w:hint="default" w:ascii="Times New Roman" w:hAnsi="Times New Roman" w:eastAsia="仿宋_GB2312" w:cs="Times New Roman"/>
                <w:i w:val="0"/>
                <w:color w:val="000000"/>
                <w:sz w:val="28"/>
                <w:szCs w:val="28"/>
                <w:u w:val="none"/>
              </w:rPr>
              <w:t>不承担任何责任</w:t>
            </w:r>
          </w:p>
        </w:tc>
        <w:tc>
          <w:tcPr>
            <w:tcW w:w="2995" w:type="pct"/>
            <w:vMerge w:val="restart"/>
            <w:noWrap w:val="0"/>
            <w:vAlign w:val="center"/>
          </w:tcPr>
          <w:p w14:paraId="27D02A88">
            <w:pPr>
              <w:keepNext w:val="0"/>
              <w:keepLines w:val="0"/>
              <w:pageBreakBefore w:val="0"/>
              <w:widowControl/>
              <w:suppressLineNumbers w:val="0"/>
              <w:tabs>
                <w:tab w:val="left" w:pos="1399"/>
              </w:tabs>
              <w:kinsoku/>
              <w:wordWrap/>
              <w:overflowPunct/>
              <w:topLinePunct w:val="0"/>
              <w:autoSpaceDE/>
              <w:autoSpaceDN/>
              <w:bidi w:val="0"/>
              <w:adjustRightInd/>
              <w:snapToGrid/>
              <w:spacing w:line="44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kern w:val="0"/>
                <w:sz w:val="28"/>
                <w:szCs w:val="28"/>
                <w:u w:val="none"/>
                <w:lang w:val="en-US" w:eastAsia="zh-CN" w:bidi="ar"/>
              </w:rPr>
              <w:t>此条款内容</w:t>
            </w:r>
            <w:r>
              <w:rPr>
                <w:rFonts w:hint="default" w:ascii="Times New Roman" w:hAnsi="Times New Roman" w:eastAsia="仿宋_GB2312" w:cs="Times New Roman"/>
                <w:i w:val="0"/>
                <w:color w:val="000000"/>
                <w:sz w:val="28"/>
                <w:szCs w:val="28"/>
                <w:u w:val="none"/>
                <w:lang w:eastAsia="zh-CN"/>
              </w:rPr>
              <w:t>约定宠物出售24小时后确诊猫瘟等疾病的，经营者不承担责任，而猫瘟等疾病通常存在2至9天的潜伏期，条款约定的检验期限过短，客观上排除了消费者在合理期限内查验并主张质量瑕疵的权利，经营者作为提供格式条款的一方，不合理地减轻或者免除自身的责任，加重消费者责任、排除或者限制消费者权利</w:t>
            </w:r>
          </w:p>
        </w:tc>
      </w:tr>
      <w:tr w14:paraId="3A317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332" w:type="pct"/>
            <w:noWrap w:val="0"/>
            <w:vAlign w:val="center"/>
          </w:tcPr>
          <w:p w14:paraId="4C61E1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_GB2312" w:cs="Times New Roman"/>
                <w:i w:val="0"/>
                <w:color w:val="000000"/>
                <w:sz w:val="28"/>
                <w:szCs w:val="28"/>
                <w:u w:val="none"/>
                <w:lang w:val="en-US" w:eastAsia="zh-CN"/>
              </w:rPr>
            </w:pPr>
            <w:r>
              <w:rPr>
                <w:rFonts w:hint="default" w:ascii="Times New Roman" w:hAnsi="Times New Roman" w:eastAsia="仿宋_GB2312" w:cs="Times New Roman"/>
                <w:i w:val="0"/>
                <w:color w:val="000000"/>
                <w:sz w:val="28"/>
                <w:szCs w:val="28"/>
                <w:u w:val="none"/>
                <w:lang w:val="en-US" w:eastAsia="zh-CN"/>
              </w:rPr>
              <w:t>42</w:t>
            </w:r>
          </w:p>
        </w:tc>
        <w:tc>
          <w:tcPr>
            <w:tcW w:w="1672" w:type="pct"/>
            <w:noWrap w:val="0"/>
            <w:vAlign w:val="center"/>
          </w:tcPr>
          <w:p w14:paraId="39B020E2">
            <w:pPr>
              <w:keepNext w:val="0"/>
              <w:keepLines w:val="0"/>
              <w:pageBreakBefore w:val="0"/>
              <w:widowControl/>
              <w:suppressLineNumbers w:val="0"/>
              <w:tabs>
                <w:tab w:val="left" w:pos="1650"/>
              </w:tabs>
              <w:kinsoku/>
              <w:wordWrap/>
              <w:overflowPunct/>
              <w:topLinePunct w:val="0"/>
              <w:autoSpaceDE/>
              <w:autoSpaceDN/>
              <w:bidi w:val="0"/>
              <w:adjustRightInd/>
              <w:snapToGrid/>
              <w:spacing w:line="42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r>
              <w:rPr>
                <w:rFonts w:hint="default" w:ascii="Times New Roman" w:hAnsi="Times New Roman" w:eastAsia="仿宋_GB2312" w:cs="Times New Roman"/>
                <w:i w:val="0"/>
                <w:color w:val="000000"/>
                <w:sz w:val="28"/>
                <w:szCs w:val="28"/>
                <w:u w:val="none"/>
                <w:lang w:val="en-US" w:eastAsia="zh-CN"/>
              </w:rPr>
              <w:t>乙方（消费者）可在购犬</w:t>
            </w:r>
            <w:r>
              <w:rPr>
                <w:rFonts w:hint="default" w:ascii="Times New Roman" w:hAnsi="Times New Roman" w:eastAsia="仿宋_GB2312" w:cs="Times New Roman"/>
                <w:i w:val="0"/>
                <w:color w:val="000000"/>
                <w:sz w:val="28"/>
                <w:szCs w:val="28"/>
                <w:u w:val="none"/>
              </w:rPr>
              <w:t>24</w:t>
            </w:r>
            <w:r>
              <w:rPr>
                <w:rFonts w:hint="default" w:ascii="Times New Roman" w:hAnsi="Times New Roman" w:eastAsia="仿宋_GB2312" w:cs="Times New Roman"/>
                <w:i w:val="0"/>
                <w:color w:val="000000"/>
                <w:sz w:val="28"/>
                <w:szCs w:val="28"/>
                <w:u w:val="none"/>
                <w:lang w:val="en-US" w:eastAsia="zh-CN"/>
              </w:rPr>
              <w:t>小时内做宠物体检，如犬只有健康问题，宠物店可包换，如超过</w:t>
            </w:r>
            <w:r>
              <w:rPr>
                <w:rFonts w:hint="default" w:ascii="Times New Roman" w:hAnsi="Times New Roman" w:eastAsia="仿宋_GB2312" w:cs="Times New Roman"/>
                <w:i w:val="0"/>
                <w:color w:val="000000"/>
                <w:sz w:val="28"/>
                <w:szCs w:val="28"/>
                <w:u w:val="none"/>
              </w:rPr>
              <w:t>24</w:t>
            </w:r>
            <w:r>
              <w:rPr>
                <w:rFonts w:hint="default" w:ascii="Times New Roman" w:hAnsi="Times New Roman" w:eastAsia="仿宋_GB2312" w:cs="Times New Roman"/>
                <w:i w:val="0"/>
                <w:color w:val="000000"/>
                <w:sz w:val="28"/>
                <w:szCs w:val="28"/>
                <w:u w:val="none"/>
                <w:lang w:val="en-US" w:eastAsia="zh-CN"/>
              </w:rPr>
              <w:t>小时，不管任何问题和理由，均不予退换</w:t>
            </w:r>
          </w:p>
        </w:tc>
        <w:tc>
          <w:tcPr>
            <w:tcW w:w="2995" w:type="pct"/>
            <w:vMerge w:val="continue"/>
            <w:noWrap w:val="0"/>
            <w:vAlign w:val="center"/>
          </w:tcPr>
          <w:p w14:paraId="457E3DCF">
            <w:pPr>
              <w:keepNext w:val="0"/>
              <w:keepLines w:val="0"/>
              <w:pageBreakBefore w:val="0"/>
              <w:widowControl/>
              <w:suppressLineNumbers w:val="0"/>
              <w:kinsoku/>
              <w:wordWrap/>
              <w:overflowPunct/>
              <w:topLinePunct w:val="0"/>
              <w:autoSpaceDE/>
              <w:autoSpaceDN/>
              <w:bidi w:val="0"/>
              <w:adjustRightInd/>
              <w:snapToGrid/>
              <w:spacing w:line="400" w:lineRule="exact"/>
              <w:ind w:firstLine="560" w:firstLineChars="200"/>
              <w:jc w:val="both"/>
              <w:textAlignment w:val="center"/>
              <w:rPr>
                <w:rFonts w:hint="default" w:ascii="Times New Roman" w:hAnsi="Times New Roman" w:eastAsia="仿宋_GB2312" w:cs="Times New Roman"/>
                <w:i w:val="0"/>
                <w:color w:val="000000"/>
                <w:kern w:val="0"/>
                <w:sz w:val="28"/>
                <w:szCs w:val="28"/>
                <w:u w:val="none"/>
                <w:lang w:val="en-US" w:eastAsia="zh-CN" w:bidi="ar"/>
              </w:rPr>
            </w:pPr>
          </w:p>
        </w:tc>
      </w:tr>
    </w:tbl>
    <w:p w14:paraId="22FE8EB4">
      <w:pPr>
        <w:spacing w:line="20" w:lineRule="exact"/>
        <w:rPr>
          <w:rFonts w:hint="default" w:ascii="Times New Roman" w:hAnsi="Times New Roman" w:eastAsia="仿宋_GB2312" w:cs="Times New Roman"/>
          <w:sz w:val="32"/>
          <w:szCs w:val="32"/>
        </w:rPr>
      </w:pPr>
    </w:p>
    <w:p w14:paraId="0EF177A0"/>
    <w:sectPr>
      <w:pgSz w:w="16838" w:h="11906" w:orient="landscape"/>
      <w:pgMar w:top="1531" w:right="2098" w:bottom="1531" w:left="1984" w:header="851" w:footer="1417"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67D4D78-D029-461B-B78D-ECDC9ABF3B6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1ED315C-CD8C-4810-91D5-65FD54C313BF}"/>
  </w:font>
  <w:font w:name="仿宋_GB2312">
    <w:altName w:val="仿宋"/>
    <w:panose1 w:val="02010609030101010101"/>
    <w:charset w:val="86"/>
    <w:family w:val="auto"/>
    <w:pitch w:val="default"/>
    <w:sig w:usb0="00000000" w:usb1="00000000" w:usb2="00000000" w:usb3="00000000" w:csb0="00040000" w:csb1="00000000"/>
    <w:embedRegular r:id="rId3" w:fontKey="{33686087-153E-48DE-94B9-287D2364D0E3}"/>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4" w:fontKey="{6F65B706-3109-4A4F-87B2-29BA2BB06F1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F240E"/>
    <w:rsid w:val="4ABF2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rFonts w:ascii="Calibri" w:hAnsi="Calibri"/>
      <w:sz w:val="18"/>
      <w:szCs w:val="18"/>
    </w:rPr>
  </w:style>
  <w:style w:type="paragraph" w:styleId="3">
    <w:name w:val="footer"/>
    <w:basedOn w:val="1"/>
    <w:qFormat/>
    <w:uiPriority w:val="0"/>
    <w:pPr>
      <w:tabs>
        <w:tab w:val="center" w:pos="4153"/>
        <w:tab w:val="right" w:pos="8306"/>
      </w:tabs>
      <w:snapToGrid w:val="0"/>
      <w:jc w:val="left"/>
    </w:pPr>
    <w:rPr>
      <w:rFonts w:ascii="Calibri" w:hAnsi="Calibri"/>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2025-12-30T01:11:00Z</dcterms:created>
  <dc:creator>（＾Ｏ＾☆♪晶晶 </dc:creator>
  <cp:lastModifiedBy>（＾Ｏ＾☆♪晶晶 </cp:lastModifiedBy>
  <dcterms:modified xsi:type="dcterms:W3CDTF">2025-12-30T01:12:24Z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0EF5F287AE65412AB0179D7C6A011862_11</vt:lpwstr>
  </property>
  <property fmtid="{D5CDD505-2E9C-101B-9397-08002B2CF9AE}" pid="4" name="KSOTemplateDocerSaveRecord">
    <vt:lpwstr>eyJoZGlkIjoiNjJmOGQ3OGI3MjVlZWUwZDIwNGNlNjY3NTNlZWEyOWMiLCJ1c2VySWQiOiIzMTkyNjYzMzMifQ==</vt:lpwstr>
  </property>
</Properties>
</file>