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outlineLvl w:val="1"/>
        <w:rPr>
          <w:rFonts w:ascii="方正黑体_GBK" w:hAnsi="宋体" w:eastAsia="方正黑体_GBK"/>
          <w:szCs w:val="32"/>
        </w:rPr>
      </w:pPr>
      <w:bookmarkStart w:id="0" w:name="_Toc450119067"/>
      <w:r>
        <w:rPr>
          <w:rFonts w:hint="eastAsia" w:ascii="方正黑体_GBK" w:hAnsi="宋体" w:eastAsia="方正黑体_GBK"/>
          <w:szCs w:val="32"/>
        </w:rPr>
        <w:t>附件2</w:t>
      </w:r>
    </w:p>
    <w:p>
      <w:pPr>
        <w:snapToGrid w:val="0"/>
        <w:outlineLvl w:val="1"/>
        <w:rPr>
          <w:rFonts w:ascii="方正黑体_GBK" w:hAnsi="宋体" w:eastAsia="方正黑体_GBK"/>
          <w:szCs w:val="32"/>
        </w:rPr>
      </w:pPr>
    </w:p>
    <w:p>
      <w:pPr>
        <w:snapToGrid w:val="0"/>
        <w:jc w:val="center"/>
        <w:rPr>
          <w:rFonts w:ascii="方正小标宋_GBK" w:hAnsi="宋体" w:eastAsia="方正小标宋_GBK" w:cs="宋体"/>
          <w:sz w:val="44"/>
          <w:szCs w:val="44"/>
        </w:rPr>
      </w:pPr>
      <w:bookmarkStart w:id="7" w:name="_GoBack"/>
      <w:r>
        <w:rPr>
          <w:rFonts w:hint="eastAsia" w:ascii="方正小标宋_GBK" w:hAnsi="宋体" w:eastAsia="方正小标宋_GBK" w:cs="宋体"/>
          <w:sz w:val="44"/>
          <w:szCs w:val="44"/>
        </w:rPr>
        <w:t>危险化学品票据式经营单位安全检查表</w:t>
      </w:r>
      <w:bookmarkEnd w:id="7"/>
      <w:bookmarkEnd w:id="0"/>
    </w:p>
    <w:p>
      <w:pPr>
        <w:snapToGrid w:val="0"/>
        <w:outlineLvl w:val="1"/>
        <w:rPr>
          <w:rFonts w:hint="eastAsia" w:ascii="方正黑体_GBK" w:hAnsi="宋体" w:eastAsia="方正黑体_GBK"/>
          <w:szCs w:val="32"/>
        </w:rPr>
      </w:pPr>
    </w:p>
    <w:p>
      <w:pPr>
        <w:rPr>
          <w:vanish/>
        </w:rPr>
      </w:pPr>
    </w:p>
    <w:tbl>
      <w:tblPr>
        <w:tblStyle w:val="3"/>
        <w:tblW w:w="9231"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6"/>
        <w:gridCol w:w="561"/>
        <w:gridCol w:w="3024"/>
        <w:gridCol w:w="720"/>
        <w:gridCol w:w="1688"/>
        <w:gridCol w:w="992"/>
        <w:gridCol w:w="15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6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bookmarkStart w:id="1" w:name="_Toc450058393"/>
            <w:bookmarkStart w:id="2" w:name="_Toc450118986"/>
            <w:bookmarkStart w:id="3" w:name="_Toc450119068"/>
            <w:r>
              <w:rPr>
                <w:rFonts w:hint="eastAsia" w:ascii="方正仿宋_GBK" w:hAnsi="宋体"/>
                <w:sz w:val="24"/>
                <w:szCs w:val="24"/>
              </w:rPr>
              <w:t>单位名称</w:t>
            </w:r>
            <w:bookmarkEnd w:id="1"/>
            <w:bookmarkEnd w:id="2"/>
            <w:bookmarkEnd w:id="3"/>
          </w:p>
        </w:tc>
        <w:tc>
          <w:tcPr>
            <w:tcW w:w="374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单位地址</w:t>
            </w:r>
          </w:p>
        </w:tc>
        <w:tc>
          <w:tcPr>
            <w:tcW w:w="253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6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bookmarkStart w:id="4" w:name="_Toc450058394"/>
            <w:bookmarkStart w:id="5" w:name="_Toc450118987"/>
            <w:bookmarkStart w:id="6" w:name="_Toc450119069"/>
            <w:r>
              <w:rPr>
                <w:rFonts w:hint="eastAsia" w:ascii="方正仿宋_GBK" w:hAnsi="宋体"/>
                <w:sz w:val="24"/>
                <w:szCs w:val="24"/>
              </w:rPr>
              <w:t>检查时间</w:t>
            </w:r>
            <w:bookmarkEnd w:id="4"/>
            <w:bookmarkEnd w:id="5"/>
            <w:bookmarkEnd w:id="6"/>
          </w:p>
        </w:tc>
        <w:tc>
          <w:tcPr>
            <w:tcW w:w="374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法人（签字）</w:t>
            </w:r>
          </w:p>
        </w:tc>
        <w:tc>
          <w:tcPr>
            <w:tcW w:w="253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黑体_GBK" w:hAnsi="宋体" w:eastAsia="方正黑体_GBK"/>
                <w:sz w:val="24"/>
                <w:szCs w:val="24"/>
              </w:rPr>
            </w:pPr>
            <w:r>
              <w:rPr>
                <w:rFonts w:hint="eastAsia" w:ascii="方正黑体_GBK" w:hAnsi="宋体" w:eastAsia="方正黑体_GBK"/>
                <w:sz w:val="24"/>
                <w:szCs w:val="24"/>
              </w:rPr>
              <w:t>序号</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黑体_GBK" w:hAnsi="宋体" w:eastAsia="方正黑体_GBK"/>
                <w:sz w:val="24"/>
                <w:szCs w:val="24"/>
              </w:rPr>
            </w:pPr>
            <w:r>
              <w:rPr>
                <w:rFonts w:hint="eastAsia" w:ascii="方正黑体_GBK" w:hAnsi="宋体" w:eastAsia="方正黑体_GBK"/>
                <w:sz w:val="24"/>
                <w:szCs w:val="24"/>
              </w:rPr>
              <w:t>检  查  内  容</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黑体_GBK" w:hAnsi="宋体" w:eastAsia="方正黑体_GBK"/>
                <w:sz w:val="24"/>
                <w:szCs w:val="24"/>
              </w:rPr>
            </w:pPr>
            <w:r>
              <w:rPr>
                <w:rFonts w:hint="eastAsia" w:ascii="方正黑体_GBK" w:hAnsi="宋体" w:eastAsia="方正黑体_GBK"/>
                <w:sz w:val="24"/>
                <w:szCs w:val="24"/>
              </w:rPr>
              <w:t>类别</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黑体_GBK" w:hAnsi="宋体" w:eastAsia="方正黑体_GBK"/>
                <w:sz w:val="24"/>
                <w:szCs w:val="24"/>
              </w:rPr>
            </w:pPr>
            <w:r>
              <w:rPr>
                <w:rFonts w:hint="eastAsia" w:ascii="方正黑体_GBK" w:hAnsi="宋体" w:eastAsia="方正黑体_GBK"/>
                <w:sz w:val="24"/>
                <w:szCs w:val="24"/>
              </w:rPr>
              <w:t>检查记录</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黑体_GBK" w:hAnsi="宋体" w:eastAsia="方正黑体_GBK"/>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黑体_GBK" w:hAnsi="宋体" w:eastAsia="方正黑体_GBK"/>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231"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楷体_GBK" w:hAnsi="宋体" w:eastAsia="方正楷体_GBK"/>
                <w:sz w:val="24"/>
                <w:szCs w:val="24"/>
              </w:rPr>
            </w:pPr>
            <w:r>
              <w:rPr>
                <w:rFonts w:hint="eastAsia" w:ascii="方正楷体_GBK" w:hAnsi="宋体" w:eastAsia="方正楷体_GBK"/>
                <w:sz w:val="24"/>
                <w:szCs w:val="24"/>
              </w:rPr>
              <w:t>1．证照文书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1.1</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工商行政管理部门核发的营业执照或企业名称预先核定通知书</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A</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方正仿宋_GBK" w:hAnsi="宋体"/>
                <w:sz w:val="24"/>
                <w:szCs w:val="24"/>
              </w:rPr>
            </w:pPr>
            <w:r>
              <w:rPr>
                <w:rFonts w:hint="eastAsia" w:ascii="方正仿宋_GBK" w:hAnsi="宋体"/>
                <w:sz w:val="24"/>
                <w:szCs w:val="24"/>
              </w:rPr>
              <w:t>1.2</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经营场所产权证明或租赁合同</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A</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方正仿宋_GBK" w:hAnsi="宋体"/>
                <w:sz w:val="24"/>
                <w:szCs w:val="24"/>
              </w:rPr>
            </w:pPr>
            <w:r>
              <w:rPr>
                <w:rFonts w:hint="eastAsia" w:ascii="方正仿宋_GBK" w:hAnsi="宋体"/>
                <w:sz w:val="24"/>
                <w:szCs w:val="24"/>
              </w:rPr>
              <w:t>1.3</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pacing w:val="-6"/>
                <w:sz w:val="24"/>
                <w:szCs w:val="24"/>
              </w:rPr>
              <w:t>经营场所从事票据式经营的承诺书</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A</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方正仿宋_GBK" w:hAnsi="宋体"/>
                <w:sz w:val="24"/>
                <w:szCs w:val="24"/>
              </w:rPr>
            </w:pPr>
            <w:r>
              <w:rPr>
                <w:rFonts w:hint="eastAsia" w:ascii="方正仿宋_GBK" w:hAnsi="宋体"/>
                <w:sz w:val="24"/>
                <w:szCs w:val="24"/>
              </w:rPr>
              <w:t>1.4</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企业负责人和安全管理人员经培训考核合格后取得安全培训合格证（提供培训合格证明材料）</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A</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方正仿宋_GBK" w:hAnsi="宋体"/>
                <w:sz w:val="24"/>
                <w:szCs w:val="24"/>
              </w:rPr>
            </w:pPr>
            <w:r>
              <w:rPr>
                <w:rFonts w:hint="eastAsia" w:ascii="方正仿宋_GBK" w:hAnsi="宋体"/>
                <w:sz w:val="24"/>
                <w:szCs w:val="24"/>
              </w:rPr>
              <w:t>1.5</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与供货方所签订的供货协议及供货方的资质材料；</w:t>
            </w:r>
            <w:r>
              <w:rPr>
                <w:rFonts w:hint="eastAsia" w:ascii="方正仿宋_GBK" w:hAnsi="宋体"/>
                <w:bCs/>
                <w:sz w:val="24"/>
                <w:szCs w:val="24"/>
              </w:rPr>
              <w:t>建立供货方专用台账</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B</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方正仿宋_GBK" w:hAnsi="宋体"/>
                <w:sz w:val="24"/>
                <w:szCs w:val="24"/>
              </w:rPr>
            </w:pPr>
            <w:r>
              <w:rPr>
                <w:rFonts w:hint="eastAsia" w:ascii="方正仿宋_GBK" w:hAnsi="宋体"/>
                <w:sz w:val="24"/>
                <w:szCs w:val="24"/>
              </w:rPr>
              <w:t>1.6</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涉及危险化学品运输的，须提供运输合同及运输相关资质材料</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B</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方正仿宋_GBK" w:hAnsi="宋体"/>
                <w:sz w:val="24"/>
                <w:szCs w:val="24"/>
              </w:rPr>
            </w:pPr>
            <w:r>
              <w:rPr>
                <w:rFonts w:hint="eastAsia" w:ascii="方正仿宋_GBK" w:hAnsi="宋体"/>
                <w:sz w:val="24"/>
                <w:szCs w:val="24"/>
              </w:rPr>
              <w:t>1.7</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危险化学品经营许可证</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B</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231"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楷体_GBK" w:hAnsi="宋体" w:eastAsia="方正楷体_GBK"/>
                <w:sz w:val="24"/>
                <w:szCs w:val="24"/>
              </w:rPr>
            </w:pPr>
            <w:r>
              <w:rPr>
                <w:rFonts w:hint="eastAsia" w:ascii="方正楷体_GBK" w:hAnsi="宋体" w:eastAsia="方正楷体_GBK"/>
                <w:sz w:val="24"/>
                <w:szCs w:val="24"/>
              </w:rPr>
              <w:t>2．安全管理制度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2.1</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有各级各类人员安全管理责任制</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A</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方正仿宋_GBK" w:hAnsi="宋体"/>
                <w:sz w:val="24"/>
                <w:szCs w:val="24"/>
              </w:rPr>
            </w:pPr>
            <w:r>
              <w:rPr>
                <w:rFonts w:hint="eastAsia" w:ascii="方正仿宋_GBK" w:hAnsi="宋体"/>
                <w:sz w:val="24"/>
                <w:szCs w:val="24"/>
              </w:rPr>
              <w:t>2.2</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cs="宋体"/>
                <w:sz w:val="24"/>
                <w:szCs w:val="24"/>
              </w:rPr>
              <w:t>有健全的安全管理制度（包括</w:t>
            </w:r>
            <w:r>
              <w:rPr>
                <w:rFonts w:hint="eastAsia" w:ascii="方正仿宋_GBK" w:hAnsi="宋体" w:cs="宋体"/>
                <w:color w:val="000000"/>
                <w:sz w:val="24"/>
                <w:szCs w:val="24"/>
              </w:rPr>
              <w:t>危险化学品安全管理制度、流向台账制度、危险化学品的运输管理制度</w:t>
            </w:r>
            <w:r>
              <w:rPr>
                <w:rFonts w:hint="eastAsia" w:ascii="方正仿宋_GBK" w:hAnsi="宋体" w:cs="宋体"/>
                <w:sz w:val="24"/>
                <w:szCs w:val="24"/>
              </w:rPr>
              <w:t>等），经营管制危险化学品的企业应按国家有关规定制定相应的安全管理制度</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A</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方正仿宋_GBK" w:hAnsi="宋体"/>
                <w:sz w:val="24"/>
                <w:szCs w:val="24"/>
              </w:rPr>
            </w:pPr>
            <w:r>
              <w:rPr>
                <w:rFonts w:hint="eastAsia" w:ascii="方正仿宋_GBK" w:hAnsi="宋体"/>
                <w:sz w:val="24"/>
                <w:szCs w:val="24"/>
              </w:rPr>
              <w:t>2.3</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有完善的经营、销售（包括采购、查验准购证、出售等）管理制度</w:t>
            </w:r>
          </w:p>
          <w:p>
            <w:pPr>
              <w:adjustRightInd w:val="0"/>
              <w:snapToGrid w:val="0"/>
              <w:rPr>
                <w:rFonts w:hint="eastAsia" w:ascii="方正仿宋_GBK" w:hAnsi="宋体"/>
                <w:sz w:val="24"/>
                <w:szCs w:val="24"/>
              </w:rPr>
            </w:pPr>
            <w:r>
              <w:rPr>
                <w:rFonts w:hint="eastAsia" w:ascii="方正仿宋_GBK" w:hAnsi="宋体"/>
                <w:sz w:val="24"/>
                <w:szCs w:val="24"/>
              </w:rPr>
              <w:t>建立危险化学品流向台账</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A</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方正仿宋_GBK" w:hAnsi="宋体"/>
                <w:sz w:val="24"/>
                <w:szCs w:val="24"/>
              </w:rPr>
            </w:pPr>
            <w:r>
              <w:rPr>
                <w:rFonts w:hint="eastAsia" w:ascii="方正仿宋_GBK" w:hAnsi="宋体"/>
                <w:sz w:val="24"/>
                <w:szCs w:val="24"/>
              </w:rPr>
              <w:t>2.4</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制定有事故应急救援预案</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A</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黑体_GBK" w:hAnsi="宋体" w:eastAsia="方正黑体_GBK"/>
                <w:sz w:val="24"/>
                <w:szCs w:val="24"/>
              </w:rPr>
            </w:pPr>
            <w:r>
              <w:rPr>
                <w:rFonts w:hint="eastAsia" w:ascii="方正黑体_GBK" w:hAnsi="宋体" w:eastAsia="方正黑体_GBK"/>
                <w:sz w:val="24"/>
                <w:szCs w:val="24"/>
              </w:rPr>
              <w:t>序号</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黑体_GBK" w:hAnsi="宋体" w:eastAsia="方正黑体_GBK"/>
                <w:sz w:val="24"/>
                <w:szCs w:val="24"/>
              </w:rPr>
            </w:pPr>
            <w:r>
              <w:rPr>
                <w:rFonts w:hint="eastAsia" w:ascii="方正黑体_GBK" w:hAnsi="宋体" w:eastAsia="方正黑体_GBK"/>
                <w:sz w:val="24"/>
                <w:szCs w:val="24"/>
              </w:rPr>
              <w:t>检  查  内  容</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黑体_GBK" w:hAnsi="宋体" w:eastAsia="方正黑体_GBK"/>
                <w:sz w:val="24"/>
                <w:szCs w:val="24"/>
              </w:rPr>
            </w:pPr>
            <w:r>
              <w:rPr>
                <w:rFonts w:hint="eastAsia" w:ascii="方正黑体_GBK" w:hAnsi="宋体" w:eastAsia="方正黑体_GBK"/>
                <w:sz w:val="24"/>
                <w:szCs w:val="24"/>
              </w:rPr>
              <w:t>类别</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黑体_GBK" w:hAnsi="宋体" w:eastAsia="方正黑体_GBK"/>
                <w:sz w:val="24"/>
                <w:szCs w:val="24"/>
              </w:rPr>
            </w:pPr>
            <w:r>
              <w:rPr>
                <w:rFonts w:hint="eastAsia" w:ascii="方正黑体_GBK" w:hAnsi="宋体" w:eastAsia="方正黑体_GBK"/>
                <w:sz w:val="24"/>
                <w:szCs w:val="24"/>
              </w:rPr>
              <w:t>检查记录</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黑体_GBK" w:hAnsi="宋体" w:eastAsia="方正黑体_GBK"/>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黑体_GBK" w:hAnsi="宋体" w:eastAsia="方正黑体_GBK"/>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231"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楷体_GBK" w:hAnsi="宋体" w:eastAsia="方正楷体_GBK"/>
                <w:sz w:val="24"/>
                <w:szCs w:val="24"/>
              </w:rPr>
            </w:pPr>
            <w:r>
              <w:rPr>
                <w:rFonts w:hint="eastAsia" w:ascii="方正楷体_GBK" w:hAnsi="宋体" w:eastAsia="方正楷体_GBK"/>
                <w:sz w:val="24"/>
                <w:szCs w:val="24"/>
              </w:rPr>
              <w:t>3．安全管理组织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3.1</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有安全管理机构或专兼职安全管理人员。</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A</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231"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楷体_GBK" w:hAnsi="宋体" w:eastAsia="方正楷体_GBK"/>
                <w:sz w:val="24"/>
                <w:szCs w:val="24"/>
              </w:rPr>
            </w:pPr>
            <w:r>
              <w:rPr>
                <w:rFonts w:hint="eastAsia" w:ascii="方正楷体_GBK" w:hAnsi="宋体" w:eastAsia="方正楷体_GBK"/>
                <w:sz w:val="24"/>
                <w:szCs w:val="24"/>
              </w:rPr>
              <w:t>4．从业人员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4.1</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主要负责人和安全管理人员是否取得安全培训合格证书</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A</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方正仿宋_GBK" w:hAnsi="宋体"/>
                <w:sz w:val="24"/>
                <w:szCs w:val="24"/>
              </w:rPr>
            </w:pPr>
            <w:r>
              <w:rPr>
                <w:rFonts w:hint="eastAsia" w:ascii="方正仿宋_GBK" w:hAnsi="宋体"/>
                <w:sz w:val="24"/>
                <w:szCs w:val="24"/>
              </w:rPr>
              <w:t>4.2</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其他从业人员经本单位专业培训或委托专业培训，并经考核合格，取得上岗资格</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B</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方正仿宋_GBK" w:hAnsi="宋体"/>
                <w:sz w:val="24"/>
                <w:szCs w:val="24"/>
              </w:rPr>
            </w:pPr>
            <w:r>
              <w:rPr>
                <w:rFonts w:hint="eastAsia" w:ascii="方正仿宋_GBK" w:hAnsi="宋体"/>
                <w:sz w:val="24"/>
                <w:szCs w:val="24"/>
              </w:rPr>
              <w:t>4.3</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从事危险化学品采购和销售人员了解所经营危险化学品的基本特性和应急救援措施</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B</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231"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楷体_GBK" w:hAnsi="宋体" w:eastAsia="方正楷体_GBK"/>
                <w:sz w:val="24"/>
                <w:szCs w:val="24"/>
              </w:rPr>
            </w:pPr>
            <w:r>
              <w:rPr>
                <w:rFonts w:hint="eastAsia" w:ascii="方正楷体_GBK" w:hAnsi="宋体" w:eastAsia="方正楷体_GBK"/>
                <w:sz w:val="24"/>
                <w:szCs w:val="24"/>
              </w:rPr>
              <w:t>5．安全管理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5.1</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经营场所不得存放危险化学品，</w:t>
            </w:r>
          </w:p>
          <w:p>
            <w:pPr>
              <w:adjustRightInd w:val="0"/>
              <w:snapToGrid w:val="0"/>
              <w:rPr>
                <w:rFonts w:hint="eastAsia" w:ascii="方正仿宋_GBK" w:hAnsi="宋体"/>
                <w:sz w:val="24"/>
                <w:szCs w:val="24"/>
              </w:rPr>
            </w:pPr>
            <w:r>
              <w:rPr>
                <w:rFonts w:hint="eastAsia" w:ascii="方正仿宋_GBK" w:hAnsi="宋体"/>
                <w:sz w:val="24"/>
                <w:szCs w:val="24"/>
              </w:rPr>
              <w:t>有《不存放危险化学品承诺书》</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A</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方正仿宋_GBK" w:hAnsi="宋体"/>
                <w:sz w:val="24"/>
                <w:szCs w:val="24"/>
              </w:rPr>
            </w:pPr>
            <w:r>
              <w:rPr>
                <w:rFonts w:hint="eastAsia" w:ascii="方正仿宋_GBK" w:hAnsi="宋体"/>
                <w:sz w:val="24"/>
                <w:szCs w:val="24"/>
              </w:rPr>
              <w:t>5.2</w:t>
            </w:r>
          </w:p>
        </w:tc>
        <w:tc>
          <w:tcPr>
            <w:tcW w:w="358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方正仿宋_GBK" w:hAnsi="宋体"/>
                <w:sz w:val="24"/>
                <w:szCs w:val="24"/>
              </w:rPr>
            </w:pPr>
            <w:r>
              <w:rPr>
                <w:rFonts w:hint="eastAsia" w:ascii="方正仿宋_GBK" w:hAnsi="宋体"/>
                <w:sz w:val="24"/>
                <w:szCs w:val="24"/>
              </w:rPr>
              <w:t>不得经营国家明令禁止的危险化学品。</w:t>
            </w:r>
          </w:p>
        </w:tc>
        <w:tc>
          <w:tcPr>
            <w:tcW w:w="72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r>
              <w:rPr>
                <w:rFonts w:hint="eastAsia" w:ascii="方正仿宋_GBK" w:hAnsi="宋体"/>
                <w:sz w:val="24"/>
                <w:szCs w:val="24"/>
              </w:rPr>
              <w:t>A</w:t>
            </w:r>
          </w:p>
        </w:tc>
        <w:tc>
          <w:tcPr>
            <w:tcW w:w="16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c>
          <w:tcPr>
            <w:tcW w:w="154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方正仿宋_GBK" w:hAnsi="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snapToGrid w:val="0"/>
              <w:spacing w:line="460" w:lineRule="exact"/>
              <w:jc w:val="center"/>
              <w:rPr>
                <w:rFonts w:ascii="方正仿宋_GBK" w:hAnsi="宋体"/>
                <w:sz w:val="24"/>
                <w:szCs w:val="24"/>
              </w:rPr>
            </w:pPr>
            <w:r>
              <w:rPr>
                <w:rFonts w:hint="eastAsia" w:ascii="方正仿宋_GBK" w:hAnsi="宋体"/>
                <w:sz w:val="24"/>
                <w:szCs w:val="24"/>
              </w:rPr>
              <w:t>现场</w:t>
            </w:r>
          </w:p>
          <w:p>
            <w:pPr>
              <w:snapToGrid w:val="0"/>
              <w:spacing w:line="460" w:lineRule="exact"/>
              <w:jc w:val="center"/>
              <w:rPr>
                <w:rFonts w:ascii="方正仿宋_GBK" w:hAnsi="宋体"/>
                <w:sz w:val="24"/>
                <w:szCs w:val="24"/>
              </w:rPr>
            </w:pPr>
            <w:r>
              <w:rPr>
                <w:rFonts w:hint="eastAsia" w:ascii="方正仿宋_GBK" w:hAnsi="宋体"/>
                <w:sz w:val="24"/>
                <w:szCs w:val="24"/>
              </w:rPr>
              <w:t>检查</w:t>
            </w:r>
          </w:p>
          <w:p>
            <w:pPr>
              <w:snapToGrid w:val="0"/>
              <w:spacing w:line="460" w:lineRule="exact"/>
              <w:jc w:val="center"/>
              <w:rPr>
                <w:rFonts w:hint="eastAsia" w:ascii="方正仿宋_GBK" w:hAnsi="宋体"/>
                <w:sz w:val="24"/>
                <w:szCs w:val="24"/>
              </w:rPr>
            </w:pPr>
            <w:r>
              <w:rPr>
                <w:rFonts w:hint="eastAsia" w:ascii="方正仿宋_GBK" w:hAnsi="宋体"/>
                <w:sz w:val="24"/>
                <w:szCs w:val="24"/>
              </w:rPr>
              <w:t>意见</w:t>
            </w:r>
          </w:p>
        </w:tc>
        <w:tc>
          <w:tcPr>
            <w:tcW w:w="8525"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方正仿宋_GBK" w:hAnsi="宋体"/>
                <w:sz w:val="24"/>
                <w:szCs w:val="24"/>
              </w:rPr>
            </w:pPr>
          </w:p>
          <w:p>
            <w:pPr>
              <w:adjustRightInd w:val="0"/>
              <w:snapToGrid w:val="0"/>
              <w:jc w:val="left"/>
              <w:rPr>
                <w:rFonts w:ascii="方正仿宋_GBK" w:hAnsi="宋体"/>
                <w:sz w:val="24"/>
                <w:szCs w:val="24"/>
              </w:rPr>
            </w:pPr>
          </w:p>
          <w:p>
            <w:pPr>
              <w:adjustRightInd w:val="0"/>
              <w:snapToGrid w:val="0"/>
              <w:jc w:val="left"/>
              <w:rPr>
                <w:rFonts w:ascii="方正仿宋_GBK" w:hAnsi="宋体"/>
                <w:sz w:val="24"/>
                <w:szCs w:val="24"/>
              </w:rPr>
            </w:pPr>
          </w:p>
          <w:p>
            <w:pPr>
              <w:adjustRightInd w:val="0"/>
              <w:snapToGrid w:val="0"/>
              <w:jc w:val="left"/>
              <w:rPr>
                <w:rFonts w:ascii="方正仿宋_GBK" w:hAnsi="宋体"/>
                <w:sz w:val="24"/>
                <w:szCs w:val="24"/>
              </w:rPr>
            </w:pPr>
          </w:p>
          <w:p>
            <w:pPr>
              <w:adjustRightInd w:val="0"/>
              <w:snapToGrid w:val="0"/>
              <w:jc w:val="left"/>
              <w:rPr>
                <w:rFonts w:hint="eastAsia" w:ascii="方正仿宋_GBK" w:hAnsi="宋体"/>
                <w:sz w:val="24"/>
                <w:szCs w:val="24"/>
              </w:rPr>
            </w:pPr>
          </w:p>
          <w:p>
            <w:pPr>
              <w:adjustRightInd w:val="0"/>
              <w:snapToGrid w:val="0"/>
              <w:jc w:val="left"/>
              <w:rPr>
                <w:rFonts w:ascii="方正仿宋_GBK" w:hAnsi="宋体"/>
                <w:sz w:val="24"/>
                <w:szCs w:val="24"/>
              </w:rPr>
            </w:pPr>
          </w:p>
          <w:p>
            <w:pPr>
              <w:adjustRightInd w:val="0"/>
              <w:snapToGrid w:val="0"/>
              <w:jc w:val="left"/>
              <w:rPr>
                <w:rFonts w:ascii="方正仿宋_GBK" w:hAnsi="宋体"/>
                <w:sz w:val="24"/>
                <w:szCs w:val="24"/>
              </w:rPr>
            </w:pPr>
          </w:p>
          <w:p>
            <w:pPr>
              <w:adjustRightInd w:val="0"/>
              <w:snapToGrid w:val="0"/>
              <w:jc w:val="center"/>
              <w:rPr>
                <w:rFonts w:hint="eastAsia" w:ascii="方正仿宋_GBK" w:hAnsi="宋体"/>
                <w:sz w:val="24"/>
                <w:szCs w:val="24"/>
              </w:rPr>
            </w:pPr>
            <w:r>
              <w:rPr>
                <w:rFonts w:hint="eastAsia" w:ascii="方正仿宋_GBK" w:hAnsi="宋体"/>
                <w:sz w:val="24"/>
                <w:szCs w:val="24"/>
              </w:rPr>
              <w:t>检查人员签字：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06" w:type="dxa"/>
            <w:tcBorders>
              <w:top w:val="single" w:color="auto" w:sz="4" w:space="0"/>
              <w:left w:val="single" w:color="auto" w:sz="4" w:space="0"/>
              <w:bottom w:val="single" w:color="auto" w:sz="4" w:space="0"/>
              <w:right w:val="single" w:color="auto" w:sz="4" w:space="0"/>
            </w:tcBorders>
            <w:vAlign w:val="center"/>
          </w:tcPr>
          <w:p>
            <w:pPr>
              <w:snapToGrid w:val="0"/>
              <w:spacing w:line="240" w:lineRule="atLeast"/>
              <w:jc w:val="center"/>
              <w:rPr>
                <w:rFonts w:hint="eastAsia" w:ascii="方正仿宋_GBK" w:hAnsi="宋体"/>
                <w:sz w:val="24"/>
                <w:szCs w:val="24"/>
              </w:rPr>
            </w:pPr>
            <w:r>
              <w:rPr>
                <w:rFonts w:hint="eastAsia" w:ascii="方正仿宋_GBK" w:hAnsi="宋体"/>
                <w:sz w:val="24"/>
                <w:szCs w:val="24"/>
              </w:rPr>
              <w:t>备注</w:t>
            </w:r>
          </w:p>
        </w:tc>
        <w:tc>
          <w:tcPr>
            <w:tcW w:w="8525"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atLeast"/>
              <w:ind w:left="295" w:hanging="300" w:hangingChars="125"/>
              <w:rPr>
                <w:rFonts w:hint="eastAsia" w:ascii="方正仿宋_GBK" w:hAnsi="宋体"/>
                <w:sz w:val="24"/>
                <w:szCs w:val="24"/>
              </w:rPr>
            </w:pPr>
            <w:r>
              <w:rPr>
                <w:rFonts w:hint="eastAsia" w:ascii="方正仿宋_GBK" w:hAnsi="宋体"/>
                <w:sz w:val="24"/>
                <w:szCs w:val="24"/>
              </w:rPr>
              <w:t>1</w:t>
            </w:r>
            <w:r>
              <w:rPr>
                <w:rFonts w:hint="eastAsia" w:ascii="方正楷体_GBK" w:hAnsi="宋体" w:eastAsia="方正楷体_GBK"/>
                <w:sz w:val="24"/>
                <w:szCs w:val="24"/>
              </w:rPr>
              <w:t>．</w:t>
            </w:r>
            <w:r>
              <w:rPr>
                <w:rFonts w:hint="eastAsia" w:ascii="方正仿宋_GBK" w:hAnsi="宋体"/>
                <w:sz w:val="24"/>
                <w:szCs w:val="24"/>
              </w:rPr>
              <w:t>现场检查人员必须对经营单位有关条件、事项是否符合要求的安全生产条件逐一载明；</w:t>
            </w:r>
          </w:p>
          <w:p>
            <w:pPr>
              <w:snapToGrid w:val="0"/>
              <w:spacing w:line="240" w:lineRule="atLeast"/>
              <w:rPr>
                <w:rFonts w:ascii="方正仿宋_GBK" w:hAnsi="宋体"/>
                <w:sz w:val="24"/>
                <w:szCs w:val="24"/>
              </w:rPr>
            </w:pPr>
            <w:r>
              <w:rPr>
                <w:rFonts w:hint="eastAsia" w:ascii="方正仿宋_GBK" w:hAnsi="宋体"/>
                <w:sz w:val="24"/>
                <w:szCs w:val="24"/>
              </w:rPr>
              <w:t>2</w:t>
            </w:r>
            <w:r>
              <w:rPr>
                <w:rFonts w:hint="eastAsia" w:ascii="方正楷体_GBK" w:hAnsi="宋体" w:eastAsia="方正楷体_GBK"/>
                <w:sz w:val="24"/>
                <w:szCs w:val="24"/>
              </w:rPr>
              <w:t>．</w:t>
            </w:r>
            <w:r>
              <w:rPr>
                <w:rFonts w:hint="eastAsia" w:ascii="方正仿宋_GBK" w:hAnsi="宋体"/>
                <w:sz w:val="24"/>
                <w:szCs w:val="24"/>
              </w:rPr>
              <w:t>现场检查应对经营企业是否符合安全生产条件做出结论性意见。</w:t>
            </w:r>
          </w:p>
          <w:p>
            <w:pPr>
              <w:snapToGrid w:val="0"/>
              <w:spacing w:line="240" w:lineRule="atLeast"/>
              <w:rPr>
                <w:rFonts w:hint="eastAsia" w:ascii="方正仿宋_GBK" w:hAnsi="宋体"/>
                <w:sz w:val="24"/>
                <w:szCs w:val="24"/>
              </w:rPr>
            </w:pPr>
            <w:r>
              <w:rPr>
                <w:rFonts w:hint="eastAsia" w:ascii="方正仿宋_GBK" w:hAnsi="宋体"/>
                <w:sz w:val="24"/>
                <w:szCs w:val="24"/>
              </w:rPr>
              <w:t>3</w:t>
            </w:r>
            <w:r>
              <w:rPr>
                <w:rFonts w:hint="eastAsia" w:ascii="方正楷体_GBK" w:hAnsi="宋体" w:eastAsia="方正楷体_GBK"/>
                <w:sz w:val="24"/>
                <w:szCs w:val="24"/>
              </w:rPr>
              <w:t>．</w:t>
            </w:r>
            <w:r>
              <w:rPr>
                <w:rFonts w:hint="eastAsia" w:ascii="方正仿宋_GBK" w:hAnsi="宋体"/>
                <w:sz w:val="24"/>
                <w:szCs w:val="24"/>
              </w:rPr>
              <w:t>类别A</w:t>
            </w:r>
            <w:r>
              <w:rPr>
                <w:rFonts w:hint="eastAsia" w:ascii="方正仿宋_GBK" w:hAnsi="宋体"/>
                <w:bCs/>
                <w:sz w:val="24"/>
                <w:szCs w:val="24"/>
              </w:rPr>
              <w:t>为必备检查项目；</w:t>
            </w:r>
            <w:r>
              <w:rPr>
                <w:rFonts w:hint="eastAsia" w:ascii="方正仿宋_GBK" w:hAnsi="宋体"/>
                <w:sz w:val="24"/>
                <w:szCs w:val="24"/>
              </w:rPr>
              <w:t>B</w:t>
            </w:r>
            <w:r>
              <w:rPr>
                <w:rFonts w:hint="eastAsia" w:ascii="方正仿宋_GBK" w:hAnsi="宋体"/>
                <w:bCs/>
                <w:sz w:val="24"/>
                <w:szCs w:val="24"/>
              </w:rPr>
              <w:t>为非必备检查项目。</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2E3E28"/>
    <w:rsid w:val="112E3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kern w:val="2"/>
      <w:sz w:val="32"/>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2020-11-30T07:22:00Z</dcterms:created>
  <dc:creator>Administrator</dc:creator>
  <cp:lastModifiedBy>Administrator</cp:lastModifiedBy>
  <dcterms:modified xsi:type="dcterms:W3CDTF">2020-11-30T07:22:50Z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