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both"/>
        <w:rPr>
          <w:rFonts w:hint="eastAsia" w:ascii="方正小标宋简体" w:hAnsi="黑体" w:eastAsia="方正小标宋简体" w:cs="方正小标宋简体"/>
          <w:kern w:val="0"/>
          <w:sz w:val="30"/>
          <w:szCs w:val="30"/>
          <w:lang w:val="en-US" w:eastAsia="zh-CN"/>
        </w:rPr>
      </w:pPr>
      <w:bookmarkStart w:id="0" w:name="zhengwen"/>
      <w:r>
        <w:rPr>
          <w:rFonts w:hint="eastAsia" w:ascii="方正小标宋简体" w:hAnsi="黑体" w:eastAsia="方正小标宋简体" w:cs="方正小标宋简体"/>
          <w:kern w:val="0"/>
          <w:sz w:val="30"/>
          <w:szCs w:val="30"/>
          <w:lang w:val="en-US" w:eastAsia="zh-CN"/>
        </w:rPr>
        <w:t>附件</w:t>
      </w:r>
    </w:p>
    <w:p>
      <w:pPr>
        <w:spacing w:line="520" w:lineRule="exact"/>
        <w:ind w:firstLine="880" w:firstLineChars="200"/>
        <w:jc w:val="both"/>
        <w:rPr>
          <w:rFonts w:ascii="方正小标宋简体" w:hAnsi="黑体" w:eastAsia="方正小标宋简体" w:cs="方正小标宋简体"/>
          <w:kern w:val="0"/>
          <w:sz w:val="44"/>
          <w:szCs w:val="44"/>
        </w:rPr>
      </w:pPr>
      <w:r>
        <w:rPr>
          <w:rFonts w:ascii="方正小标宋简体" w:hAnsi="黑体" w:eastAsia="方正小标宋简体" w:cs="方正小标宋简体"/>
          <w:kern w:val="0"/>
          <w:sz w:val="44"/>
          <w:szCs w:val="44"/>
        </w:rPr>
        <w:t>2019</w:t>
      </w:r>
      <w:r>
        <w:rPr>
          <w:rFonts w:hint="eastAsia" w:ascii="方正小标宋简体" w:hAnsi="黑体" w:eastAsia="方正小标宋简体" w:cs="方正小标宋简体"/>
          <w:kern w:val="0"/>
          <w:sz w:val="44"/>
          <w:szCs w:val="44"/>
        </w:rPr>
        <w:t>年辽宁省药品、医疗器械、化妆品</w:t>
      </w:r>
    </w:p>
    <w:p>
      <w:pPr>
        <w:spacing w:line="520" w:lineRule="exact"/>
        <w:jc w:val="center"/>
        <w:rPr>
          <w:rFonts w:hint="eastAsia" w:ascii="方正小标宋简体" w:hAnsi="黑体" w:eastAsia="方正小标宋简体" w:cs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 w:cs="方正小标宋简体"/>
          <w:kern w:val="0"/>
          <w:sz w:val="44"/>
          <w:szCs w:val="44"/>
        </w:rPr>
        <w:t>和药物滥用监测</w:t>
      </w:r>
      <w:r>
        <w:rPr>
          <w:rFonts w:hint="eastAsia" w:ascii="方正小标宋简体" w:hAnsi="黑体" w:eastAsia="方正小标宋简体" w:cs="方正小标宋简体"/>
          <w:kern w:val="0"/>
          <w:sz w:val="44"/>
          <w:szCs w:val="44"/>
          <w:lang w:eastAsia="zh-CN"/>
        </w:rPr>
        <w:t>工作评估标准</w:t>
      </w:r>
    </w:p>
    <w:p>
      <w:pPr>
        <w:tabs>
          <w:tab w:val="left" w:pos="7551"/>
        </w:tabs>
        <w:spacing w:line="52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tabs>
          <w:tab w:val="left" w:pos="7551"/>
        </w:tabs>
        <w:spacing w:line="52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一、组织保障（</w:t>
      </w:r>
      <w:r>
        <w:rPr>
          <w:rFonts w:ascii="Times New Roman" w:hAnsi="Times New Roman" w:eastAsia="黑体" w:cs="Times New Roman"/>
          <w:sz w:val="32"/>
          <w:szCs w:val="32"/>
        </w:rPr>
        <w:t>10</w:t>
      </w:r>
      <w:r>
        <w:rPr>
          <w:rFonts w:hint="eastAsia" w:ascii="Times New Roman" w:hAnsi="Times New Roman" w:eastAsia="黑体" w:cs="黑体"/>
          <w:sz w:val="32"/>
          <w:szCs w:val="32"/>
        </w:rPr>
        <w:t>分）</w:t>
      </w:r>
    </w:p>
    <w:tbl>
      <w:tblPr>
        <w:tblStyle w:val="22"/>
        <w:tblW w:w="9198" w:type="dxa"/>
        <w:jc w:val="center"/>
        <w:tblInd w:w="2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485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418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考核要点</w:t>
            </w:r>
          </w:p>
        </w:tc>
        <w:tc>
          <w:tcPr>
            <w:tcW w:w="4855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评分细则</w:t>
            </w:r>
          </w:p>
        </w:tc>
        <w:tc>
          <w:tcPr>
            <w:tcW w:w="2925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上报材料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1418" w:type="dxa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机构建设和职能落实</w:t>
            </w:r>
          </w:p>
          <w:p>
            <w:pPr>
              <w:snapToGrid w:val="0"/>
              <w:spacing w:line="2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分）</w:t>
            </w:r>
          </w:p>
        </w:tc>
        <w:tc>
          <w:tcPr>
            <w:tcW w:w="4855" w:type="dxa"/>
            <w:vAlign w:val="center"/>
          </w:tcPr>
          <w:p>
            <w:pPr>
              <w:snapToGrid w:val="0"/>
              <w:spacing w:line="3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）工作部署，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分。</w:t>
            </w:r>
          </w:p>
          <w:p>
            <w:pPr>
              <w:snapToGrid w:val="0"/>
              <w:spacing w:line="3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各市应确定监测管理部门，得2分；设置或指定市级监测技术机构或部门，得2分；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）工作推进，2分。</w:t>
            </w:r>
          </w:p>
          <w:p>
            <w:pPr>
              <w:snapToGrid w:val="0"/>
              <w:spacing w:line="300" w:lineRule="exact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各市局应积极推进开展各项监测工作，有明确的工作部署和要求，得1分。</w:t>
            </w:r>
          </w:p>
          <w:p>
            <w:pPr>
              <w:snapToGrid w:val="0"/>
              <w:spacing w:line="300" w:lineRule="exact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各市局应组织开展监测工作培训，得1分。</w:t>
            </w:r>
          </w:p>
        </w:tc>
        <w:tc>
          <w:tcPr>
            <w:tcW w:w="2925" w:type="dxa"/>
            <w:vAlign w:val="center"/>
          </w:tcPr>
          <w:p>
            <w:pPr>
              <w:snapToGrid w:val="0"/>
              <w:spacing w:line="3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instrText xml:space="preserve"> = 1 \* GB3 </w:instrTex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①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各市明确监测管理职能和技术职能的“三定”方案。</w:t>
            </w:r>
          </w:p>
          <w:p>
            <w:pPr>
              <w:snapToGrid w:val="0"/>
              <w:spacing w:line="3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②各市下发的为推动地区监测工作持续性开展的文件等资料。</w:t>
            </w:r>
          </w:p>
          <w:p>
            <w:pPr>
              <w:snapToGrid w:val="0"/>
              <w:spacing w:line="3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各市开展监测培训的通知和培训材料等资料。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  <w:jc w:val="center"/>
        </w:trPr>
        <w:tc>
          <w:tcPr>
            <w:tcW w:w="1418" w:type="dxa"/>
            <w:vMerge w:val="restart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人员和经费保障</w:t>
            </w:r>
          </w:p>
          <w:p>
            <w:pPr>
              <w:snapToGrid w:val="0"/>
              <w:spacing w:line="2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分）</w:t>
            </w:r>
          </w:p>
        </w:tc>
        <w:tc>
          <w:tcPr>
            <w:tcW w:w="4855" w:type="dxa"/>
            <w:vAlign w:val="center"/>
          </w:tcPr>
          <w:p>
            <w:pPr>
              <w:snapToGrid w:val="0"/>
              <w:spacing w:line="3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）监测人员保障，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  <w:p>
            <w:pPr>
              <w:snapToGrid w:val="0"/>
              <w:spacing w:line="300" w:lineRule="exact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各市应配备满足相关专业需求的专职监测管理人员和技术人员，并保证各项监测工作延续性开展。监测管理人员不少于2人、专职监测技术人员不少于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人。管理人员或技术人员少于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人的，均不得分。</w:t>
            </w:r>
          </w:p>
        </w:tc>
        <w:tc>
          <w:tcPr>
            <w:tcW w:w="2925" w:type="dxa"/>
            <w:vAlign w:val="center"/>
          </w:tcPr>
          <w:p>
            <w:pPr>
              <w:snapToGrid w:val="0"/>
              <w:spacing w:line="3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各市监测管理部门人员名单和职责分工及联系方式；各市监测技术机构人员名单、职责分工及联系方式。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  <w:jc w:val="center"/>
        </w:trPr>
        <w:tc>
          <w:tcPr>
            <w:tcW w:w="1418" w:type="dxa"/>
            <w:vMerge w:val="continue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4855" w:type="dxa"/>
            <w:vAlign w:val="center"/>
          </w:tcPr>
          <w:p>
            <w:pPr>
              <w:snapToGrid w:val="0"/>
              <w:spacing w:line="300" w:lineRule="exact"/>
              <w:rPr>
                <w:rFonts w:ascii="Times New Roman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仿宋_GB2312"/>
                <w:kern w:val="0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）经费保障，</w:t>
            </w:r>
            <w:r>
              <w:rPr>
                <w:rFonts w:ascii="Times New Roman" w:hAnsi="Times New Roman" w:eastAsia="仿宋_GB2312" w:cs="仿宋_GB2312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分。</w:t>
            </w:r>
          </w:p>
          <w:p>
            <w:pPr>
              <w:snapToGrid w:val="0"/>
              <w:spacing w:line="300" w:lineRule="exact"/>
              <w:ind w:firstLine="480" w:firstLineChars="200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各市监测工作中央转移支付经费应做到专款专用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，包括各项监测病例报告收集、核实、评价及事件调查、开展监测工作相关的培训、宣传等。</w:t>
            </w:r>
          </w:p>
        </w:tc>
        <w:tc>
          <w:tcPr>
            <w:tcW w:w="2925" w:type="dxa"/>
            <w:vAlign w:val="center"/>
          </w:tcPr>
          <w:p>
            <w:pPr>
              <w:pStyle w:val="48"/>
              <w:widowControl/>
              <w:snapToGrid w:val="0"/>
              <w:spacing w:line="300" w:lineRule="exact"/>
              <w:ind w:firstLine="0" w:firstLineChars="0"/>
              <w:rPr>
                <w:rFonts w:ascii="Times New Roman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《年度总结和计划》中包括：中央转移支付经费使用情况说明。</w:t>
            </w:r>
          </w:p>
        </w:tc>
      </w:tr>
    </w:tbl>
    <w:p>
      <w:pPr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二、药品不良反应监测（</w:t>
      </w:r>
      <w:r>
        <w:rPr>
          <w:rFonts w:ascii="Times New Roman" w:hAnsi="Times New Roman" w:eastAsia="黑体" w:cs="Times New Roman"/>
          <w:sz w:val="32"/>
          <w:szCs w:val="32"/>
        </w:rPr>
        <w:t>30</w:t>
      </w:r>
      <w:r>
        <w:rPr>
          <w:rFonts w:hint="eastAsia" w:ascii="Times New Roman" w:hAnsi="Times New Roman" w:eastAsia="黑体" w:cs="黑体"/>
          <w:sz w:val="32"/>
          <w:szCs w:val="32"/>
        </w:rPr>
        <w:t>分）</w:t>
      </w:r>
    </w:p>
    <w:tbl>
      <w:tblPr>
        <w:tblStyle w:val="22"/>
        <w:tblW w:w="9235" w:type="dxa"/>
        <w:jc w:val="center"/>
        <w:tblInd w:w="-4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87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560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考核要点</w:t>
            </w:r>
          </w:p>
        </w:tc>
        <w:tc>
          <w:tcPr>
            <w:tcW w:w="4873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评分细则</w:t>
            </w:r>
          </w:p>
        </w:tc>
        <w:tc>
          <w:tcPr>
            <w:tcW w:w="2802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上报材料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560" w:type="dxa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报告质量</w:t>
            </w:r>
          </w:p>
          <w:p>
            <w:pPr>
              <w:snapToGrid w:val="0"/>
              <w:spacing w:line="2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（6分）</w:t>
            </w:r>
          </w:p>
        </w:tc>
        <w:tc>
          <w:tcPr>
            <w:tcW w:w="4873" w:type="dxa"/>
            <w:vAlign w:val="center"/>
          </w:tcPr>
          <w:p>
            <w:pPr>
              <w:snapToGrid w:val="0"/>
              <w:spacing w:line="300" w:lineRule="exact"/>
              <w:rPr>
                <w:rFonts w:ascii="Times New Roman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仿宋_GB2312"/>
                <w:kern w:val="0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）药品不良反应病例报告质量，6分。</w:t>
            </w:r>
          </w:p>
          <w:p>
            <w:pPr>
              <w:snapToGrid w:val="0"/>
              <w:spacing w:line="300" w:lineRule="exact"/>
              <w:ind w:firstLine="480" w:firstLineChars="200"/>
              <w:rPr>
                <w:rFonts w:ascii="Times New Roman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全面落实《药品不良反应报告和监测管理办法》要求，提高病例报告质量，保证报告内容真实、完整、准确，并加强个例报告评价的及时性和准确性，满分6分。</w:t>
            </w:r>
          </w:p>
          <w:p>
            <w:pPr>
              <w:snapToGrid w:val="0"/>
              <w:spacing w:line="300" w:lineRule="exact"/>
              <w:ind w:firstLine="480" w:firstLineChars="200"/>
              <w:rPr>
                <w:rFonts w:ascii="Times New Roman" w:hAnsi="Times New Roman" w:eastAsia="黑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如发现存在虚假报告，该项为</w:t>
            </w:r>
            <w:r>
              <w:rPr>
                <w:rFonts w:ascii="Times New Roman" w:hAnsi="Times New Roman" w:eastAsia="仿宋_GB2312" w:cs="仿宋_GB2312"/>
                <w:kern w:val="0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</w:rPr>
              <w:t>分。</w:t>
            </w:r>
          </w:p>
        </w:tc>
        <w:tc>
          <w:tcPr>
            <w:tcW w:w="2802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无上报材料要求。</w:t>
            </w: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省中心随机抽取各市个例报告按国家中心标准开展质量评估评分，计算得分。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560" w:type="dxa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报告数量</w:t>
            </w:r>
          </w:p>
          <w:p>
            <w:pPr>
              <w:snapToGrid w:val="0"/>
              <w:spacing w:line="2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17.5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分）</w:t>
            </w:r>
          </w:p>
        </w:tc>
        <w:tc>
          <w:tcPr>
            <w:tcW w:w="4873" w:type="dxa"/>
            <w:vAlign w:val="center"/>
          </w:tcPr>
          <w:p>
            <w:pPr>
              <w:widowControl/>
              <w:snapToGrid w:val="0"/>
              <w:spacing w:before="156" w:beforeLines="50" w:line="2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）百万人口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400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份的达标要求，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各市应达到年度每百万人口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400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份的基础要求，达标得14分。不达标的，该项不得分。</w:t>
            </w:r>
          </w:p>
          <w:p>
            <w:pPr>
              <w:widowControl/>
              <w:snapToGrid w:val="0"/>
              <w:spacing w:line="2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）报告数量分类统计，3.5分。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按年度报告总数权重40%（1.4分）、严重病例比例权重40%（1.4分）、新的一般病例报告比例权重20%（0.7分）分别排序各市报告数量1-14名，每个名次平均递减0.1、0.1、0.05分，合计各市该项分数。</w:t>
            </w:r>
          </w:p>
        </w:tc>
        <w:tc>
          <w:tcPr>
            <w:tcW w:w="2802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无上报材料要求。</w:t>
            </w: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    </w:t>
            </w: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省中心统计各市报告数量计算得分。</w:t>
            </w: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560" w:type="dxa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报告覆盖率（6.5分）</w:t>
            </w:r>
          </w:p>
        </w:tc>
        <w:tc>
          <w:tcPr>
            <w:tcW w:w="4873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</w:rPr>
              <w:t>（</w:t>
            </w:r>
            <w:r>
              <w:rPr>
                <w:rFonts w:ascii="Times New Roman" w:hAnsi="Times New Roman" w:eastAsia="仿宋_GB2312"/>
                <w:bCs/>
                <w:sz w:val="24"/>
              </w:rPr>
              <w:t>8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）年度县（市</w:t>
            </w:r>
            <w:r>
              <w:rPr>
                <w:rFonts w:ascii="Times New Roman" w:hAnsi="Times New Roman" w:eastAsia="仿宋_GB2312"/>
                <w:bCs/>
                <w:sz w:val="24"/>
              </w:rPr>
              <w:t>/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区）报告覆盖率，6.5分。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</w:rPr>
              <w:t>各市应达到年度县（市</w:t>
            </w:r>
            <w:r>
              <w:rPr>
                <w:rFonts w:ascii="Times New Roman" w:hAnsi="Times New Roman" w:eastAsia="仿宋_GB2312"/>
                <w:bCs/>
                <w:sz w:val="24"/>
              </w:rPr>
              <w:t>/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区）报告覆盖率</w:t>
            </w:r>
            <w:r>
              <w:rPr>
                <w:rFonts w:ascii="Times New Roman" w:hAnsi="Times New Roman" w:eastAsia="仿宋_GB2312"/>
                <w:bCs/>
                <w:sz w:val="24"/>
              </w:rPr>
              <w:t>85%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的要求。不达标的，该项不得分。</w:t>
            </w:r>
          </w:p>
        </w:tc>
        <w:tc>
          <w:tcPr>
            <w:tcW w:w="2802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无上报材料要求。</w:t>
            </w: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省中心统计各市行政区划的县（市/区）报告覆盖率情况。</w:t>
            </w:r>
          </w:p>
        </w:tc>
      </w:tr>
    </w:tbl>
    <w:p>
      <w:pPr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三、医疗器械不良事件监测（</w:t>
      </w:r>
      <w:r>
        <w:rPr>
          <w:rFonts w:ascii="Times New Roman" w:hAnsi="Times New Roman" w:eastAsia="黑体" w:cs="Times New Roman"/>
          <w:sz w:val="32"/>
          <w:szCs w:val="32"/>
        </w:rPr>
        <w:t>30</w:t>
      </w:r>
      <w:r>
        <w:rPr>
          <w:rFonts w:hint="eastAsia" w:ascii="Times New Roman" w:hAnsi="Times New Roman" w:eastAsia="黑体" w:cs="黑体"/>
          <w:sz w:val="32"/>
          <w:szCs w:val="32"/>
        </w:rPr>
        <w:t>分）</w:t>
      </w:r>
    </w:p>
    <w:tbl>
      <w:tblPr>
        <w:tblStyle w:val="22"/>
        <w:tblW w:w="9263" w:type="dxa"/>
        <w:jc w:val="center"/>
        <w:tblInd w:w="-3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4961"/>
        <w:gridCol w:w="2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628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考核要点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评分细则</w:t>
            </w:r>
          </w:p>
        </w:tc>
        <w:tc>
          <w:tcPr>
            <w:tcW w:w="2674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上报材料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628" w:type="dxa"/>
            <w:vAlign w:val="center"/>
          </w:tcPr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6.报告质量</w:t>
            </w:r>
          </w:p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（6分）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（9）医疗器械不良事件报告质量，6分。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落实国家中心《可疑医疗器械不良事件报告表》质量评估标准，提高病例报告质量。</w:t>
            </w:r>
          </w:p>
          <w:p>
            <w:pPr>
              <w:spacing w:line="280" w:lineRule="exact"/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如发现存在虚假报告，该项为</w:t>
            </w:r>
            <w:r>
              <w:rPr>
                <w:rFonts w:ascii="Times New Roman" w:hAnsi="Times New Roman" w:eastAsia="仿宋_GB2312"/>
                <w:sz w:val="24"/>
              </w:rPr>
              <w:t>0</w:t>
            </w:r>
            <w:r>
              <w:rPr>
                <w:rFonts w:hint="eastAsia" w:ascii="Times New Roman" w:hAnsi="Times New Roman" w:eastAsia="仿宋_GB2312"/>
                <w:sz w:val="24"/>
              </w:rPr>
              <w:t>分。</w:t>
            </w:r>
          </w:p>
        </w:tc>
        <w:tc>
          <w:tcPr>
            <w:tcW w:w="2674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无上报材料要求。</w:t>
            </w: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省中心随机抽取各市个例报告按国家中心标准开展质量评估评分，计算得分。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628" w:type="dxa"/>
            <w:vAlign w:val="center"/>
          </w:tcPr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7.报告数量</w:t>
            </w:r>
          </w:p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21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分）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（10）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百万人口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150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份的达标要求，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14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百万人口报告数，以</w:t>
            </w:r>
            <w:r>
              <w:rPr>
                <w:rFonts w:ascii="Times New Roman" w:hAnsi="Times New Roman" w:eastAsia="仿宋_GB2312"/>
                <w:sz w:val="24"/>
              </w:rPr>
              <w:t>150</w:t>
            </w:r>
            <w:r>
              <w:rPr>
                <w:rFonts w:hint="eastAsia" w:ascii="Times New Roman" w:hAnsi="Times New Roman" w:eastAsia="仿宋_GB2312"/>
                <w:sz w:val="24"/>
              </w:rPr>
              <w:t>份</w:t>
            </w:r>
            <w:r>
              <w:rPr>
                <w:rFonts w:ascii="Times New Roman" w:hAnsi="Times New Roman" w:eastAsia="仿宋_GB2312"/>
                <w:sz w:val="24"/>
              </w:rPr>
              <w:t>/</w:t>
            </w:r>
            <w:r>
              <w:rPr>
                <w:rFonts w:hint="eastAsia" w:ascii="Times New Roman" w:hAnsi="Times New Roman" w:eastAsia="仿宋_GB2312"/>
                <w:sz w:val="24"/>
              </w:rPr>
              <w:t>百万人口为基础要求，达标得</w:t>
            </w:r>
            <w:r>
              <w:rPr>
                <w:rFonts w:ascii="Times New Roman" w:hAnsi="Times New Roman" w:eastAsia="仿宋_GB2312"/>
                <w:sz w:val="24"/>
              </w:rPr>
              <w:t>14</w:t>
            </w:r>
            <w:r>
              <w:rPr>
                <w:rFonts w:hint="eastAsia" w:ascii="Times New Roman" w:hAnsi="Times New Roman" w:eastAsia="仿宋_GB2312"/>
                <w:sz w:val="24"/>
              </w:rPr>
              <w:t>分。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不达标的，不得分。</w:t>
            </w:r>
          </w:p>
          <w:p>
            <w:pPr>
              <w:widowControl/>
              <w:snapToGrid w:val="0"/>
              <w:spacing w:line="2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（11）报告数量分类统计，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报告总数，3.5分。按各市报告总数</w:t>
            </w:r>
            <w:r>
              <w:rPr>
                <w:rFonts w:hint="eastAsia" w:ascii="Times New Roman" w:hAnsi="Times New Roman" w:eastAsia="仿宋_GB2312"/>
                <w:sz w:val="24"/>
              </w:rPr>
              <w:t>排序</w:t>
            </w:r>
            <w:r>
              <w:rPr>
                <w:rFonts w:ascii="Times New Roman" w:hAnsi="Times New Roman" w:eastAsia="仿宋_GB2312"/>
                <w:sz w:val="24"/>
              </w:rPr>
              <w:t>1-14</w:t>
            </w:r>
            <w:r>
              <w:rPr>
                <w:rFonts w:hint="eastAsia" w:ascii="Times New Roman" w:hAnsi="Times New Roman" w:eastAsia="仿宋_GB2312"/>
                <w:sz w:val="24"/>
              </w:rPr>
              <w:t>名，每个名次递减0.25分，分别得3.5-0.25分。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严重伤害和死亡报告比例，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3.5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分。按各市比例</w:t>
            </w:r>
            <w:r>
              <w:rPr>
                <w:rFonts w:hint="eastAsia" w:ascii="Times New Roman" w:hAnsi="Times New Roman" w:eastAsia="仿宋_GB2312"/>
                <w:sz w:val="24"/>
              </w:rPr>
              <w:t>排序</w:t>
            </w:r>
            <w:r>
              <w:rPr>
                <w:rFonts w:ascii="Times New Roman" w:hAnsi="Times New Roman" w:eastAsia="仿宋_GB2312"/>
                <w:sz w:val="24"/>
              </w:rPr>
              <w:t>1-14</w:t>
            </w:r>
            <w:r>
              <w:rPr>
                <w:rFonts w:hint="eastAsia" w:ascii="Times New Roman" w:hAnsi="Times New Roman" w:eastAsia="仿宋_GB2312"/>
                <w:sz w:val="24"/>
              </w:rPr>
              <w:t>名，每个名次递减</w:t>
            </w:r>
            <w:r>
              <w:rPr>
                <w:rFonts w:ascii="Times New Roman" w:hAnsi="Times New Roman" w:eastAsia="仿宋_GB2312"/>
                <w:sz w:val="24"/>
              </w:rPr>
              <w:t>0.25</w:t>
            </w:r>
            <w:r>
              <w:rPr>
                <w:rFonts w:hint="eastAsia" w:ascii="Times New Roman" w:hAnsi="Times New Roman" w:eastAsia="仿宋_GB2312"/>
                <w:sz w:val="24"/>
              </w:rPr>
              <w:t>分，分别得</w:t>
            </w:r>
            <w:r>
              <w:rPr>
                <w:rFonts w:ascii="Times New Roman" w:hAnsi="Times New Roman" w:eastAsia="仿宋_GB2312"/>
                <w:sz w:val="24"/>
              </w:rPr>
              <w:t>3.5-0.25</w:t>
            </w:r>
            <w:r>
              <w:rPr>
                <w:rFonts w:hint="eastAsia" w:ascii="Times New Roman" w:hAnsi="Times New Roman" w:eastAsia="仿宋_GB2312"/>
                <w:sz w:val="24"/>
              </w:rPr>
              <w:t>分。</w:t>
            </w:r>
          </w:p>
        </w:tc>
        <w:tc>
          <w:tcPr>
            <w:tcW w:w="2674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无上报材料要求。</w:t>
            </w: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省中心统计各市报告数量计算得分。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628" w:type="dxa"/>
            <w:vAlign w:val="center"/>
          </w:tcPr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8.报告覆盖率（3分）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</w:rPr>
              <w:t>（12）年度县（市</w:t>
            </w:r>
            <w:r>
              <w:rPr>
                <w:rFonts w:ascii="Times New Roman" w:hAnsi="Times New Roman" w:eastAsia="仿宋_GB2312"/>
                <w:bCs/>
                <w:sz w:val="24"/>
              </w:rPr>
              <w:t>/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区）报告覆盖率，3分。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</w:rPr>
              <w:t>各市应达到年度县（市</w:t>
            </w:r>
            <w:r>
              <w:rPr>
                <w:rFonts w:ascii="Times New Roman" w:hAnsi="Times New Roman" w:eastAsia="仿宋_GB2312"/>
                <w:bCs/>
                <w:sz w:val="24"/>
              </w:rPr>
              <w:t>/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区）报告覆盖率</w:t>
            </w:r>
            <w:r>
              <w:rPr>
                <w:rFonts w:ascii="Times New Roman" w:hAnsi="Times New Roman" w:eastAsia="仿宋_GB2312"/>
                <w:bCs/>
                <w:sz w:val="24"/>
              </w:rPr>
              <w:t>80%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的要求。不达标的，该项不得分。</w:t>
            </w:r>
          </w:p>
        </w:tc>
        <w:tc>
          <w:tcPr>
            <w:tcW w:w="2674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无上报材料要求。</w:t>
            </w: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省中心统计各市行政区划的县（市/区）报告覆盖率情况。</w:t>
            </w:r>
          </w:p>
        </w:tc>
      </w:tr>
    </w:tbl>
    <w:p>
      <w:pPr>
        <w:ind w:firstLine="640" w:firstLineChars="200"/>
        <w:rPr>
          <w:rFonts w:ascii="Times New Roman" w:hAnsi="Times New Roman" w:eastAsia="黑体" w:cs="黑体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黑体" w:cs="黑体"/>
          <w:sz w:val="32"/>
          <w:szCs w:val="32"/>
        </w:rPr>
      </w:pPr>
    </w:p>
    <w:p>
      <w:pPr>
        <w:ind w:firstLine="640" w:firstLineChars="200"/>
        <w:rPr>
          <w:rFonts w:hint="eastAsia" w:ascii="Times New Roman" w:hAnsi="Times New Roman" w:eastAsia="黑体" w:cs="黑体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四、化妆品不良反应监测（</w:t>
      </w:r>
      <w:r>
        <w:rPr>
          <w:rFonts w:hint="eastAsia" w:ascii="Times New Roman" w:hAnsi="Times New Roman" w:eastAsia="黑体" w:cs="Times New Roman"/>
          <w:sz w:val="32"/>
          <w:szCs w:val="32"/>
        </w:rPr>
        <w:t>20</w:t>
      </w:r>
      <w:r>
        <w:rPr>
          <w:rFonts w:hint="eastAsia" w:ascii="Times New Roman" w:hAnsi="Times New Roman" w:eastAsia="黑体" w:cs="黑体"/>
          <w:sz w:val="32"/>
          <w:szCs w:val="32"/>
        </w:rPr>
        <w:t>分）</w:t>
      </w:r>
    </w:p>
    <w:tbl>
      <w:tblPr>
        <w:tblStyle w:val="22"/>
        <w:tblW w:w="9263" w:type="dxa"/>
        <w:jc w:val="center"/>
        <w:tblInd w:w="-3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4961"/>
        <w:gridCol w:w="2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628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考核要点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评分细则</w:t>
            </w:r>
          </w:p>
        </w:tc>
        <w:tc>
          <w:tcPr>
            <w:tcW w:w="2674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上报材料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628" w:type="dxa"/>
            <w:vAlign w:val="center"/>
          </w:tcPr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9.报告质量</w:t>
            </w:r>
          </w:p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3.5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分）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（13）化妆品不良反应报告质量，3.5分。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根据国家中心工作要求，各市应提高化妆品不良反应监测报告质量。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如发现存在虚假报告，该项为</w:t>
            </w:r>
            <w:r>
              <w:rPr>
                <w:rFonts w:ascii="Times New Roman" w:hAnsi="Times New Roman" w:eastAsia="仿宋_GB2312"/>
                <w:sz w:val="24"/>
              </w:rPr>
              <w:t>0</w:t>
            </w:r>
            <w:r>
              <w:rPr>
                <w:rFonts w:hint="eastAsia" w:ascii="Times New Roman" w:hAnsi="Times New Roman" w:eastAsia="仿宋_GB2312"/>
                <w:sz w:val="24"/>
              </w:rPr>
              <w:t>分。</w:t>
            </w:r>
          </w:p>
        </w:tc>
        <w:tc>
          <w:tcPr>
            <w:tcW w:w="2674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无上报材料要求。</w:t>
            </w: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省中心随机抽取各市个例报告，制定评分标准开展质量评估评分，计算得分。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628" w:type="dxa"/>
            <w:vAlign w:val="center"/>
          </w:tcPr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10.报告数量</w:t>
            </w:r>
          </w:p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.5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分）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（14）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百万人口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份的达标要求，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各市应达到年度每百万人口</w:t>
            </w:r>
            <w:r>
              <w:rPr>
                <w:rFonts w:ascii="Times New Roman" w:hAnsi="Times New Roman" w:eastAsia="仿宋_GB2312"/>
                <w:sz w:val="24"/>
              </w:rPr>
              <w:t>50</w:t>
            </w:r>
            <w:r>
              <w:rPr>
                <w:rFonts w:hint="eastAsia" w:ascii="Times New Roman" w:hAnsi="Times New Roman" w:eastAsia="仿宋_GB2312"/>
                <w:sz w:val="24"/>
              </w:rPr>
              <w:t>份的基础要求，达标得</w:t>
            </w:r>
            <w:r>
              <w:rPr>
                <w:rFonts w:ascii="Times New Roman" w:hAnsi="Times New Roman" w:eastAsia="仿宋_GB2312"/>
                <w:sz w:val="24"/>
              </w:rPr>
              <w:t>1</w:t>
            </w:r>
            <w:r>
              <w:rPr>
                <w:rFonts w:hint="eastAsia" w:ascii="Times New Roman" w:hAnsi="Times New Roman" w:eastAsia="仿宋_GB2312"/>
                <w:sz w:val="24"/>
              </w:rPr>
              <w:t>2分，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不达标的，不得分。</w:t>
            </w:r>
          </w:p>
          <w:p>
            <w:pPr>
              <w:widowControl/>
              <w:snapToGrid w:val="0"/>
              <w:spacing w:line="2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（15）报告数量排名分数，3.5分。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按各市报告总数</w:t>
            </w:r>
            <w:r>
              <w:rPr>
                <w:rFonts w:hint="eastAsia" w:ascii="Times New Roman" w:hAnsi="Times New Roman" w:eastAsia="仿宋_GB2312"/>
                <w:sz w:val="24"/>
              </w:rPr>
              <w:t>排序</w:t>
            </w:r>
            <w:r>
              <w:rPr>
                <w:rFonts w:ascii="Times New Roman" w:hAnsi="Times New Roman" w:eastAsia="仿宋_GB2312"/>
                <w:sz w:val="24"/>
              </w:rPr>
              <w:t>1-14</w:t>
            </w:r>
            <w:r>
              <w:rPr>
                <w:rFonts w:hint="eastAsia" w:ascii="Times New Roman" w:hAnsi="Times New Roman" w:eastAsia="仿宋_GB2312"/>
                <w:sz w:val="24"/>
              </w:rPr>
              <w:t>名，每个名次递减0.25分，分别得3.5-0.25分。</w:t>
            </w:r>
          </w:p>
        </w:tc>
        <w:tc>
          <w:tcPr>
            <w:tcW w:w="2674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无上报材料要求。</w:t>
            </w: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省中心统计各市报告数量计算得分。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628" w:type="dxa"/>
            <w:vAlign w:val="center"/>
          </w:tcPr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11.化妆品宣传（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分）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（16）宣传，1分。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根据国家局和省局要求，各市开展“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.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25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爱肤日化妆品宣传”等工作得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分，未开展的，不得分。</w:t>
            </w:r>
          </w:p>
        </w:tc>
        <w:tc>
          <w:tcPr>
            <w:tcW w:w="2674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按工作要求提交宣传总结。</w:t>
            </w:r>
          </w:p>
        </w:tc>
      </w:tr>
    </w:tbl>
    <w:p>
      <w:pPr>
        <w:ind w:firstLine="640" w:firstLineChars="200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五、药物滥用监测（</w:t>
      </w:r>
      <w:r>
        <w:rPr>
          <w:rFonts w:hint="eastAsia" w:ascii="Times New Roman" w:hAnsi="Times New Roman" w:eastAsia="黑体" w:cs="Times New Roman"/>
          <w:sz w:val="32"/>
          <w:szCs w:val="32"/>
        </w:rPr>
        <w:t>5</w:t>
      </w:r>
      <w:r>
        <w:rPr>
          <w:rFonts w:hint="eastAsia" w:ascii="Times New Roman" w:hAnsi="Times New Roman" w:eastAsia="黑体" w:cs="黑体"/>
          <w:sz w:val="32"/>
          <w:szCs w:val="32"/>
        </w:rPr>
        <w:t>分）</w:t>
      </w:r>
    </w:p>
    <w:tbl>
      <w:tblPr>
        <w:tblStyle w:val="22"/>
        <w:tblW w:w="9263" w:type="dxa"/>
        <w:jc w:val="center"/>
        <w:tblInd w:w="-3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4961"/>
        <w:gridCol w:w="2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628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考核要点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评分细则</w:t>
            </w:r>
          </w:p>
        </w:tc>
        <w:tc>
          <w:tcPr>
            <w:tcW w:w="2674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上报材料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628" w:type="dxa"/>
            <w:vAlign w:val="center"/>
          </w:tcPr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12.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基础性工作（1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.5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分）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（17）开展药物滥用监测工作，1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.5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各市继续落实药物滥用监测工作持续性开展，得1.5分。未开展工作，不得分。</w:t>
            </w:r>
          </w:p>
        </w:tc>
        <w:tc>
          <w:tcPr>
            <w:tcW w:w="2674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《年度总结和计划》中应包括：药物滥用监测工作年度规划、具体举措和工作成效等内容。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628" w:type="dxa"/>
            <w:vAlign w:val="center"/>
          </w:tcPr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13.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报告数量</w:t>
            </w:r>
          </w:p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3.5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分）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（18）药物滥用监测调查表数量，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3.5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按各市年度提交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“药物滥用监测调查表”有效数量排序</w:t>
            </w:r>
            <w:r>
              <w:rPr>
                <w:rFonts w:ascii="Times New Roman" w:hAnsi="Times New Roman" w:eastAsia="仿宋_GB2312"/>
                <w:sz w:val="24"/>
              </w:rPr>
              <w:t>1-14</w:t>
            </w:r>
            <w:r>
              <w:rPr>
                <w:rFonts w:hint="eastAsia" w:ascii="Times New Roman" w:hAnsi="Times New Roman" w:eastAsia="仿宋_GB2312"/>
                <w:sz w:val="24"/>
              </w:rPr>
              <w:t>名，每个名次递减0.25分，分别得3.5-0.25分。</w:t>
            </w:r>
          </w:p>
        </w:tc>
        <w:tc>
          <w:tcPr>
            <w:tcW w:w="2674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无上报材料要求。</w:t>
            </w: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省中心统计各市报告数量计算得分。</w:t>
            </w:r>
          </w:p>
        </w:tc>
      </w:tr>
    </w:tbl>
    <w:p>
      <w:pPr>
        <w:ind w:firstLine="640" w:firstLineChars="200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六、工作总结和分析评价报告（</w:t>
      </w:r>
      <w:r>
        <w:rPr>
          <w:rFonts w:ascii="Times New Roman" w:hAnsi="Times New Roman" w:eastAsia="黑体" w:cs="Times New Roman"/>
          <w:sz w:val="32"/>
          <w:szCs w:val="32"/>
        </w:rPr>
        <w:t>5</w:t>
      </w:r>
      <w:r>
        <w:rPr>
          <w:rFonts w:hint="eastAsia" w:ascii="Times New Roman" w:hAnsi="Times New Roman" w:eastAsia="黑体" w:cs="黑体"/>
          <w:sz w:val="32"/>
          <w:szCs w:val="32"/>
        </w:rPr>
        <w:t>分）</w:t>
      </w:r>
    </w:p>
    <w:tbl>
      <w:tblPr>
        <w:tblStyle w:val="22"/>
        <w:tblW w:w="9263" w:type="dxa"/>
        <w:jc w:val="center"/>
        <w:tblInd w:w="-3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4961"/>
        <w:gridCol w:w="2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628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考核要点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评分细则</w:t>
            </w:r>
          </w:p>
        </w:tc>
        <w:tc>
          <w:tcPr>
            <w:tcW w:w="2674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上报材料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628" w:type="dxa"/>
            <w:vAlign w:val="center"/>
          </w:tcPr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14.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工作总结和计划</w:t>
            </w:r>
          </w:p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分）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（19）《年度总结和计划》，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各市应针对年度工作进行总结，并对下一年工作制定规划，保证监测工作持续性开展。</w:t>
            </w:r>
          </w:p>
        </w:tc>
        <w:tc>
          <w:tcPr>
            <w:tcW w:w="2674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11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日前上报年度工作总结和下一年工作计划。</w:t>
            </w: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628" w:type="dxa"/>
            <w:vAlign w:val="center"/>
          </w:tcPr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15.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分析报告</w:t>
            </w:r>
          </w:p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分）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（20）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AEFI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季度分析报告，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根据《全国疑似预防接种异常反应监测方案》，各市应统计</w:t>
            </w:r>
            <w:r>
              <w:rPr>
                <w:rFonts w:ascii="Times New Roman" w:hAnsi="Times New Roman" w:eastAsia="仿宋_GB2312"/>
                <w:sz w:val="24"/>
              </w:rPr>
              <w:t>“</w:t>
            </w:r>
            <w:r>
              <w:rPr>
                <w:rFonts w:hint="eastAsia" w:ascii="Times New Roman" w:hAnsi="Times New Roman" w:eastAsia="仿宋_GB2312"/>
                <w:sz w:val="24"/>
              </w:rPr>
              <w:t>中国免疫规划信息管理系统</w:t>
            </w:r>
            <w:r>
              <w:rPr>
                <w:rFonts w:ascii="Times New Roman" w:hAnsi="Times New Roman" w:eastAsia="仿宋_GB2312"/>
                <w:sz w:val="24"/>
              </w:rPr>
              <w:t>”AEFI</w:t>
            </w:r>
            <w:r>
              <w:rPr>
                <w:rFonts w:hint="eastAsia" w:ascii="Times New Roman" w:hAnsi="Times New Roman" w:eastAsia="仿宋_GB2312"/>
                <w:sz w:val="24"/>
              </w:rPr>
              <w:t>监测数据，每季度第</w:t>
            </w:r>
            <w:r>
              <w:rPr>
                <w:rFonts w:ascii="Times New Roman" w:hAnsi="Times New Roman" w:eastAsia="仿宋_GB2312"/>
                <w:sz w:val="24"/>
              </w:rPr>
              <w:t>1</w:t>
            </w:r>
            <w:r>
              <w:rPr>
                <w:rFonts w:hint="eastAsia" w:ascii="Times New Roman" w:hAnsi="Times New Roman" w:eastAsia="仿宋_GB2312"/>
                <w:sz w:val="24"/>
              </w:rPr>
              <w:t>个月末前完成上一季度《疫苗安全性监测与评价季度分析报告》，每个季度报告</w:t>
            </w:r>
            <w:r>
              <w:rPr>
                <w:rFonts w:ascii="Times New Roman" w:hAnsi="Times New Roman" w:eastAsia="仿宋_GB2312"/>
                <w:sz w:val="24"/>
              </w:rPr>
              <w:t>0.5</w:t>
            </w:r>
            <w:r>
              <w:rPr>
                <w:rFonts w:hint="eastAsia" w:ascii="Times New Roman" w:hAnsi="Times New Roman" w:eastAsia="仿宋_GB2312"/>
                <w:sz w:val="24"/>
              </w:rPr>
              <w:t>分，超时限报告不得分。</w:t>
            </w:r>
          </w:p>
        </w:tc>
        <w:tc>
          <w:tcPr>
            <w:tcW w:w="2674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按时限上报</w:t>
            </w:r>
            <w:r>
              <w:rPr>
                <w:rFonts w:ascii="Times New Roman" w:hAnsi="Times New Roman" w:eastAsia="仿宋_GB2312"/>
                <w:sz w:val="24"/>
              </w:rPr>
              <w:t>4</w:t>
            </w:r>
            <w:r>
              <w:rPr>
                <w:rFonts w:hint="eastAsia" w:ascii="Times New Roman" w:hAnsi="Times New Roman" w:eastAsia="仿宋_GB2312"/>
                <w:sz w:val="24"/>
              </w:rPr>
              <w:t>个季度分析报告。</w:t>
            </w:r>
          </w:p>
        </w:tc>
      </w:tr>
    </w:tbl>
    <w:p>
      <w:pPr>
        <w:ind w:firstLine="640" w:firstLineChars="200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七、加分项：能力建设和专项工作（</w:t>
      </w:r>
      <w:r>
        <w:rPr>
          <w:rFonts w:ascii="Times New Roman" w:hAnsi="Times New Roman" w:eastAsia="黑体" w:cs="Times New Roman"/>
          <w:sz w:val="32"/>
          <w:szCs w:val="32"/>
        </w:rPr>
        <w:t>20</w:t>
      </w:r>
      <w:r>
        <w:rPr>
          <w:rFonts w:hint="eastAsia" w:ascii="Times New Roman" w:hAnsi="Times New Roman" w:eastAsia="黑体" w:cs="黑体"/>
          <w:sz w:val="32"/>
          <w:szCs w:val="32"/>
        </w:rPr>
        <w:t>分）</w:t>
      </w:r>
    </w:p>
    <w:tbl>
      <w:tblPr>
        <w:tblStyle w:val="22"/>
        <w:tblW w:w="9263" w:type="dxa"/>
        <w:jc w:val="center"/>
        <w:tblInd w:w="-3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4961"/>
        <w:gridCol w:w="2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628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考核要点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评分细则</w:t>
            </w:r>
          </w:p>
        </w:tc>
        <w:tc>
          <w:tcPr>
            <w:tcW w:w="2674" w:type="dxa"/>
            <w:vAlign w:val="center"/>
          </w:tcPr>
          <w:p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szCs w:val="24"/>
              </w:rPr>
              <w:t>上报材料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628" w:type="dxa"/>
            <w:vAlign w:val="center"/>
          </w:tcPr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Ⅰ.分析评价和能力建设</w:t>
            </w:r>
          </w:p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2分）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（21）聚集性信号发现和处理，7分。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各市应在各项监测工作中培养发现风险的敏感性，提高处置应急事件的能力。各市提出的产品风险信号，每例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分；聚集性事件处置，每例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分；死亡病例调查，每例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0.5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分；超时限报告不得分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化妆品不良反应严重病例调查，每例0.5分。满分7分。</w:t>
            </w: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（22）各市局开展药品生产企业（指在产的药品制剂企业）药品不良反应报告和监测检查，3分。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检查覆盖率达20（含）%加1分,达30%（含）加2分，达30%（含）以上的加3分。</w:t>
            </w: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（23）医疗器械不良事件重点监测，2分。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根据省局和省中心工作部署和安排，沟通协调监测哨点开展有关工作，完成医疗器械不良事件重点监测工作品种分析报告等工作，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</w:tc>
        <w:tc>
          <w:tcPr>
            <w:tcW w:w="2674" w:type="dxa"/>
            <w:vAlign w:val="center"/>
          </w:tcPr>
          <w:p>
            <w:pPr>
              <w:snapToGrid w:val="0"/>
              <w:spacing w:line="3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instrText xml:space="preserve"> = 1 \* GB3 </w:instrTex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①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经省中心确认的风险信号，上报分析报告。</w:t>
            </w:r>
          </w:p>
          <w:p>
            <w:pPr>
              <w:snapToGrid w:val="0"/>
              <w:spacing w:line="3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instrText xml:space="preserve"> = 2 \* GB3 </w:instrTex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聚集性事件调查和处置报告，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个工作日完成上报。</w:t>
            </w:r>
          </w:p>
          <w:p>
            <w:pPr>
              <w:snapToGrid w:val="0"/>
              <w:spacing w:line="3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instrText xml:space="preserve"> = 3 \* GB3 </w:instrTex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③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死亡病例调查报告，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u w:val="none"/>
              </w:rPr>
              <w:t>自获知之日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起7个工作日完成上报。</w:t>
            </w: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instrText xml:space="preserve"> = 4 \* GB3 </w:instrTex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④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药品生产企业药品不良报告和监测检查工作情况报告。</w:t>
            </w:r>
          </w:p>
          <w:p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⑤医疗器械不良事件重点监测分析报告，按方案要求时限提交。</w:t>
            </w:r>
          </w:p>
          <w:p>
            <w:pP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628" w:type="dxa"/>
            <w:vAlign w:val="center"/>
          </w:tcPr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Ⅱ.药物滥用监测推进工作（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分）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（24）药物滥用监测哨点医疗机构建设，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根据国家中心部署和国家“十三五”规划，建立药物滥用监测哨点医院。得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（25）药物滥用监测宣传工作，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各市根据地区实际情况开展药物滥用监测宣传，得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</w:tc>
        <w:tc>
          <w:tcPr>
            <w:tcW w:w="2674" w:type="dxa"/>
            <w:vAlign w:val="center"/>
          </w:tcPr>
          <w:p>
            <w:pPr>
              <w:snapToGrid w:val="0"/>
              <w:spacing w:line="3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instrText xml:space="preserve"> = 1 \* GB3 </w:instrTex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①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年内完成的建立哨点医院申报和批复资料。</w:t>
            </w:r>
          </w:p>
          <w:p>
            <w:pPr>
              <w:snapToGrid w:val="0"/>
              <w:spacing w:line="30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instrText xml:space="preserve"> = 2 \* GB3 </w:instrTex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年度工作总结和计划中包括：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开展药物滥用宣传情况。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628" w:type="dxa"/>
            <w:vAlign w:val="center"/>
          </w:tcPr>
          <w:p>
            <w:pPr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Ⅲ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.专项工作或临时性工作（6分）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（26）专项或临时性工作，6分。</w:t>
            </w:r>
          </w:p>
          <w:p>
            <w:pPr>
              <w:widowControl/>
              <w:snapToGrid w:val="0"/>
              <w:spacing w:line="280" w:lineRule="exact"/>
              <w:ind w:firstLine="480" w:firstLineChars="200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参与省局或省中心的其他专项工作，省中心根据实际情况，酌情给予每项工作2-3分。满分后不再加分。</w:t>
            </w:r>
          </w:p>
        </w:tc>
        <w:tc>
          <w:tcPr>
            <w:tcW w:w="2674" w:type="dxa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各市根据工作实际情况上报材料。</w:t>
            </w:r>
          </w:p>
          <w:p>
            <w:pPr>
              <w:widowControl/>
              <w:snapToGrid w:val="0"/>
              <w:spacing w:line="280" w:lineRule="exac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省局、省中心记录汇总。</w:t>
            </w:r>
          </w:p>
        </w:tc>
      </w:tr>
    </w:tbl>
    <w:p>
      <w:pPr>
        <w:ind w:firstLine="560" w:firstLineChars="200"/>
        <w:rPr>
          <w:rFonts w:ascii="宋体" w:hAnsi="宋体" w:cs="黑体"/>
          <w:sz w:val="28"/>
          <w:szCs w:val="28"/>
        </w:rPr>
      </w:pPr>
      <w:r>
        <w:rPr>
          <w:rFonts w:hint="eastAsia" w:ascii="宋体" w:hAnsi="宋体" w:cs="黑体"/>
          <w:sz w:val="28"/>
          <w:szCs w:val="28"/>
        </w:rPr>
        <w:t>说明：</w:t>
      </w:r>
    </w:p>
    <w:p>
      <w:pPr>
        <w:ind w:firstLine="560" w:firstLineChars="200"/>
        <w:rPr>
          <w:rFonts w:ascii="宋体" w:hAnsi="宋体" w:cs="黑体"/>
          <w:sz w:val="28"/>
          <w:szCs w:val="28"/>
        </w:rPr>
      </w:pPr>
      <w:r>
        <w:rPr>
          <w:rFonts w:ascii="宋体" w:hAnsi="宋体" w:cs="黑体"/>
          <w:sz w:val="28"/>
          <w:szCs w:val="28"/>
        </w:rPr>
        <w:t>1.</w:t>
      </w:r>
      <w:r>
        <w:rPr>
          <w:rFonts w:hint="eastAsia" w:ascii="宋体" w:hAnsi="宋体" w:cs="黑体"/>
          <w:sz w:val="28"/>
          <w:szCs w:val="28"/>
        </w:rPr>
        <w:t>各项监测工作报告数量和报告覆盖率相关指标以</w:t>
      </w:r>
      <w:r>
        <w:rPr>
          <w:rFonts w:ascii="宋体" w:hAnsi="宋体" w:cs="黑体"/>
          <w:sz w:val="28"/>
          <w:szCs w:val="28"/>
        </w:rPr>
        <w:t>2019年1月1日至2019年12月31日</w:t>
      </w:r>
      <w:r>
        <w:rPr>
          <w:rFonts w:hint="eastAsia" w:ascii="宋体" w:hAnsi="宋体" w:cs="黑体"/>
          <w:sz w:val="28"/>
          <w:szCs w:val="28"/>
        </w:rPr>
        <w:t>为统计时间。</w:t>
      </w:r>
    </w:p>
    <w:p>
      <w:pPr>
        <w:ind w:firstLine="560" w:firstLineChars="200"/>
        <w:rPr>
          <w:rFonts w:ascii="宋体" w:hAnsi="宋体" w:cs="黑体"/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ascii="宋体" w:hAnsi="宋体" w:cs="黑体"/>
          <w:sz w:val="28"/>
          <w:szCs w:val="28"/>
        </w:rPr>
        <w:t>.</w:t>
      </w:r>
      <w:r>
        <w:rPr>
          <w:rFonts w:hint="eastAsia" w:ascii="宋体" w:hAnsi="宋体" w:cs="黑体"/>
          <w:sz w:val="28"/>
          <w:szCs w:val="28"/>
          <w:lang w:eastAsia="zh-CN"/>
        </w:rPr>
        <w:t>评估标准</w:t>
      </w:r>
      <w:r>
        <w:rPr>
          <w:rFonts w:hint="eastAsia" w:ascii="宋体" w:hAnsi="宋体" w:cs="黑体"/>
          <w:sz w:val="28"/>
          <w:szCs w:val="28"/>
        </w:rPr>
        <w:t>中有明确时间要求和根据事件发生、调查等情况及时上报的应按时间要求上报，其余资料请与《年度总结和计划》同时于</w:t>
      </w:r>
      <w:r>
        <w:rPr>
          <w:rFonts w:ascii="宋体" w:hAnsi="宋体" w:cs="黑体"/>
          <w:sz w:val="28"/>
          <w:szCs w:val="28"/>
        </w:rPr>
        <w:t>11月</w:t>
      </w:r>
      <w:r>
        <w:rPr>
          <w:rFonts w:hint="eastAsia" w:ascii="宋体" w:hAnsi="宋体" w:cs="黑体"/>
          <w:sz w:val="28"/>
          <w:szCs w:val="28"/>
          <w:lang w:val="en-US" w:eastAsia="zh-CN"/>
        </w:rPr>
        <w:t>30</w:t>
      </w:r>
      <w:r>
        <w:rPr>
          <w:rFonts w:ascii="宋体" w:hAnsi="宋体" w:cs="黑体"/>
          <w:sz w:val="28"/>
          <w:szCs w:val="28"/>
        </w:rPr>
        <w:t>日</w:t>
      </w:r>
      <w:r>
        <w:rPr>
          <w:rFonts w:hint="eastAsia" w:ascii="宋体" w:hAnsi="宋体" w:cs="黑体"/>
          <w:sz w:val="28"/>
          <w:szCs w:val="28"/>
        </w:rPr>
        <w:t>17:00</w:t>
      </w:r>
      <w:r>
        <w:rPr>
          <w:rFonts w:ascii="宋体" w:hAnsi="宋体" w:cs="黑体"/>
          <w:sz w:val="28"/>
          <w:szCs w:val="28"/>
        </w:rPr>
        <w:t>之前</w:t>
      </w:r>
      <w:r>
        <w:rPr>
          <w:rFonts w:hint="eastAsia" w:ascii="宋体" w:hAnsi="宋体" w:cs="黑体"/>
          <w:sz w:val="28"/>
          <w:szCs w:val="28"/>
        </w:rPr>
        <w:t>提交。</w:t>
      </w:r>
      <w:bookmarkEnd w:id="0"/>
    </w:p>
    <w:p>
      <w:pPr>
        <w:ind w:firstLine="560" w:firstLineChars="200"/>
        <w:rPr>
          <w:rStyle w:val="29"/>
          <w:rFonts w:cs="黑体"/>
          <w:color w:val="auto"/>
          <w:u w:val="none"/>
        </w:rPr>
      </w:pPr>
      <w:r>
        <w:rPr>
          <w:rFonts w:ascii="宋体" w:hAnsi="宋体" w:cs="黑体"/>
          <w:sz w:val="28"/>
          <w:szCs w:val="28"/>
        </w:rPr>
        <w:t>3</w:t>
      </w:r>
      <w:r>
        <w:rPr>
          <w:rFonts w:hint="eastAsia" w:ascii="宋体" w:hAnsi="宋体" w:cs="黑体"/>
          <w:sz w:val="28"/>
          <w:szCs w:val="28"/>
        </w:rPr>
        <w:t>.省中心汇总各市上报材料，完成</w:t>
      </w:r>
      <w:r>
        <w:rPr>
          <w:rFonts w:hint="eastAsia" w:ascii="宋体" w:hAnsi="宋体" w:cs="黑体"/>
          <w:sz w:val="28"/>
          <w:szCs w:val="28"/>
          <w:lang w:eastAsia="zh-CN"/>
        </w:rPr>
        <w:t>评估后</w:t>
      </w:r>
      <w:r>
        <w:rPr>
          <w:rFonts w:hint="eastAsia" w:ascii="宋体" w:hAnsi="宋体" w:cs="黑体"/>
          <w:sz w:val="28"/>
          <w:szCs w:val="28"/>
        </w:rPr>
        <w:t>报省药监局。各市上报</w:t>
      </w:r>
      <w:r>
        <w:fldChar w:fldCharType="begin"/>
      </w:r>
      <w:r>
        <w:instrText xml:space="preserve"> HYPERLINK "mailto:所有材料均可以电子版或电子扫描件发送至省中心邮箱liaoning@adrs.org.cn" </w:instrText>
      </w:r>
      <w:r>
        <w:fldChar w:fldCharType="separate"/>
      </w:r>
      <w:r>
        <w:rPr>
          <w:rStyle w:val="29"/>
          <w:rFonts w:hint="eastAsia" w:ascii="宋体" w:hAnsi="宋体" w:cs="黑体"/>
          <w:color w:val="auto"/>
          <w:sz w:val="28"/>
          <w:szCs w:val="28"/>
          <w:u w:val="none"/>
        </w:rPr>
        <w:t>所有材料均可以电子版或电子扫描件一次性统一发送至省中心邮箱</w:t>
      </w:r>
      <w:r>
        <w:rPr>
          <w:rStyle w:val="29"/>
          <w:rFonts w:ascii="宋体" w:hAnsi="宋体" w:cs="黑体"/>
          <w:color w:val="auto"/>
          <w:sz w:val="28"/>
          <w:szCs w:val="28"/>
          <w:u w:val="none"/>
        </w:rPr>
        <w:t>liaoning@adrs.org.cn</w:t>
      </w:r>
      <w:r>
        <w:rPr>
          <w:rStyle w:val="29"/>
          <w:rFonts w:ascii="宋体" w:hAnsi="宋体" w:cs="黑体"/>
          <w:color w:val="auto"/>
          <w:sz w:val="28"/>
          <w:szCs w:val="28"/>
          <w:u w:val="none"/>
        </w:rPr>
        <w:fldChar w:fldCharType="end"/>
      </w:r>
      <w:r>
        <w:rPr>
          <w:rStyle w:val="29"/>
          <w:rFonts w:hint="eastAsia" w:ascii="宋体" w:hAnsi="宋体" w:cs="黑体"/>
          <w:color w:val="auto"/>
          <w:sz w:val="28"/>
          <w:szCs w:val="28"/>
          <w:u w:val="none"/>
        </w:rPr>
        <w:t>。电子版材料要对应</w:t>
      </w:r>
      <w:r>
        <w:rPr>
          <w:rStyle w:val="29"/>
          <w:rFonts w:hint="eastAsia" w:ascii="宋体" w:hAnsi="宋体" w:cs="黑体"/>
          <w:color w:val="auto"/>
          <w:sz w:val="28"/>
          <w:szCs w:val="28"/>
          <w:u w:val="none"/>
          <w:lang w:eastAsia="zh-CN"/>
        </w:rPr>
        <w:t>评估</w:t>
      </w:r>
      <w:r>
        <w:rPr>
          <w:rStyle w:val="29"/>
          <w:rFonts w:hint="eastAsia" w:ascii="宋体" w:hAnsi="宋体" w:cs="黑体"/>
          <w:color w:val="auto"/>
          <w:sz w:val="28"/>
          <w:szCs w:val="28"/>
          <w:u w:val="none"/>
        </w:rPr>
        <w:t>要点，将材料放在相应文件夹内，文件夹命名为“**</w:t>
      </w:r>
      <w:r>
        <w:rPr>
          <w:rStyle w:val="29"/>
          <w:rFonts w:ascii="宋体" w:hAnsi="宋体" w:cs="黑体"/>
          <w:color w:val="auto"/>
          <w:sz w:val="28"/>
          <w:szCs w:val="28"/>
          <w:u w:val="none"/>
        </w:rPr>
        <w:t>市</w:t>
      </w:r>
      <w:r>
        <w:rPr>
          <w:rStyle w:val="29"/>
          <w:rFonts w:hint="eastAsia" w:ascii="宋体" w:hAnsi="宋体" w:cs="黑体"/>
          <w:color w:val="auto"/>
          <w:sz w:val="28"/>
          <w:szCs w:val="28"/>
          <w:u w:val="none"/>
        </w:rPr>
        <w:t>2019年监测工作</w:t>
      </w:r>
      <w:r>
        <w:rPr>
          <w:rStyle w:val="29"/>
          <w:rFonts w:hint="eastAsia" w:ascii="宋体" w:hAnsi="宋体" w:cs="黑体"/>
          <w:color w:val="auto"/>
          <w:sz w:val="28"/>
          <w:szCs w:val="28"/>
          <w:u w:val="none"/>
          <w:lang w:eastAsia="zh-CN"/>
        </w:rPr>
        <w:t>评估</w:t>
      </w:r>
      <w:r>
        <w:rPr>
          <w:rStyle w:val="29"/>
          <w:rFonts w:hint="eastAsia" w:ascii="宋体" w:hAnsi="宋体" w:cs="黑体"/>
          <w:color w:val="auto"/>
          <w:sz w:val="28"/>
          <w:szCs w:val="28"/>
          <w:u w:val="none"/>
        </w:rPr>
        <w:t>材料”，文件命名为“**</w:t>
      </w:r>
      <w:r>
        <w:rPr>
          <w:rStyle w:val="29"/>
          <w:rFonts w:ascii="宋体" w:hAnsi="宋体" w:cs="黑体"/>
          <w:color w:val="auto"/>
          <w:sz w:val="28"/>
          <w:szCs w:val="28"/>
          <w:u w:val="none"/>
        </w:rPr>
        <w:t>市</w:t>
      </w:r>
      <w:r>
        <w:rPr>
          <w:rStyle w:val="29"/>
          <w:rFonts w:hint="eastAsia" w:ascii="宋体" w:hAnsi="宋体" w:cs="黑体"/>
          <w:color w:val="auto"/>
          <w:sz w:val="28"/>
          <w:szCs w:val="28"/>
          <w:u w:val="none"/>
        </w:rPr>
        <w:t>2019年监测工作</w:t>
      </w:r>
      <w:bookmarkStart w:id="1" w:name="_GoBack"/>
      <w:bookmarkEnd w:id="1"/>
      <w:r>
        <w:rPr>
          <w:rStyle w:val="29"/>
          <w:rFonts w:hint="eastAsia" w:ascii="宋体" w:hAnsi="宋体" w:cs="黑体"/>
          <w:color w:val="auto"/>
          <w:sz w:val="28"/>
          <w:szCs w:val="28"/>
          <w:u w:val="none"/>
          <w:lang w:eastAsia="zh-CN"/>
        </w:rPr>
        <w:t>评估</w:t>
      </w:r>
      <w:r>
        <w:rPr>
          <w:rStyle w:val="29"/>
          <w:rFonts w:hint="eastAsia" w:ascii="宋体" w:hAnsi="宋体" w:cs="黑体"/>
          <w:color w:val="auto"/>
          <w:sz w:val="28"/>
          <w:szCs w:val="28"/>
          <w:u w:val="none"/>
        </w:rPr>
        <w:t>材料+</w:t>
      </w:r>
      <w:r>
        <w:rPr>
          <w:rStyle w:val="29"/>
          <w:rFonts w:hint="eastAsia" w:ascii="宋体" w:hAnsi="宋体" w:cs="黑体"/>
          <w:color w:val="auto"/>
          <w:sz w:val="28"/>
          <w:szCs w:val="28"/>
          <w:u w:val="none"/>
          <w:lang w:eastAsia="zh-CN"/>
        </w:rPr>
        <w:t>标准</w:t>
      </w:r>
      <w:r>
        <w:rPr>
          <w:rStyle w:val="29"/>
          <w:rFonts w:hint="eastAsia" w:ascii="宋体" w:hAnsi="宋体" w:cs="黑体"/>
          <w:color w:val="auto"/>
          <w:sz w:val="28"/>
          <w:szCs w:val="28"/>
          <w:u w:val="none"/>
        </w:rPr>
        <w:t>要点名称”。</w:t>
      </w:r>
      <w:r>
        <w:rPr>
          <w:rStyle w:val="29"/>
          <w:rFonts w:cs="黑体"/>
          <w:color w:val="auto"/>
          <w:u w:val="none"/>
        </w:rPr>
        <w:t xml:space="preserve"> </w:t>
      </w:r>
    </w:p>
    <w:p>
      <w:pPr>
        <w:ind w:firstLine="560" w:firstLineChars="200"/>
        <w:rPr>
          <w:rFonts w:ascii="宋体" w:hAnsi="宋体" w:cs="黑体"/>
          <w:sz w:val="28"/>
          <w:szCs w:val="28"/>
        </w:rPr>
      </w:pPr>
      <w:r>
        <w:rPr>
          <w:rFonts w:hint="eastAsia" w:ascii="宋体" w:hAnsi="宋体" w:cs="黑体"/>
          <w:sz w:val="28"/>
          <w:szCs w:val="28"/>
        </w:rPr>
        <w:t>4.</w:t>
      </w:r>
      <w:r>
        <w:rPr>
          <w:rFonts w:hint="eastAsia" w:ascii="宋体" w:hAnsi="宋体" w:cs="黑体"/>
          <w:sz w:val="28"/>
          <w:szCs w:val="28"/>
          <w:lang w:eastAsia="zh-CN"/>
        </w:rPr>
        <w:t>评估</w:t>
      </w:r>
      <w:r>
        <w:rPr>
          <w:rFonts w:hint="eastAsia" w:ascii="宋体" w:hAnsi="宋体" w:cs="黑体"/>
          <w:sz w:val="28"/>
          <w:szCs w:val="28"/>
        </w:rPr>
        <w:t>合格分数为65分；总分低于65分，年度监测工作</w:t>
      </w:r>
      <w:r>
        <w:rPr>
          <w:rFonts w:hint="eastAsia" w:ascii="宋体" w:hAnsi="宋体" w:cs="黑体"/>
          <w:sz w:val="28"/>
          <w:szCs w:val="28"/>
          <w:lang w:eastAsia="zh-CN"/>
        </w:rPr>
        <w:t>评估</w:t>
      </w:r>
      <w:r>
        <w:rPr>
          <w:rFonts w:hint="eastAsia" w:ascii="宋体" w:hAnsi="宋体" w:cs="黑体"/>
          <w:sz w:val="28"/>
          <w:szCs w:val="28"/>
        </w:rPr>
        <w:t>不合格。</w:t>
      </w:r>
    </w:p>
    <w:p>
      <w:pPr>
        <w:ind w:firstLine="560" w:firstLineChars="200"/>
        <w:rPr>
          <w:rFonts w:ascii="宋体" w:cs="黑体"/>
          <w:sz w:val="24"/>
          <w:szCs w:val="24"/>
        </w:rPr>
      </w:pPr>
      <w:r>
        <w:rPr>
          <w:rFonts w:hint="eastAsia" w:ascii="宋体" w:hAnsi="宋体" w:cs="黑体"/>
          <w:sz w:val="28"/>
          <w:szCs w:val="28"/>
        </w:rPr>
        <w:t>5.省认证审评院（省中心）受省药监局委托，对各市监测工作开展</w:t>
      </w:r>
      <w:r>
        <w:rPr>
          <w:rFonts w:hint="eastAsia" w:ascii="宋体" w:hAnsi="宋体" w:cs="黑体"/>
          <w:sz w:val="28"/>
          <w:szCs w:val="28"/>
          <w:lang w:eastAsia="zh-CN"/>
        </w:rPr>
        <w:t>评估</w:t>
      </w:r>
      <w:r>
        <w:rPr>
          <w:rFonts w:hint="eastAsia" w:ascii="宋体" w:hAnsi="宋体" w:cs="黑体"/>
          <w:sz w:val="28"/>
          <w:szCs w:val="28"/>
        </w:rPr>
        <w:t>，</w:t>
      </w:r>
      <w:r>
        <w:rPr>
          <w:rFonts w:hint="eastAsia" w:ascii="宋体" w:hAnsi="宋体" w:cs="黑体"/>
          <w:sz w:val="28"/>
          <w:szCs w:val="28"/>
          <w:lang w:eastAsia="zh-CN"/>
        </w:rPr>
        <w:t>对于评估不合格的</w:t>
      </w:r>
      <w:r>
        <w:rPr>
          <w:rFonts w:hint="eastAsia" w:ascii="宋体" w:hAnsi="宋体" w:cs="黑体"/>
          <w:sz w:val="28"/>
          <w:szCs w:val="28"/>
        </w:rPr>
        <w:t>由省局通报各市政府。</w:t>
      </w:r>
    </w:p>
    <w:sectPr>
      <w:footerReference r:id="rId3" w:type="default"/>
      <w:pgSz w:w="11906" w:h="16838"/>
      <w:pgMar w:top="1758" w:right="1531" w:bottom="1588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  <w:r>
      <w:rPr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5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  <w:r>
      <w:rPr>
        <w:rFonts w:ascii="Times New Roman" w:hAnsi="Times New Roman"/>
        <w:color w:val="FFFFFF"/>
        <w:sz w:val="28"/>
        <w:szCs w:val="28"/>
      </w:rPr>
      <w:t>—</w:t>
    </w:r>
  </w:p>
  <w:p>
    <w:pPr>
      <w:pStyle w:val="1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14D"/>
    <w:rsid w:val="0000099B"/>
    <w:rsid w:val="00005875"/>
    <w:rsid w:val="0001109A"/>
    <w:rsid w:val="00025303"/>
    <w:rsid w:val="0003614D"/>
    <w:rsid w:val="00052EE9"/>
    <w:rsid w:val="000553F4"/>
    <w:rsid w:val="00063D29"/>
    <w:rsid w:val="0007227B"/>
    <w:rsid w:val="00081F1A"/>
    <w:rsid w:val="00082F83"/>
    <w:rsid w:val="00083D25"/>
    <w:rsid w:val="000C0BCB"/>
    <w:rsid w:val="000D02A4"/>
    <w:rsid w:val="000D52DA"/>
    <w:rsid w:val="0012389B"/>
    <w:rsid w:val="001340CD"/>
    <w:rsid w:val="001460A3"/>
    <w:rsid w:val="00165FDB"/>
    <w:rsid w:val="00183B05"/>
    <w:rsid w:val="001C0254"/>
    <w:rsid w:val="001C1B1D"/>
    <w:rsid w:val="001F1E0B"/>
    <w:rsid w:val="001F5A79"/>
    <w:rsid w:val="00200585"/>
    <w:rsid w:val="00210A09"/>
    <w:rsid w:val="00212A5B"/>
    <w:rsid w:val="00223B5B"/>
    <w:rsid w:val="002260EF"/>
    <w:rsid w:val="00226D73"/>
    <w:rsid w:val="002444C3"/>
    <w:rsid w:val="00265FB6"/>
    <w:rsid w:val="00270726"/>
    <w:rsid w:val="00277134"/>
    <w:rsid w:val="00277235"/>
    <w:rsid w:val="00280690"/>
    <w:rsid w:val="00291DF2"/>
    <w:rsid w:val="002926ED"/>
    <w:rsid w:val="00294D85"/>
    <w:rsid w:val="002A25B4"/>
    <w:rsid w:val="002B743B"/>
    <w:rsid w:val="002D4318"/>
    <w:rsid w:val="002E42C9"/>
    <w:rsid w:val="002F126B"/>
    <w:rsid w:val="002F2E99"/>
    <w:rsid w:val="00307E14"/>
    <w:rsid w:val="00310070"/>
    <w:rsid w:val="003209B9"/>
    <w:rsid w:val="003470D6"/>
    <w:rsid w:val="00353F94"/>
    <w:rsid w:val="00355777"/>
    <w:rsid w:val="0035673E"/>
    <w:rsid w:val="00371F03"/>
    <w:rsid w:val="0038174F"/>
    <w:rsid w:val="00383A80"/>
    <w:rsid w:val="003960AE"/>
    <w:rsid w:val="003A43ED"/>
    <w:rsid w:val="003A5BAC"/>
    <w:rsid w:val="003C22EE"/>
    <w:rsid w:val="003C57EA"/>
    <w:rsid w:val="003D2FA5"/>
    <w:rsid w:val="003D4E93"/>
    <w:rsid w:val="003D7A7B"/>
    <w:rsid w:val="003E0431"/>
    <w:rsid w:val="003E30BD"/>
    <w:rsid w:val="003E34EE"/>
    <w:rsid w:val="00404B13"/>
    <w:rsid w:val="00411CEB"/>
    <w:rsid w:val="00412F3B"/>
    <w:rsid w:val="0041690B"/>
    <w:rsid w:val="00420165"/>
    <w:rsid w:val="0043762D"/>
    <w:rsid w:val="0044711E"/>
    <w:rsid w:val="0044758C"/>
    <w:rsid w:val="00454066"/>
    <w:rsid w:val="00455EA2"/>
    <w:rsid w:val="004573BD"/>
    <w:rsid w:val="00464CD0"/>
    <w:rsid w:val="0047763F"/>
    <w:rsid w:val="00493BD5"/>
    <w:rsid w:val="004A1A0F"/>
    <w:rsid w:val="004A2E39"/>
    <w:rsid w:val="004A663D"/>
    <w:rsid w:val="004C0BEF"/>
    <w:rsid w:val="004C70E5"/>
    <w:rsid w:val="004D132C"/>
    <w:rsid w:val="004E2E3A"/>
    <w:rsid w:val="005067F3"/>
    <w:rsid w:val="00521E74"/>
    <w:rsid w:val="00552D8A"/>
    <w:rsid w:val="00553BE5"/>
    <w:rsid w:val="005902BB"/>
    <w:rsid w:val="005975BF"/>
    <w:rsid w:val="005D0CA5"/>
    <w:rsid w:val="005E37C2"/>
    <w:rsid w:val="005F22E7"/>
    <w:rsid w:val="0060055E"/>
    <w:rsid w:val="00600B0C"/>
    <w:rsid w:val="00606AEF"/>
    <w:rsid w:val="00612132"/>
    <w:rsid w:val="0061262A"/>
    <w:rsid w:val="006155F7"/>
    <w:rsid w:val="00622C4F"/>
    <w:rsid w:val="006253E8"/>
    <w:rsid w:val="00630DFA"/>
    <w:rsid w:val="00637423"/>
    <w:rsid w:val="00637479"/>
    <w:rsid w:val="00662167"/>
    <w:rsid w:val="006635ED"/>
    <w:rsid w:val="00670E9A"/>
    <w:rsid w:val="0068195B"/>
    <w:rsid w:val="006A1B22"/>
    <w:rsid w:val="006A5458"/>
    <w:rsid w:val="006B73F7"/>
    <w:rsid w:val="006C4C57"/>
    <w:rsid w:val="006D0044"/>
    <w:rsid w:val="006E0AF1"/>
    <w:rsid w:val="006E7769"/>
    <w:rsid w:val="0071531E"/>
    <w:rsid w:val="00721A08"/>
    <w:rsid w:val="00736749"/>
    <w:rsid w:val="007563E8"/>
    <w:rsid w:val="0078006F"/>
    <w:rsid w:val="0078103F"/>
    <w:rsid w:val="00782525"/>
    <w:rsid w:val="00782B03"/>
    <w:rsid w:val="007907BF"/>
    <w:rsid w:val="00791230"/>
    <w:rsid w:val="00793BCF"/>
    <w:rsid w:val="007A58B5"/>
    <w:rsid w:val="007C004A"/>
    <w:rsid w:val="007C430F"/>
    <w:rsid w:val="007C6DCF"/>
    <w:rsid w:val="007D5B18"/>
    <w:rsid w:val="007E503C"/>
    <w:rsid w:val="007F5C76"/>
    <w:rsid w:val="008022D3"/>
    <w:rsid w:val="0080717A"/>
    <w:rsid w:val="008130CD"/>
    <w:rsid w:val="00824FA0"/>
    <w:rsid w:val="00830688"/>
    <w:rsid w:val="00876463"/>
    <w:rsid w:val="00876791"/>
    <w:rsid w:val="00877FBF"/>
    <w:rsid w:val="008804F3"/>
    <w:rsid w:val="008966A0"/>
    <w:rsid w:val="008A4632"/>
    <w:rsid w:val="008A51E1"/>
    <w:rsid w:val="008C0935"/>
    <w:rsid w:val="008C21CE"/>
    <w:rsid w:val="008D0015"/>
    <w:rsid w:val="008D7561"/>
    <w:rsid w:val="008E45B7"/>
    <w:rsid w:val="008E53FC"/>
    <w:rsid w:val="008F25ED"/>
    <w:rsid w:val="008F402A"/>
    <w:rsid w:val="009212DC"/>
    <w:rsid w:val="009763AA"/>
    <w:rsid w:val="0098587C"/>
    <w:rsid w:val="009B3296"/>
    <w:rsid w:val="009D087D"/>
    <w:rsid w:val="009D505B"/>
    <w:rsid w:val="009E29BE"/>
    <w:rsid w:val="009E5F06"/>
    <w:rsid w:val="009E7953"/>
    <w:rsid w:val="009F062C"/>
    <w:rsid w:val="00A06906"/>
    <w:rsid w:val="00A070E7"/>
    <w:rsid w:val="00A11947"/>
    <w:rsid w:val="00A60A1C"/>
    <w:rsid w:val="00A84033"/>
    <w:rsid w:val="00A84094"/>
    <w:rsid w:val="00A84F3A"/>
    <w:rsid w:val="00AC1C98"/>
    <w:rsid w:val="00AC779B"/>
    <w:rsid w:val="00AE21C0"/>
    <w:rsid w:val="00AF6D08"/>
    <w:rsid w:val="00B1059F"/>
    <w:rsid w:val="00B21A3D"/>
    <w:rsid w:val="00B30EFF"/>
    <w:rsid w:val="00B4192A"/>
    <w:rsid w:val="00B541E4"/>
    <w:rsid w:val="00B618AE"/>
    <w:rsid w:val="00BA5F9D"/>
    <w:rsid w:val="00BA7E82"/>
    <w:rsid w:val="00BB06F9"/>
    <w:rsid w:val="00BD6211"/>
    <w:rsid w:val="00BE5787"/>
    <w:rsid w:val="00BF36A5"/>
    <w:rsid w:val="00C05E60"/>
    <w:rsid w:val="00C13A82"/>
    <w:rsid w:val="00C2058A"/>
    <w:rsid w:val="00C25F7C"/>
    <w:rsid w:val="00C62F2C"/>
    <w:rsid w:val="00C84943"/>
    <w:rsid w:val="00C9072A"/>
    <w:rsid w:val="00CA0FB6"/>
    <w:rsid w:val="00CD66C9"/>
    <w:rsid w:val="00CD6A39"/>
    <w:rsid w:val="00CF09F7"/>
    <w:rsid w:val="00CF0E04"/>
    <w:rsid w:val="00D2172A"/>
    <w:rsid w:val="00D26B7A"/>
    <w:rsid w:val="00D556F9"/>
    <w:rsid w:val="00D617C5"/>
    <w:rsid w:val="00D80F71"/>
    <w:rsid w:val="00D94C6E"/>
    <w:rsid w:val="00DB2B68"/>
    <w:rsid w:val="00DB2FFD"/>
    <w:rsid w:val="00DB4FD1"/>
    <w:rsid w:val="00DB5450"/>
    <w:rsid w:val="00DB693E"/>
    <w:rsid w:val="00DD19EF"/>
    <w:rsid w:val="00DD623F"/>
    <w:rsid w:val="00DE3BAA"/>
    <w:rsid w:val="00E02729"/>
    <w:rsid w:val="00E116D3"/>
    <w:rsid w:val="00E15919"/>
    <w:rsid w:val="00E25404"/>
    <w:rsid w:val="00E4691C"/>
    <w:rsid w:val="00E56D6A"/>
    <w:rsid w:val="00E60F25"/>
    <w:rsid w:val="00E64E7A"/>
    <w:rsid w:val="00E706C1"/>
    <w:rsid w:val="00E737B1"/>
    <w:rsid w:val="00E77649"/>
    <w:rsid w:val="00E90B5A"/>
    <w:rsid w:val="00E92829"/>
    <w:rsid w:val="00EB46B4"/>
    <w:rsid w:val="00EC159A"/>
    <w:rsid w:val="00EC2707"/>
    <w:rsid w:val="00F02D6C"/>
    <w:rsid w:val="00F20F06"/>
    <w:rsid w:val="00F274AC"/>
    <w:rsid w:val="00F66878"/>
    <w:rsid w:val="00F90A4C"/>
    <w:rsid w:val="00FB2FC8"/>
    <w:rsid w:val="00FD1FFE"/>
    <w:rsid w:val="00FF69CE"/>
    <w:rsid w:val="051F2673"/>
    <w:rsid w:val="0A742AB5"/>
    <w:rsid w:val="12BB70E3"/>
    <w:rsid w:val="12C733FF"/>
    <w:rsid w:val="16086639"/>
    <w:rsid w:val="189204DC"/>
    <w:rsid w:val="1EDF758B"/>
    <w:rsid w:val="23AD62D8"/>
    <w:rsid w:val="24B45E45"/>
    <w:rsid w:val="27047344"/>
    <w:rsid w:val="29D83326"/>
    <w:rsid w:val="37471204"/>
    <w:rsid w:val="3AAB6B28"/>
    <w:rsid w:val="41472FA7"/>
    <w:rsid w:val="49F3426D"/>
    <w:rsid w:val="4BDD7D6A"/>
    <w:rsid w:val="4D140990"/>
    <w:rsid w:val="52F55D57"/>
    <w:rsid w:val="5D873794"/>
    <w:rsid w:val="5FA028D2"/>
    <w:rsid w:val="684D48C4"/>
    <w:rsid w:val="6B901193"/>
    <w:rsid w:val="6B91237A"/>
    <w:rsid w:val="6DEE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qFormat="1" w:unhideWhenUsed="0" w:uiPriority="99" w:name="toc 2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name="Document Map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qFormat="1" w:unhideWhenUsed="0" w:uiPriority="99" w:semiHidden="0" w:name="HTML Cite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1"/>
    <w:qFormat/>
    <w:uiPriority w:val="99"/>
    <w:pPr>
      <w:widowControl/>
      <w:pBdr>
        <w:bottom w:val="thinThickSmallGap" w:color="943634" w:sz="12" w:space="1"/>
      </w:pBdr>
      <w:spacing w:before="400" w:after="200" w:line="252" w:lineRule="auto"/>
      <w:jc w:val="center"/>
      <w:outlineLvl w:val="0"/>
    </w:pPr>
    <w:rPr>
      <w:rFonts w:ascii="Cambria" w:hAnsi="Cambria" w:cs="Times New Roman"/>
      <w:caps/>
      <w:color w:val="632423"/>
      <w:spacing w:val="20"/>
      <w:kern w:val="0"/>
      <w:sz w:val="28"/>
      <w:szCs w:val="28"/>
    </w:rPr>
  </w:style>
  <w:style w:type="paragraph" w:styleId="3">
    <w:name w:val="heading 2"/>
    <w:basedOn w:val="1"/>
    <w:next w:val="1"/>
    <w:link w:val="32"/>
    <w:qFormat/>
    <w:uiPriority w:val="99"/>
    <w:pPr>
      <w:widowControl/>
      <w:pBdr>
        <w:bottom w:val="single" w:color="622423" w:sz="4" w:space="1"/>
      </w:pBdr>
      <w:spacing w:before="400" w:after="200" w:line="252" w:lineRule="auto"/>
      <w:jc w:val="center"/>
      <w:outlineLvl w:val="1"/>
    </w:pPr>
    <w:rPr>
      <w:rFonts w:ascii="Cambria" w:hAnsi="Cambria" w:cs="Times New Roman"/>
      <w:caps/>
      <w:color w:val="632423"/>
      <w:spacing w:val="15"/>
      <w:kern w:val="0"/>
      <w:sz w:val="24"/>
      <w:szCs w:val="24"/>
    </w:rPr>
  </w:style>
  <w:style w:type="paragraph" w:styleId="4">
    <w:name w:val="heading 3"/>
    <w:basedOn w:val="1"/>
    <w:next w:val="1"/>
    <w:link w:val="33"/>
    <w:qFormat/>
    <w:uiPriority w:val="99"/>
    <w:pPr>
      <w:widowControl/>
      <w:pBdr>
        <w:top w:val="dotted" w:color="622423" w:sz="4" w:space="1"/>
        <w:bottom w:val="dotted" w:color="622423" w:sz="4" w:space="1"/>
      </w:pBdr>
      <w:spacing w:before="300" w:after="200" w:line="252" w:lineRule="auto"/>
      <w:jc w:val="center"/>
      <w:outlineLvl w:val="2"/>
    </w:pPr>
    <w:rPr>
      <w:rFonts w:ascii="Cambria" w:hAnsi="Cambria" w:cs="Times New Roman"/>
      <w:caps/>
      <w:color w:val="632423"/>
      <w:kern w:val="0"/>
      <w:sz w:val="24"/>
      <w:szCs w:val="24"/>
    </w:rPr>
  </w:style>
  <w:style w:type="paragraph" w:styleId="5">
    <w:name w:val="heading 4"/>
    <w:basedOn w:val="1"/>
    <w:next w:val="1"/>
    <w:link w:val="34"/>
    <w:qFormat/>
    <w:uiPriority w:val="99"/>
    <w:pPr>
      <w:widowControl/>
      <w:pBdr>
        <w:bottom w:val="dotted" w:color="943634" w:sz="4" w:space="1"/>
      </w:pBdr>
      <w:spacing w:after="120" w:line="252" w:lineRule="auto"/>
      <w:jc w:val="center"/>
      <w:outlineLvl w:val="3"/>
    </w:pPr>
    <w:rPr>
      <w:rFonts w:ascii="Cambria" w:hAnsi="Cambria" w:cs="Times New Roman"/>
      <w:caps/>
      <w:color w:val="632423"/>
      <w:spacing w:val="10"/>
      <w:kern w:val="0"/>
      <w:sz w:val="22"/>
      <w:szCs w:val="22"/>
    </w:rPr>
  </w:style>
  <w:style w:type="paragraph" w:styleId="6">
    <w:name w:val="heading 5"/>
    <w:basedOn w:val="1"/>
    <w:next w:val="1"/>
    <w:link w:val="35"/>
    <w:qFormat/>
    <w:uiPriority w:val="99"/>
    <w:pPr>
      <w:widowControl/>
      <w:spacing w:before="320" w:after="120" w:line="252" w:lineRule="auto"/>
      <w:jc w:val="center"/>
      <w:outlineLvl w:val="4"/>
    </w:pPr>
    <w:rPr>
      <w:rFonts w:ascii="Cambria" w:hAnsi="Cambria" w:cs="Times New Roman"/>
      <w:caps/>
      <w:color w:val="632423"/>
      <w:spacing w:val="10"/>
      <w:kern w:val="0"/>
      <w:sz w:val="22"/>
      <w:szCs w:val="22"/>
    </w:rPr>
  </w:style>
  <w:style w:type="paragraph" w:styleId="7">
    <w:name w:val="heading 6"/>
    <w:basedOn w:val="1"/>
    <w:next w:val="1"/>
    <w:link w:val="36"/>
    <w:qFormat/>
    <w:uiPriority w:val="99"/>
    <w:pPr>
      <w:widowControl/>
      <w:spacing w:after="120" w:line="252" w:lineRule="auto"/>
      <w:jc w:val="center"/>
      <w:outlineLvl w:val="5"/>
    </w:pPr>
    <w:rPr>
      <w:rFonts w:ascii="Cambria" w:hAnsi="Cambria" w:cs="Times New Roman"/>
      <w:caps/>
      <w:color w:val="943634"/>
      <w:spacing w:val="10"/>
      <w:kern w:val="0"/>
      <w:sz w:val="22"/>
      <w:szCs w:val="22"/>
    </w:rPr>
  </w:style>
  <w:style w:type="paragraph" w:styleId="8">
    <w:name w:val="heading 7"/>
    <w:basedOn w:val="1"/>
    <w:next w:val="1"/>
    <w:link w:val="37"/>
    <w:qFormat/>
    <w:uiPriority w:val="99"/>
    <w:pPr>
      <w:widowControl/>
      <w:spacing w:after="120" w:line="252" w:lineRule="auto"/>
      <w:jc w:val="center"/>
      <w:outlineLvl w:val="6"/>
    </w:pPr>
    <w:rPr>
      <w:rFonts w:ascii="Cambria" w:hAnsi="Cambria" w:cs="Times New Roman"/>
      <w:i/>
      <w:iCs/>
      <w:caps/>
      <w:color w:val="943634"/>
      <w:spacing w:val="10"/>
      <w:kern w:val="0"/>
      <w:sz w:val="22"/>
      <w:szCs w:val="22"/>
    </w:rPr>
  </w:style>
  <w:style w:type="paragraph" w:styleId="9">
    <w:name w:val="heading 8"/>
    <w:basedOn w:val="1"/>
    <w:next w:val="1"/>
    <w:link w:val="38"/>
    <w:qFormat/>
    <w:uiPriority w:val="99"/>
    <w:pPr>
      <w:widowControl/>
      <w:spacing w:after="120" w:line="252" w:lineRule="auto"/>
      <w:jc w:val="center"/>
      <w:outlineLvl w:val="7"/>
    </w:pPr>
    <w:rPr>
      <w:rFonts w:ascii="Cambria" w:hAnsi="Cambria" w:cs="Times New Roman"/>
      <w:caps/>
      <w:spacing w:val="10"/>
      <w:kern w:val="0"/>
      <w:sz w:val="20"/>
      <w:szCs w:val="20"/>
    </w:rPr>
  </w:style>
  <w:style w:type="paragraph" w:styleId="10">
    <w:name w:val="heading 9"/>
    <w:basedOn w:val="1"/>
    <w:next w:val="1"/>
    <w:link w:val="39"/>
    <w:qFormat/>
    <w:uiPriority w:val="99"/>
    <w:pPr>
      <w:widowControl/>
      <w:spacing w:after="120" w:line="252" w:lineRule="auto"/>
      <w:jc w:val="center"/>
      <w:outlineLvl w:val="8"/>
    </w:pPr>
    <w:rPr>
      <w:rFonts w:ascii="Cambria" w:hAnsi="Cambria" w:cs="Times New Roman"/>
      <w:i/>
      <w:iCs/>
      <w:caps/>
      <w:spacing w:val="10"/>
      <w:kern w:val="0"/>
      <w:sz w:val="20"/>
      <w:szCs w:val="20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99"/>
    <w:pPr>
      <w:widowControl/>
      <w:spacing w:after="200" w:line="252" w:lineRule="auto"/>
      <w:jc w:val="left"/>
    </w:pPr>
    <w:rPr>
      <w:rFonts w:ascii="Cambria" w:hAnsi="Cambria" w:cs="Cambria"/>
      <w:caps/>
      <w:spacing w:val="10"/>
      <w:kern w:val="0"/>
      <w:sz w:val="18"/>
      <w:szCs w:val="18"/>
    </w:rPr>
  </w:style>
  <w:style w:type="paragraph" w:styleId="12">
    <w:name w:val="Document Map"/>
    <w:basedOn w:val="1"/>
    <w:link w:val="42"/>
    <w:semiHidden/>
    <w:qFormat/>
    <w:uiPriority w:val="99"/>
    <w:pPr>
      <w:shd w:val="clear" w:color="auto" w:fill="000080"/>
    </w:pPr>
    <w:rPr>
      <w:rFonts w:ascii="Times New Roman" w:hAnsi="Times New Roman" w:cs="Times New Roman"/>
      <w:kern w:val="0"/>
      <w:sz w:val="24"/>
      <w:szCs w:val="24"/>
    </w:rPr>
  </w:style>
  <w:style w:type="paragraph" w:styleId="13">
    <w:name w:val="annotation text"/>
    <w:basedOn w:val="1"/>
    <w:link w:val="40"/>
    <w:semiHidden/>
    <w:qFormat/>
    <w:uiPriority w:val="99"/>
    <w:pPr>
      <w:jc w:val="left"/>
    </w:pPr>
  </w:style>
  <w:style w:type="paragraph" w:styleId="14">
    <w:name w:val="Balloon Text"/>
    <w:basedOn w:val="1"/>
    <w:link w:val="43"/>
    <w:semiHidden/>
    <w:qFormat/>
    <w:uiPriority w:val="99"/>
    <w:rPr>
      <w:rFonts w:cs="Times New Roman"/>
      <w:kern w:val="0"/>
      <w:sz w:val="18"/>
      <w:szCs w:val="18"/>
    </w:rPr>
  </w:style>
  <w:style w:type="paragraph" w:styleId="15">
    <w:name w:val="footer"/>
    <w:basedOn w:val="1"/>
    <w:link w:val="4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16">
    <w:name w:val="header"/>
    <w:basedOn w:val="1"/>
    <w:link w:val="4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17">
    <w:name w:val="Subtitle"/>
    <w:basedOn w:val="1"/>
    <w:next w:val="1"/>
    <w:link w:val="46"/>
    <w:qFormat/>
    <w:uiPriority w:val="99"/>
    <w:pPr>
      <w:widowControl/>
      <w:spacing w:after="560"/>
      <w:jc w:val="center"/>
    </w:pPr>
    <w:rPr>
      <w:rFonts w:ascii="Cambria" w:hAnsi="Cambria" w:cs="Times New Roman"/>
      <w:caps/>
      <w:spacing w:val="20"/>
      <w:kern w:val="0"/>
      <w:sz w:val="18"/>
      <w:szCs w:val="18"/>
    </w:rPr>
  </w:style>
  <w:style w:type="paragraph" w:styleId="18">
    <w:name w:val="toc 2"/>
    <w:basedOn w:val="1"/>
    <w:next w:val="1"/>
    <w:semiHidden/>
    <w:qFormat/>
    <w:uiPriority w:val="99"/>
    <w:pPr>
      <w:tabs>
        <w:tab w:val="right" w:leader="dot" w:pos="8721"/>
      </w:tabs>
      <w:spacing w:line="460" w:lineRule="exact"/>
      <w:jc w:val="left"/>
    </w:pPr>
    <w:rPr>
      <w:rFonts w:ascii="宋体" w:hAnsi="宋体" w:cs="宋体"/>
      <w:smallCaps/>
      <w:color w:val="0C0C0C"/>
      <w:kern w:val="44"/>
      <w:sz w:val="24"/>
      <w:szCs w:val="24"/>
    </w:rPr>
  </w:style>
  <w:style w:type="paragraph" w:styleId="19">
    <w:name w:val="Normal (Web)"/>
    <w:basedOn w:val="1"/>
    <w:qFormat/>
    <w:uiPriority w:val="99"/>
    <w:pPr>
      <w:spacing w:before="100" w:beforeAutospacing="1" w:after="100" w:afterAutospacing="1"/>
    </w:pPr>
    <w:rPr>
      <w:rFonts w:ascii="宋体" w:hAnsi="宋体" w:cs="宋体"/>
      <w:color w:val="000000"/>
      <w:sz w:val="24"/>
      <w:szCs w:val="24"/>
    </w:rPr>
  </w:style>
  <w:style w:type="paragraph" w:styleId="20">
    <w:name w:val="Title"/>
    <w:basedOn w:val="1"/>
    <w:next w:val="1"/>
    <w:link w:val="47"/>
    <w:qFormat/>
    <w:uiPriority w:val="99"/>
    <w:pPr>
      <w:widowControl/>
      <w:pBdr>
        <w:top w:val="dotted" w:color="632423" w:sz="2" w:space="1"/>
        <w:bottom w:val="dotted" w:color="632423" w:sz="2" w:space="6"/>
      </w:pBdr>
      <w:spacing w:before="500" w:after="300"/>
      <w:jc w:val="center"/>
    </w:pPr>
    <w:rPr>
      <w:rFonts w:ascii="Cambria" w:hAnsi="Cambria" w:cs="Times New Roman"/>
      <w:caps/>
      <w:color w:val="632423"/>
      <w:spacing w:val="50"/>
      <w:kern w:val="0"/>
      <w:sz w:val="44"/>
      <w:szCs w:val="44"/>
    </w:rPr>
  </w:style>
  <w:style w:type="paragraph" w:styleId="21">
    <w:name w:val="annotation subject"/>
    <w:basedOn w:val="13"/>
    <w:next w:val="13"/>
    <w:link w:val="41"/>
    <w:semiHidden/>
    <w:qFormat/>
    <w:uiPriority w:val="99"/>
    <w:rPr>
      <w:rFonts w:ascii="Times New Roman" w:hAnsi="Times New Roman" w:cs="Times New Roman"/>
      <w:b/>
      <w:bCs/>
      <w:kern w:val="0"/>
      <w:sz w:val="20"/>
      <w:szCs w:val="20"/>
    </w:rPr>
  </w:style>
  <w:style w:type="table" w:styleId="23">
    <w:name w:val="Table Grid"/>
    <w:basedOn w:val="22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25">
    <w:name w:val="Strong"/>
    <w:qFormat/>
    <w:uiPriority w:val="99"/>
    <w:rPr>
      <w:rFonts w:cs="Times New Roman"/>
      <w:b/>
      <w:color w:val="943634"/>
      <w:spacing w:val="5"/>
    </w:rPr>
  </w:style>
  <w:style w:type="character" w:styleId="26">
    <w:name w:val="page number"/>
    <w:qFormat/>
    <w:uiPriority w:val="99"/>
    <w:rPr>
      <w:rFonts w:cs="Times New Roman"/>
    </w:rPr>
  </w:style>
  <w:style w:type="character" w:styleId="27">
    <w:name w:val="FollowedHyperlink"/>
    <w:qFormat/>
    <w:uiPriority w:val="99"/>
    <w:rPr>
      <w:rFonts w:cs="Times New Roman"/>
      <w:color w:val="800080"/>
      <w:u w:val="single"/>
    </w:rPr>
  </w:style>
  <w:style w:type="character" w:styleId="28">
    <w:name w:val="Emphasis"/>
    <w:qFormat/>
    <w:uiPriority w:val="99"/>
    <w:rPr>
      <w:rFonts w:cs="Times New Roman"/>
      <w:caps/>
      <w:spacing w:val="5"/>
      <w:sz w:val="20"/>
    </w:rPr>
  </w:style>
  <w:style w:type="character" w:styleId="29">
    <w:name w:val="Hyperlink"/>
    <w:qFormat/>
    <w:uiPriority w:val="99"/>
    <w:rPr>
      <w:rFonts w:cs="Times New Roman"/>
      <w:color w:val="0000FF"/>
      <w:u w:val="single"/>
    </w:rPr>
  </w:style>
  <w:style w:type="character" w:styleId="30">
    <w:name w:val="HTML Cite"/>
    <w:qFormat/>
    <w:uiPriority w:val="99"/>
    <w:rPr>
      <w:rFonts w:cs="Times New Roman"/>
      <w:color w:val="008000"/>
    </w:rPr>
  </w:style>
  <w:style w:type="character" w:customStyle="1" w:styleId="31">
    <w:name w:val="标题 1 Char"/>
    <w:link w:val="2"/>
    <w:qFormat/>
    <w:locked/>
    <w:uiPriority w:val="99"/>
    <w:rPr>
      <w:rFonts w:ascii="Cambria" w:hAnsi="Cambria" w:eastAsia="宋体"/>
      <w:caps/>
      <w:color w:val="632423"/>
      <w:spacing w:val="20"/>
      <w:kern w:val="0"/>
      <w:sz w:val="28"/>
    </w:rPr>
  </w:style>
  <w:style w:type="character" w:customStyle="1" w:styleId="32">
    <w:name w:val="标题 2 Char"/>
    <w:link w:val="3"/>
    <w:qFormat/>
    <w:locked/>
    <w:uiPriority w:val="99"/>
    <w:rPr>
      <w:rFonts w:ascii="Cambria" w:hAnsi="Cambria" w:eastAsia="宋体"/>
      <w:caps/>
      <w:color w:val="632423"/>
      <w:spacing w:val="15"/>
      <w:kern w:val="0"/>
      <w:sz w:val="24"/>
    </w:rPr>
  </w:style>
  <w:style w:type="character" w:customStyle="1" w:styleId="33">
    <w:name w:val="标题 3 Char"/>
    <w:link w:val="4"/>
    <w:qFormat/>
    <w:locked/>
    <w:uiPriority w:val="99"/>
    <w:rPr>
      <w:rFonts w:ascii="Cambria" w:hAnsi="Cambria" w:eastAsia="宋体"/>
      <w:caps/>
      <w:color w:val="632423"/>
      <w:kern w:val="0"/>
      <w:sz w:val="24"/>
    </w:rPr>
  </w:style>
  <w:style w:type="character" w:customStyle="1" w:styleId="34">
    <w:name w:val="标题 4 Char"/>
    <w:link w:val="5"/>
    <w:qFormat/>
    <w:locked/>
    <w:uiPriority w:val="99"/>
    <w:rPr>
      <w:rFonts w:ascii="Cambria" w:hAnsi="Cambria" w:eastAsia="宋体"/>
      <w:caps/>
      <w:color w:val="632423"/>
      <w:spacing w:val="10"/>
      <w:kern w:val="0"/>
      <w:sz w:val="22"/>
    </w:rPr>
  </w:style>
  <w:style w:type="character" w:customStyle="1" w:styleId="35">
    <w:name w:val="标题 5 Char"/>
    <w:link w:val="6"/>
    <w:qFormat/>
    <w:locked/>
    <w:uiPriority w:val="99"/>
    <w:rPr>
      <w:rFonts w:ascii="Cambria" w:hAnsi="Cambria" w:eastAsia="宋体"/>
      <w:caps/>
      <w:color w:val="632423"/>
      <w:spacing w:val="10"/>
      <w:kern w:val="0"/>
      <w:sz w:val="22"/>
    </w:rPr>
  </w:style>
  <w:style w:type="character" w:customStyle="1" w:styleId="36">
    <w:name w:val="标题 6 Char"/>
    <w:link w:val="7"/>
    <w:qFormat/>
    <w:locked/>
    <w:uiPriority w:val="99"/>
    <w:rPr>
      <w:rFonts w:ascii="Cambria" w:hAnsi="Cambria" w:eastAsia="宋体"/>
      <w:caps/>
      <w:color w:val="943634"/>
      <w:spacing w:val="10"/>
      <w:kern w:val="0"/>
      <w:sz w:val="22"/>
    </w:rPr>
  </w:style>
  <w:style w:type="character" w:customStyle="1" w:styleId="37">
    <w:name w:val="标题 7 Char"/>
    <w:link w:val="8"/>
    <w:qFormat/>
    <w:locked/>
    <w:uiPriority w:val="99"/>
    <w:rPr>
      <w:rFonts w:ascii="Cambria" w:hAnsi="Cambria" w:eastAsia="宋体"/>
      <w:i/>
      <w:caps/>
      <w:color w:val="943634"/>
      <w:spacing w:val="10"/>
      <w:kern w:val="0"/>
      <w:sz w:val="22"/>
    </w:rPr>
  </w:style>
  <w:style w:type="character" w:customStyle="1" w:styleId="38">
    <w:name w:val="标题 8 Char"/>
    <w:link w:val="9"/>
    <w:qFormat/>
    <w:locked/>
    <w:uiPriority w:val="99"/>
    <w:rPr>
      <w:rFonts w:ascii="Cambria" w:hAnsi="Cambria" w:eastAsia="宋体"/>
      <w:caps/>
      <w:spacing w:val="10"/>
      <w:kern w:val="0"/>
      <w:sz w:val="20"/>
    </w:rPr>
  </w:style>
  <w:style w:type="character" w:customStyle="1" w:styleId="39">
    <w:name w:val="标题 9 Char"/>
    <w:link w:val="10"/>
    <w:qFormat/>
    <w:locked/>
    <w:uiPriority w:val="99"/>
    <w:rPr>
      <w:rFonts w:ascii="Cambria" w:hAnsi="Cambria" w:eastAsia="宋体"/>
      <w:i/>
      <w:caps/>
      <w:spacing w:val="10"/>
      <w:kern w:val="0"/>
      <w:sz w:val="20"/>
    </w:rPr>
  </w:style>
  <w:style w:type="character" w:customStyle="1" w:styleId="40">
    <w:name w:val="批注文字 Char"/>
    <w:link w:val="13"/>
    <w:semiHidden/>
    <w:qFormat/>
    <w:locked/>
    <w:uiPriority w:val="99"/>
    <w:rPr>
      <w:rFonts w:cs="Times New Roman"/>
    </w:rPr>
  </w:style>
  <w:style w:type="character" w:customStyle="1" w:styleId="41">
    <w:name w:val="批注主题 Char"/>
    <w:link w:val="21"/>
    <w:semiHidden/>
    <w:qFormat/>
    <w:locked/>
    <w:uiPriority w:val="99"/>
    <w:rPr>
      <w:rFonts w:cs="Times New Roman"/>
      <w:b/>
    </w:rPr>
  </w:style>
  <w:style w:type="character" w:customStyle="1" w:styleId="42">
    <w:name w:val="文档结构图 Char"/>
    <w:link w:val="12"/>
    <w:semiHidden/>
    <w:qFormat/>
    <w:locked/>
    <w:uiPriority w:val="99"/>
    <w:rPr>
      <w:rFonts w:ascii="Times New Roman" w:hAnsi="Times New Roman"/>
      <w:sz w:val="24"/>
      <w:shd w:val="clear" w:color="auto" w:fill="000080"/>
    </w:rPr>
  </w:style>
  <w:style w:type="character" w:customStyle="1" w:styleId="43">
    <w:name w:val="批注框文本 Char"/>
    <w:link w:val="14"/>
    <w:qFormat/>
    <w:locked/>
    <w:uiPriority w:val="99"/>
    <w:rPr>
      <w:rFonts w:ascii="Calibri" w:hAnsi="Calibri" w:eastAsia="宋体"/>
      <w:sz w:val="18"/>
    </w:rPr>
  </w:style>
  <w:style w:type="character" w:customStyle="1" w:styleId="44">
    <w:name w:val="页脚 Char"/>
    <w:link w:val="15"/>
    <w:qFormat/>
    <w:locked/>
    <w:uiPriority w:val="99"/>
    <w:rPr>
      <w:rFonts w:ascii="Calibri" w:hAnsi="Calibri" w:eastAsia="宋体"/>
      <w:sz w:val="18"/>
    </w:rPr>
  </w:style>
  <w:style w:type="character" w:customStyle="1" w:styleId="45">
    <w:name w:val="页眉 Char"/>
    <w:link w:val="16"/>
    <w:qFormat/>
    <w:locked/>
    <w:uiPriority w:val="99"/>
    <w:rPr>
      <w:rFonts w:ascii="Calibri" w:hAnsi="Calibri" w:eastAsia="宋体"/>
      <w:sz w:val="18"/>
    </w:rPr>
  </w:style>
  <w:style w:type="character" w:customStyle="1" w:styleId="46">
    <w:name w:val="副标题 Char"/>
    <w:link w:val="17"/>
    <w:qFormat/>
    <w:locked/>
    <w:uiPriority w:val="99"/>
    <w:rPr>
      <w:rFonts w:ascii="Cambria" w:hAnsi="Cambria" w:eastAsia="宋体"/>
      <w:caps/>
      <w:spacing w:val="20"/>
      <w:kern w:val="0"/>
      <w:sz w:val="18"/>
    </w:rPr>
  </w:style>
  <w:style w:type="character" w:customStyle="1" w:styleId="47">
    <w:name w:val="标题 Char"/>
    <w:link w:val="20"/>
    <w:qFormat/>
    <w:locked/>
    <w:uiPriority w:val="99"/>
    <w:rPr>
      <w:rFonts w:ascii="Cambria" w:hAnsi="Cambria" w:eastAsia="宋体"/>
      <w:caps/>
      <w:color w:val="632423"/>
      <w:spacing w:val="50"/>
      <w:kern w:val="0"/>
      <w:sz w:val="44"/>
    </w:rPr>
  </w:style>
  <w:style w:type="paragraph" w:customStyle="1" w:styleId="48">
    <w:name w:val="List Paragraph1"/>
    <w:basedOn w:val="1"/>
    <w:qFormat/>
    <w:uiPriority w:val="99"/>
    <w:pPr>
      <w:ind w:firstLine="420" w:firstLineChars="200"/>
    </w:pPr>
  </w:style>
  <w:style w:type="paragraph" w:customStyle="1" w:styleId="49">
    <w:name w:val="No Spacing1"/>
    <w:basedOn w:val="1"/>
    <w:link w:val="65"/>
    <w:qFormat/>
    <w:uiPriority w:val="99"/>
    <w:pPr>
      <w:widowControl/>
      <w:jc w:val="left"/>
    </w:pPr>
    <w:rPr>
      <w:rFonts w:ascii="Cambria" w:hAnsi="Cambria" w:cs="Times New Roman"/>
      <w:kern w:val="0"/>
      <w:sz w:val="22"/>
      <w:szCs w:val="22"/>
    </w:rPr>
  </w:style>
  <w:style w:type="paragraph" w:customStyle="1" w:styleId="50">
    <w:name w:val="Quote1"/>
    <w:basedOn w:val="1"/>
    <w:next w:val="1"/>
    <w:link w:val="66"/>
    <w:qFormat/>
    <w:uiPriority w:val="99"/>
    <w:pPr>
      <w:widowControl/>
      <w:spacing w:after="200" w:line="252" w:lineRule="auto"/>
      <w:jc w:val="left"/>
    </w:pPr>
    <w:rPr>
      <w:rFonts w:ascii="Cambria" w:hAnsi="Cambria" w:cs="Times New Roman"/>
      <w:i/>
      <w:iCs/>
      <w:kern w:val="0"/>
      <w:sz w:val="22"/>
      <w:szCs w:val="22"/>
    </w:rPr>
  </w:style>
  <w:style w:type="paragraph" w:customStyle="1" w:styleId="51">
    <w:name w:val="Intense Quote1"/>
    <w:basedOn w:val="1"/>
    <w:next w:val="1"/>
    <w:link w:val="67"/>
    <w:qFormat/>
    <w:uiPriority w:val="99"/>
    <w:pPr>
      <w:widowControl/>
      <w:pBdr>
        <w:top w:val="dotted" w:color="632423" w:sz="2" w:space="10"/>
        <w:bottom w:val="dotted" w:color="632423" w:sz="2" w:space="4"/>
      </w:pBdr>
      <w:spacing w:before="160" w:after="200" w:line="300" w:lineRule="auto"/>
      <w:ind w:left="1440" w:right="1440"/>
      <w:jc w:val="left"/>
    </w:pPr>
    <w:rPr>
      <w:rFonts w:ascii="Cambria" w:hAnsi="Cambria" w:cs="Times New Roman"/>
      <w:caps/>
      <w:color w:val="632423"/>
      <w:spacing w:val="5"/>
      <w:kern w:val="0"/>
      <w:sz w:val="20"/>
      <w:szCs w:val="20"/>
    </w:rPr>
  </w:style>
  <w:style w:type="paragraph" w:customStyle="1" w:styleId="52">
    <w:name w:val="TOC 标题1"/>
    <w:basedOn w:val="2"/>
    <w:next w:val="1"/>
    <w:qFormat/>
    <w:uiPriority w:val="99"/>
    <w:pPr>
      <w:outlineLvl w:val="9"/>
    </w:pPr>
  </w:style>
  <w:style w:type="paragraph" w:customStyle="1" w:styleId="53">
    <w:name w:val="news-title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54">
    <w:name w:val="列出段落1"/>
    <w:basedOn w:val="1"/>
    <w:qFormat/>
    <w:uiPriority w:val="99"/>
    <w:pPr>
      <w:ind w:firstLine="420" w:firstLineChars="200"/>
    </w:pPr>
    <w:rPr>
      <w:rFonts w:ascii="Times New Roman" w:hAnsi="Times New Roman" w:cs="Times New Roman"/>
    </w:rPr>
  </w:style>
  <w:style w:type="paragraph" w:customStyle="1" w:styleId="55">
    <w:name w:val="列出段落2"/>
    <w:basedOn w:val="1"/>
    <w:qFormat/>
    <w:uiPriority w:val="99"/>
    <w:pPr>
      <w:ind w:firstLine="420" w:firstLineChars="200"/>
    </w:pPr>
    <w:rPr>
      <w:rFonts w:ascii="Times New Roman" w:hAnsi="Times New Roman" w:cs="Times New Roman"/>
    </w:rPr>
  </w:style>
  <w:style w:type="paragraph" w:customStyle="1" w:styleId="56">
    <w:name w:val="列出段落3"/>
    <w:basedOn w:val="1"/>
    <w:qFormat/>
    <w:uiPriority w:val="99"/>
    <w:pPr>
      <w:ind w:firstLine="420" w:firstLineChars="200"/>
    </w:pPr>
    <w:rPr>
      <w:rFonts w:ascii="Times New Roman" w:hAnsi="Times New Roman" w:cs="Times New Roman"/>
    </w:rPr>
  </w:style>
  <w:style w:type="paragraph" w:customStyle="1" w:styleId="57">
    <w:name w:val="列出段落4"/>
    <w:basedOn w:val="1"/>
    <w:qFormat/>
    <w:uiPriority w:val="99"/>
    <w:pPr>
      <w:ind w:firstLine="420" w:firstLineChars="200"/>
    </w:pPr>
    <w:rPr>
      <w:rFonts w:ascii="Times New Roman" w:hAnsi="Times New Roman" w:cs="Times New Roman"/>
    </w:rPr>
  </w:style>
  <w:style w:type="paragraph" w:customStyle="1" w:styleId="58">
    <w:name w:val="列出段落5"/>
    <w:basedOn w:val="1"/>
    <w:qFormat/>
    <w:uiPriority w:val="99"/>
    <w:pPr>
      <w:ind w:firstLine="420" w:firstLineChars="200"/>
    </w:pPr>
    <w:rPr>
      <w:rFonts w:ascii="Times New Roman" w:hAnsi="Times New Roman" w:cs="Times New Roman"/>
    </w:rPr>
  </w:style>
  <w:style w:type="paragraph" w:customStyle="1" w:styleId="59">
    <w:name w:val="列出段落6"/>
    <w:basedOn w:val="1"/>
    <w:qFormat/>
    <w:uiPriority w:val="99"/>
    <w:pPr>
      <w:ind w:firstLine="420" w:firstLineChars="200"/>
    </w:pPr>
    <w:rPr>
      <w:rFonts w:ascii="Times New Roman" w:hAnsi="Times New Roman" w:cs="Times New Roman"/>
    </w:rPr>
  </w:style>
  <w:style w:type="paragraph" w:customStyle="1" w:styleId="60">
    <w:name w:val="列出段落7"/>
    <w:basedOn w:val="1"/>
    <w:qFormat/>
    <w:uiPriority w:val="99"/>
    <w:pPr>
      <w:ind w:firstLine="420" w:firstLineChars="200"/>
    </w:pPr>
    <w:rPr>
      <w:rFonts w:ascii="Times New Roman" w:hAnsi="Times New Roman" w:cs="Times New Roman"/>
    </w:rPr>
  </w:style>
  <w:style w:type="paragraph" w:customStyle="1" w:styleId="61">
    <w:name w:val="列出段落8"/>
    <w:basedOn w:val="1"/>
    <w:qFormat/>
    <w:uiPriority w:val="99"/>
    <w:pPr>
      <w:ind w:firstLine="420" w:firstLineChars="200"/>
    </w:pPr>
    <w:rPr>
      <w:rFonts w:ascii="Times New Roman" w:hAnsi="Times New Roman" w:cs="Times New Roman"/>
    </w:rPr>
  </w:style>
  <w:style w:type="paragraph" w:customStyle="1" w:styleId="62">
    <w:name w:val="列出段落9"/>
    <w:basedOn w:val="1"/>
    <w:qFormat/>
    <w:uiPriority w:val="99"/>
    <w:pPr>
      <w:ind w:firstLine="420" w:firstLineChars="200"/>
    </w:pPr>
    <w:rPr>
      <w:rFonts w:ascii="Times New Roman" w:hAnsi="Times New Roman" w:cs="Times New Roman"/>
    </w:rPr>
  </w:style>
  <w:style w:type="character" w:customStyle="1" w:styleId="63">
    <w:name w:val="文档结构图 Char1"/>
    <w:semiHidden/>
    <w:qFormat/>
    <w:uiPriority w:val="99"/>
    <w:rPr>
      <w:rFonts w:ascii="宋体" w:hAnsi="Calibri" w:eastAsia="宋体"/>
      <w:sz w:val="18"/>
    </w:rPr>
  </w:style>
  <w:style w:type="character" w:customStyle="1" w:styleId="64">
    <w:name w:val="文档结构图 Char11"/>
    <w:semiHidden/>
    <w:qFormat/>
    <w:uiPriority w:val="99"/>
    <w:rPr>
      <w:rFonts w:ascii="宋体"/>
      <w:kern w:val="2"/>
      <w:sz w:val="18"/>
    </w:rPr>
  </w:style>
  <w:style w:type="character" w:customStyle="1" w:styleId="65">
    <w:name w:val="无间隔 Char"/>
    <w:link w:val="49"/>
    <w:qFormat/>
    <w:locked/>
    <w:uiPriority w:val="99"/>
    <w:rPr>
      <w:rFonts w:ascii="Cambria" w:hAnsi="Cambria" w:eastAsia="宋体"/>
      <w:kern w:val="0"/>
      <w:sz w:val="22"/>
    </w:rPr>
  </w:style>
  <w:style w:type="character" w:customStyle="1" w:styleId="66">
    <w:name w:val="引用 Char"/>
    <w:link w:val="50"/>
    <w:qFormat/>
    <w:locked/>
    <w:uiPriority w:val="99"/>
    <w:rPr>
      <w:rFonts w:ascii="Cambria" w:hAnsi="Cambria" w:eastAsia="宋体"/>
      <w:i/>
      <w:kern w:val="0"/>
      <w:sz w:val="22"/>
    </w:rPr>
  </w:style>
  <w:style w:type="character" w:customStyle="1" w:styleId="67">
    <w:name w:val="明显引用 Char"/>
    <w:link w:val="51"/>
    <w:qFormat/>
    <w:locked/>
    <w:uiPriority w:val="99"/>
    <w:rPr>
      <w:rFonts w:ascii="Cambria" w:hAnsi="Cambria" w:eastAsia="宋体"/>
      <w:caps/>
      <w:color w:val="632423"/>
      <w:spacing w:val="5"/>
      <w:kern w:val="0"/>
      <w:sz w:val="20"/>
    </w:rPr>
  </w:style>
  <w:style w:type="character" w:customStyle="1" w:styleId="68">
    <w:name w:val="不明显强调1"/>
    <w:qFormat/>
    <w:uiPriority w:val="99"/>
    <w:rPr>
      <w:i/>
    </w:rPr>
  </w:style>
  <w:style w:type="character" w:customStyle="1" w:styleId="69">
    <w:name w:val="明显强调1"/>
    <w:qFormat/>
    <w:uiPriority w:val="99"/>
    <w:rPr>
      <w:i/>
      <w:caps/>
      <w:spacing w:val="10"/>
      <w:sz w:val="20"/>
    </w:rPr>
  </w:style>
  <w:style w:type="character" w:customStyle="1" w:styleId="70">
    <w:name w:val="不明显参考1"/>
    <w:qFormat/>
    <w:uiPriority w:val="99"/>
    <w:rPr>
      <w:rFonts w:ascii="Calibri" w:hAnsi="Calibri" w:eastAsia="宋体"/>
      <w:i/>
      <w:color w:val="632423"/>
    </w:rPr>
  </w:style>
  <w:style w:type="character" w:customStyle="1" w:styleId="71">
    <w:name w:val="明显参考1"/>
    <w:qFormat/>
    <w:uiPriority w:val="99"/>
    <w:rPr>
      <w:rFonts w:ascii="Calibri" w:hAnsi="Calibri" w:eastAsia="宋体"/>
      <w:b/>
      <w:i/>
      <w:color w:val="632423"/>
    </w:rPr>
  </w:style>
  <w:style w:type="character" w:customStyle="1" w:styleId="72">
    <w:name w:val="书籍标题1"/>
    <w:qFormat/>
    <w:uiPriority w:val="99"/>
    <w:rPr>
      <w:caps/>
      <w:color w:val="632423"/>
      <w:spacing w:val="5"/>
      <w:u w:val="none" w:color="622423"/>
    </w:rPr>
  </w:style>
  <w:style w:type="character" w:customStyle="1" w:styleId="73">
    <w:name w:val="批注框文本 Char1"/>
    <w:qFormat/>
    <w:uiPriority w:val="99"/>
    <w:rPr>
      <w:rFonts w:ascii="Times New Roman" w:hAnsi="Times New Roman" w:eastAsia="宋体"/>
      <w:sz w:val="18"/>
    </w:rPr>
  </w:style>
  <w:style w:type="character" w:customStyle="1" w:styleId="74">
    <w:name w:val="占位符文本1"/>
    <w:qFormat/>
    <w:uiPriority w:val="99"/>
    <w:rPr>
      <w:color w:val="808080"/>
    </w:rPr>
  </w:style>
  <w:style w:type="character" w:customStyle="1" w:styleId="75">
    <w:name w:val="批注文字 Char1"/>
    <w:semiHidden/>
    <w:qFormat/>
    <w:uiPriority w:val="99"/>
    <w:rPr>
      <w:rFonts w:ascii="Calibri" w:hAnsi="Calibri" w:eastAsia="宋体"/>
    </w:rPr>
  </w:style>
  <w:style w:type="character" w:customStyle="1" w:styleId="76">
    <w:name w:val="批注文字 Char11"/>
    <w:semiHidden/>
    <w:qFormat/>
    <w:uiPriority w:val="99"/>
    <w:rPr>
      <w:kern w:val="2"/>
      <w:sz w:val="22"/>
    </w:rPr>
  </w:style>
  <w:style w:type="character" w:customStyle="1" w:styleId="77">
    <w:name w:val="批注主题 Char1"/>
    <w:semiHidden/>
    <w:qFormat/>
    <w:uiPriority w:val="99"/>
    <w:rPr>
      <w:rFonts w:ascii="Calibri" w:hAnsi="Calibri" w:eastAsia="宋体"/>
      <w:b/>
    </w:rPr>
  </w:style>
  <w:style w:type="character" w:customStyle="1" w:styleId="78">
    <w:name w:val="批注主题 Char11"/>
    <w:semiHidden/>
    <w:qFormat/>
    <w:uiPriority w:val="99"/>
    <w:rPr>
      <w:b/>
      <w:kern w:val="2"/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CFDA</Company>
  <Pages>5</Pages>
  <Words>578</Words>
  <Characters>3301</Characters>
  <Lines>27</Lines>
  <Paragraphs>7</Paragraphs>
  <TotalTime>22</TotalTime>
  <ScaleCrop>false</ScaleCrop>
  <LinksUpToDate>false</LinksUpToDate>
  <CharactersWithSpaces>3872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2019-05-27T01:03:00Z</dcterms:created>
  <dc:creator>王全</dc:creator>
  <cp:lastModifiedBy>李松波</cp:lastModifiedBy>
  <cp:lastPrinted>2018-12-24T02:38:00Z</cp:lastPrinted>
  <dcterms:modified xsi:type="dcterms:W3CDTF">2019-09-02T23:37:36Z</dcterms:modified>
  <dc:title>附件1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