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right"/>
        <w:rPr>
          <w:rFonts w:ascii="仿宋_GB2312" w:eastAsia="仿宋_GB2312" w:cs="仿宋_GB2312" w:hAnsi="仿宋_GB2312" w:hint="eastAsia"/>
          <w:lang w:val="en-US" w:eastAsia="zh-CN"/>
        </w:rPr>
      </w:pPr>
      <w:r>
        <w:rPr>
          <w:rFonts w:ascii="仿宋_GB2312" w:eastAsia="仿宋_GB2312" w:cs="仿宋_GB2312" w:hAnsi="仿宋_GB2312" w:hint="eastAsia"/>
          <w:lang w:val="en-US" w:eastAsia="zh-CN"/>
        </w:rPr>
        <w:t>ZJBC21-20</w:t>
      </w:r>
      <w:r>
        <w:rPr>
          <w:rFonts w:ascii="仿宋_GB2312" w:cs="仿宋_GB2312" w:hAnsi="仿宋_GB2312" w:hint="eastAsia"/>
          <w:lang w:val="en-US" w:eastAsia="zh-CN"/>
        </w:rPr>
        <w:t>2</w:t>
      </w:r>
      <w:r>
        <w:rPr>
          <w:rFonts w:ascii="仿宋_GB2312" w:eastAsia="仿宋_GB2312" w:cs="仿宋_GB2312" w:hAnsi="仿宋_GB2312" w:hint="eastAsia"/>
          <w:lang w:val="en-US" w:eastAsia="zh-CN"/>
        </w:rPr>
        <w:t>5-0001</w:t>
      </w:r>
    </w:p>
    <w:p>
      <w:r>
        <mc:AlternateContent>
          <mc:Choice Requires="wps">
            <w:drawing>
              <wp:anchor distT="0" distB="0" distL="114300" distR="114300" simplePos="0" relativeHeight="33" behindDoc="0" locked="0" layoutInCell="1" hidden="0" allowOverlap="1">
                <wp:simplePos x="0" y="0"/>
                <wp:positionH relativeFrom="column">
                  <wp:posOffset>100965</wp:posOffset>
                </wp:positionH>
                <wp:positionV relativeFrom="paragraph">
                  <wp:posOffset>29209</wp:posOffset>
                </wp:positionV>
                <wp:extent cx="4577715" cy="2227580"/>
                <wp:effectExtent l="4444" t="5080" r="8889" b="15240"/>
                <wp:wrapNone/>
                <wp:docPr id="14" name="文本框 14"/>
                <wp:cNvGraphicFramePr>
                  <a:graphicFrameLocks noChangeAspect="0"/>
                </wp:cNvGraphicFramePr>
                <a:graphic>
                  <a:graphicData uri="http://schemas.microsoft.com/office/word/2010/wordprocessingShape">
                    <wps:wsp>
                      <wps:cNvSpPr/>
                      <wps:spPr>
                        <a:xfrm rot="0">
                          <a:off x="0" y="0"/>
                          <a:ext cx="4577715" cy="2227580"/>
                        </a:xfrm>
                        <a:prstGeom prst="rect"/>
                        <a:solidFill>
                          <a:srgbClr val="FFFFFF"/>
                        </a:solidFill>
                        <a:ln w="9525" cmpd="sng" cap="flat">
                          <a:solidFill>
                            <a:srgbClr val="FFFFFF"/>
                          </a:solidFill>
                          <a:prstDash val="solid"/>
                          <a:miter/>
                        </a:ln>
                      </wps:spPr>
                      <wps:txbx id="3">
                        <w:txbxContent>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rPr>
                              <w:t>宁波市商务</w:t>
                            </w:r>
                            <w:r>
                              <w:rPr>
                                <w:rFonts w:ascii="创艺简标宋" w:eastAsia="创艺简标宋" w:hAnsi="华文中宋" w:hint="eastAsia"/>
                                <w:color w:val="FF0000"/>
                                <w:w w:val="90"/>
                                <w:sz w:val="70"/>
                                <w:szCs w:val="70"/>
                                <w:lang w:eastAsia="zh-CN"/>
                              </w:rPr>
                              <w:t>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lang w:eastAsia="zh-CN"/>
                              </w:rPr>
                              <w:t>宁波市文广旅游局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lang w:eastAsia="zh-CN"/>
                              </w:rPr>
                              <w:t>宁波市市场监督管理局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华文中宋" w:eastAsia="华文中宋" w:hAnsi="华文中宋"/>
                                <w:b/>
                                <w:sz w:val="70"/>
                                <w:szCs w:val="70"/>
                              </w:rPr>
                            </w:pPr>
                          </w:p>
                        </w:txbxContent>
                      </wps:txbx>
                      <wps:bodyPr vert="horz" wrap="square" lIns="91440" tIns="45720" rIns="91440" bIns="45720" anchor="t" anchorCtr="0" upright="0">
                        <a:noAutofit/>
                      </wps:bodyPr>
                    </wps:wsp>
                  </a:graphicData>
                </a:graphic>
              </wp:anchor>
            </w:drawing>
          </mc:Choice>
          <mc:Fallback>
            <w:pict>
              <v:rect type="#_x0000_t1" id="文本框 14" o:spid="_x0000_s4" fillcolor="#FFFFFF" stroked="t" style="position:absolute;margin-left:7.9500003pt;margin-top:2.3pt;width:360.45pt;height:175.4pt;z-index:33;mso-position-horizontal:absolute;mso-position-vertical:absolute;mso-wrap-style:square;">
                <v:stroke color="#FFFFFF"/>
                <v:textbox id="848" inset="2.54mm,1.27mm,2.54mm,1.27mm" o:insetmode="custom" style="layout-flow:horizontal;v-text-anchor:top;">
                  <w:txbxContent>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rPr>
                        <w:t>宁波市商务</w:t>
                      </w:r>
                      <w:r>
                        <w:rPr>
                          <w:rFonts w:ascii="创艺简标宋" w:eastAsia="创艺简标宋" w:hAnsi="华文中宋" w:hint="eastAsia"/>
                          <w:color w:val="FF0000"/>
                          <w:w w:val="90"/>
                          <w:sz w:val="70"/>
                          <w:szCs w:val="70"/>
                          <w:lang w:eastAsia="zh-CN"/>
                        </w:rPr>
                        <w:t>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lang w:eastAsia="zh-CN"/>
                        </w:rPr>
                        <w:t>宁波市文广旅游局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创艺简标宋" w:eastAsia="创艺简标宋" w:hAnsi="华文中宋" w:hint="eastAsia"/>
                          <w:color w:val="FF0000"/>
                          <w:w w:val="90"/>
                          <w:sz w:val="70"/>
                          <w:szCs w:val="70"/>
                          <w:lang w:eastAsia="zh-CN"/>
                        </w:rPr>
                      </w:pPr>
                      <w:r>
                        <w:rPr>
                          <w:rFonts w:ascii="创艺简标宋" w:eastAsia="创艺简标宋" w:hAnsi="华文中宋" w:hint="eastAsia"/>
                          <w:color w:val="FF0000"/>
                          <w:w w:val="90"/>
                          <w:sz w:val="70"/>
                          <w:szCs w:val="70"/>
                          <w:lang w:eastAsia="zh-CN"/>
                        </w:rPr>
                        <w:t>宁波市市场监督管理局</w:t>
                      </w:r>
                    </w:p>
                    <w:p>
                      <w:pPr>
                        <w:keepNext w:val="0"/>
                        <w:keepLines w:val="0"/>
                        <w:pageBreakBefore w:val="0"/>
                        <w:widowControl w:val="0"/>
                        <w:kinsoku/>
                        <w:wordWrap/>
                        <w:overflowPunct/>
                        <w:topLinePunct w:val="0"/>
                        <w:autoSpaceDE/>
                        <w:autoSpaceDN/>
                        <w:bidi w:val="0"/>
                        <w:adjustRightInd/>
                        <w:snapToGrid/>
                        <w:spacing w:line="1000" w:lineRule="exact"/>
                        <w:jc w:val="distribute"/>
                        <w:textAlignment w:val="auto"/>
                        <w:outlineLvl w:val="9"/>
                        <w:rPr>
                          <w:rFonts w:ascii="华文中宋" w:eastAsia="华文中宋" w:hAnsi="华文中宋"/>
                          <w:b/>
                          <w:sz w:val="70"/>
                          <w:szCs w:val="70"/>
                        </w:rPr>
                      </w:pPr>
                    </w:p>
                  </w:txbxContent>
                </v:textbox>
              </v:rect>
            </w:pict>
          </mc:Fallback>
        </mc:AlternateContent>
      </w:r>
    </w:p>
    <w:p>
      <w:r>
        <mc:AlternateContent>
          <mc:Choice Requires="wps">
            <w:drawing>
              <wp:anchor distT="0" distB="0" distL="114300" distR="114300" simplePos="0" relativeHeight="35" behindDoc="0" locked="0" layoutInCell="1" hidden="0" allowOverlap="1">
                <wp:simplePos x="0" y="0"/>
                <wp:positionH relativeFrom="column">
                  <wp:posOffset>4682490</wp:posOffset>
                </wp:positionH>
                <wp:positionV relativeFrom="paragraph">
                  <wp:posOffset>350520</wp:posOffset>
                </wp:positionV>
                <wp:extent cx="1080135" cy="1132840"/>
                <wp:effectExtent l="5080" t="4444" r="19684" b="5715"/>
                <wp:wrapNone/>
                <wp:docPr id="13" name="文本框 13"/>
                <wp:cNvGraphicFramePr>
                  <a:graphicFrameLocks noChangeAspect="0"/>
                </wp:cNvGraphicFramePr>
                <a:graphic>
                  <a:graphicData uri="http://schemas.microsoft.com/office/word/2010/wordprocessingShape">
                    <wps:wsp>
                      <wps:cNvSpPr/>
                      <wps:spPr>
                        <a:xfrm rot="0">
                          <a:off x="0" y="0"/>
                          <a:ext cx="1080135" cy="1132840"/>
                        </a:xfrm>
                        <a:prstGeom prst="rect"/>
                        <a:solidFill>
                          <a:srgbClr val="FFFFFF"/>
                        </a:solidFill>
                        <a:ln w="9525" cmpd="sng" cap="flat">
                          <a:solidFill>
                            <a:srgbClr val="FFFFFF"/>
                          </a:solidFill>
                          <a:prstDash val="solid"/>
                          <a:miter/>
                        </a:ln>
                      </wps:spPr>
                      <wps:txbx id="5">
                        <w:txbxContent>
                          <w:p>
                            <w:pPr>
                              <w:keepNext w:val="0"/>
                              <w:keepLines w:val="0"/>
                              <w:pageBreakBefore w:val="0"/>
                              <w:widowControl w:val="0"/>
                              <w:kinsoku/>
                              <w:wordWrap/>
                              <w:overflowPunct/>
                              <w:topLinePunct w:val="0"/>
                              <w:autoSpaceDE/>
                              <w:autoSpaceDN/>
                              <w:bidi w:val="0"/>
                              <w:adjustRightInd/>
                              <w:snapToGrid/>
                              <w:spacing w:line="100" w:lineRule="exact"/>
                              <w:textAlignment w:val="auto"/>
                              <w:rPr>
                                <w:rFonts w:ascii="创艺简标宋" w:eastAsia="创艺简标宋" w:hAnsi="华文中宋" w:hint="eastAsia"/>
                                <w:color w:val="FF0000"/>
                                <w:w w:val="90"/>
                                <w:sz w:val="70"/>
                                <w:szCs w:val="70"/>
                              </w:rPr>
                            </w:pPr>
                          </w:p>
                          <w:p>
                            <w:pPr>
                              <w:spacing w:line="800" w:lineRule="exact"/>
                              <w:rPr>
                                <w:rFonts w:ascii="创艺简标宋" w:eastAsia="创艺简标宋" w:hAnsi="华文中宋" w:hint="eastAsia"/>
                                <w:color w:val="FF0000"/>
                                <w:w w:val="90"/>
                                <w:sz w:val="70"/>
                                <w:szCs w:val="70"/>
                              </w:rPr>
                            </w:pPr>
                            <w:r>
                              <w:rPr>
                                <w:rFonts w:ascii="创艺简标宋" w:eastAsia="创艺简标宋" w:hAnsi="华文中宋" w:hint="eastAsia"/>
                                <w:color w:val="FF0000"/>
                                <w:w w:val="90"/>
                                <w:sz w:val="70"/>
                                <w:szCs w:val="70"/>
                              </w:rPr>
                              <w:t>文件</w:t>
                            </w:r>
                          </w:p>
                        </w:txbxContent>
                      </wps:txbx>
                      <wps:bodyPr vert="horz" wrap="square" lIns="0" tIns="45720" rIns="91440" bIns="45720" anchor="t" anchorCtr="0" upright="0">
                        <a:noAutofit/>
                      </wps:bodyPr>
                    </wps:wsp>
                  </a:graphicData>
                </a:graphic>
              </wp:anchor>
            </w:drawing>
          </mc:Choice>
          <mc:Fallback>
            <w:pict>
              <v:rect type="#_x0000_t1" id="文本框 13" o:spid="_x0000_s6" fillcolor="#FFFFFF" stroked="t" style="position:absolute;margin-left:368.7pt;margin-top:27.600002pt;width:85.05002pt;height:89.2pt;z-index:35;mso-position-horizontal:absolute;mso-position-vertical:absolute;mso-wrap-style:square;">
                <v:stroke color="#FFFFFF"/>
                <v:textbox id="849" inset="0mm,1.27mm,2.54mm,1.27mm" o:insetmode="custom" style="layout-flow:horizontal;v-text-anchor:top;">
                  <w:txbxContent>
                    <w:p>
                      <w:pPr>
                        <w:keepNext w:val="0"/>
                        <w:keepLines w:val="0"/>
                        <w:pageBreakBefore w:val="0"/>
                        <w:widowControl w:val="0"/>
                        <w:kinsoku/>
                        <w:wordWrap/>
                        <w:overflowPunct/>
                        <w:topLinePunct w:val="0"/>
                        <w:autoSpaceDE/>
                        <w:autoSpaceDN/>
                        <w:bidi w:val="0"/>
                        <w:adjustRightInd/>
                        <w:snapToGrid/>
                        <w:spacing w:line="100" w:lineRule="exact"/>
                        <w:textAlignment w:val="auto"/>
                        <w:rPr>
                          <w:rFonts w:ascii="创艺简标宋" w:eastAsia="创艺简标宋" w:hAnsi="华文中宋" w:hint="eastAsia"/>
                          <w:color w:val="FF0000"/>
                          <w:w w:val="90"/>
                          <w:sz w:val="70"/>
                          <w:szCs w:val="70"/>
                        </w:rPr>
                      </w:pPr>
                    </w:p>
                    <w:p>
                      <w:pPr>
                        <w:spacing w:line="800" w:lineRule="exact"/>
                        <w:rPr>
                          <w:rFonts w:ascii="创艺简标宋" w:eastAsia="创艺简标宋" w:hAnsi="华文中宋" w:hint="eastAsia"/>
                          <w:color w:val="FF0000"/>
                          <w:w w:val="90"/>
                          <w:sz w:val="70"/>
                          <w:szCs w:val="70"/>
                        </w:rPr>
                      </w:pPr>
                      <w:r>
                        <w:rPr>
                          <w:rFonts w:ascii="创艺简标宋" w:eastAsia="创艺简标宋" w:hAnsi="华文中宋" w:hint="eastAsia"/>
                          <w:color w:val="FF0000"/>
                          <w:w w:val="90"/>
                          <w:sz w:val="70"/>
                          <w:szCs w:val="70"/>
                        </w:rPr>
                        <w:t>文件</w:t>
                      </w:r>
                    </w:p>
                  </w:txbxContent>
                </v:textbox>
              </v:rect>
            </w:pict>
          </mc:Fallback>
        </mc:AlternateContent>
      </w:r>
    </w:p>
    <w:p>
      <w:pPr>
        <w:tabs>
          <w:tab w:val="left" w:pos="7584"/>
        </w:tabs>
      </w:pPr>
      <w:r>
        <w:tab/>
      </w:r>
    </w:p>
    <w:p/>
    <w:p>
      <w:pPr>
        <w:jc w:val="center"/>
      </w:pPr>
    </w:p>
    <w:p/>
    <w:p>
      <w:pPr>
        <w:jc w:val="both"/>
        <w:rPr>
          <w:rFonts w:ascii="仿宋_GB2312" w:hint="eastAsia"/>
        </w:rPr>
      </w:pPr>
    </w:p>
    <w:p>
      <w:pPr>
        <w:keepNext w:val="0"/>
        <w:keepLines w:val="0"/>
        <w:pageBreakBefore w:val="0"/>
        <w:widowControl w:val="0"/>
        <w:kinsoku/>
        <w:wordWrap/>
        <w:overflowPunct/>
        <w:topLinePunct w:val="0"/>
        <w:autoSpaceDE/>
        <w:autoSpaceDN/>
        <w:bidi w:val="0"/>
        <w:adjustRightInd/>
        <w:snapToGrid/>
        <w:jc w:val="center"/>
        <w:textAlignment w:val="auto"/>
        <w:rPr>
          <w:rFonts w:ascii="仿宋_GB2312"/>
        </w:rPr>
      </w:pPr>
      <w:r>
        <w:rPr>
          <w:rFonts w:ascii="仿宋_GB2312" w:hint="eastAsia"/>
        </w:rPr>
        <w:t>甬商务</w:t>
      </w:r>
      <w:r>
        <w:rPr>
          <w:rFonts w:ascii="仿宋_GB2312" w:hint="eastAsia"/>
          <w:lang w:eastAsia="zh-CN"/>
        </w:rPr>
        <w:t>消费</w:t>
      </w:r>
      <w:r>
        <w:rPr>
          <w:rFonts w:ascii="仿宋_GB2312" w:hint="eastAsia"/>
        </w:rPr>
        <w:t>〔</w:t>
      </w:r>
      <w:r>
        <w:rPr>
          <w:rFonts w:ascii="仿宋_GB2312"/>
        </w:rPr>
        <w:t>20</w:t>
      </w:r>
      <w:r>
        <w:rPr>
          <w:rFonts w:ascii="仿宋_GB2312" w:hint="eastAsia"/>
          <w:lang w:val="en-US" w:eastAsia="zh-CN"/>
        </w:rPr>
        <w:t>25</w:t>
      </w:r>
      <w:r>
        <w:rPr>
          <w:rFonts w:ascii="仿宋_GB2312" w:hint="eastAsia"/>
        </w:rPr>
        <w:t>〕</w:t>
      </w:r>
      <w:r>
        <w:rPr>
          <w:rFonts w:ascii="仿宋_GB2312" w:hint="eastAsia"/>
          <w:lang w:val="en-US" w:eastAsia="zh-CN"/>
        </w:rPr>
        <w:t>239</w:t>
      </w:r>
      <w:r>
        <w:rPr>
          <w:rFonts w:ascii="仿宋_GB2312" w:hint="eastAsia"/>
        </w:rPr>
        <w:t>号</w:t>
      </w:r>
    </w:p>
    <w:p>
      <w:pPr>
        <w:spacing w:line="579" w:lineRule="exact"/>
        <w:contextualSpacing/>
        <w:jc w:val="both"/>
        <w:rPr>
          <w:rFonts w:ascii="Times New Roman" w:hAnsi="Times New Roman" w:hint="eastAsia"/>
          <w:sz w:val="32"/>
          <w:szCs w:val="32"/>
          <w:lang w:eastAsia="zh-CN"/>
        </w:rPr>
      </w:pPr>
      <w:r>
        <mc:AlternateContent>
          <mc:Choice Requires="wps">
            <w:drawing>
              <wp:anchor distT="0" distB="0" distL="114300" distR="114300" simplePos="0" relativeHeight="37" behindDoc="0" locked="0" layoutInCell="1" hidden="0" allowOverlap="1">
                <wp:simplePos x="0" y="0"/>
                <wp:positionH relativeFrom="column">
                  <wp:posOffset>78105</wp:posOffset>
                </wp:positionH>
                <wp:positionV relativeFrom="paragraph">
                  <wp:posOffset>39369</wp:posOffset>
                </wp:positionV>
                <wp:extent cx="5615940" cy="0"/>
                <wp:effectExtent l="0" t="12700" r="3810" b="15875"/>
                <wp:wrapNone/>
                <wp:docPr id="2" name="直接连接符 2"/>
                <wp:cNvGraphicFramePr>
                  <a:graphicFrameLocks noChangeAspect="0"/>
                </wp:cNvGraphicFramePr>
                <a:graphic>
                  <a:graphicData uri="http://schemas.microsoft.com/office/word/2010/wordprocessingShape">
                    <wps:wsp>
                      <wps:cNvSpPr/>
                      <wps:spPr>
                        <a:xfrm rot="0">
                          <a:off x="0" y="0"/>
                          <a:ext cx="5615940" cy="0"/>
                        </a:xfrm>
                        <a:prstGeom prst="line"/>
                        <a:noFill/>
                        <a:ln w="25400" cmpd="sng" cap="flat">
                          <a:solidFill>
                            <a:srgbClr val="FF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2" o:spid="_x0000_s7" from="6.1500006pt,3.1pt" to="448.35pt,3.1pt" filled="f" stroked="t" strokeweight="2.0pt" style="position:absolute;z-index:37;mso-position-horizontal:absolute;mso-position-vertical:absolute;visibility:visible;">
                <v:stroke color="#FF0000"/>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创艺简标宋" w:eastAsia="创艺简标宋" w:cs="创艺简标宋" w:hAnsi="创艺简标宋" w:hint="eastAsia"/>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创艺简标宋" w:eastAsia="创艺简标宋" w:cs="创艺简标宋" w:hAnsi="创艺简标宋" w:hint="eastAsia"/>
          <w:sz w:val="44"/>
          <w:szCs w:val="44"/>
        </w:rPr>
      </w:pPr>
      <w:r>
        <w:rPr>
          <w:rFonts w:ascii="创艺简标宋" w:eastAsia="创艺简标宋" w:cs="创艺简标宋" w:hAnsi="创艺简标宋" w:hint="eastAsia"/>
          <w:sz w:val="44"/>
          <w:szCs w:val="44"/>
        </w:rPr>
        <w:t xml:space="preserve">宁波市商务局 宁波市文广旅游局 </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创艺简标宋" w:eastAsia="创艺简标宋" w:cs="创艺简标宋" w:hAnsi="创艺简标宋" w:hint="eastAsia"/>
          <w:spacing w:val="17"/>
          <w:sz w:val="44"/>
          <w:szCs w:val="44"/>
        </w:rPr>
      </w:pPr>
      <w:r>
        <w:rPr>
          <w:rFonts w:ascii="创艺简标宋" w:eastAsia="创艺简标宋" w:cs="创艺简标宋" w:hAnsi="创艺简标宋" w:hint="eastAsia"/>
          <w:spacing w:val="17"/>
          <w:sz w:val="44"/>
          <w:szCs w:val="44"/>
        </w:rPr>
        <w:t>宁波市市场监督管理局关于印发</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创艺简标宋" w:eastAsia="创艺简标宋" w:cs="创艺简标宋" w:hAnsi="创艺简标宋" w:hint="eastAsia"/>
          <w:spacing w:val="-6"/>
          <w:sz w:val="44"/>
          <w:szCs w:val="44"/>
        </w:rPr>
      </w:pPr>
      <w:r>
        <w:rPr>
          <w:rFonts w:ascii="创艺简标宋" w:eastAsia="创艺简标宋" w:cs="创艺简标宋" w:hAnsi="创艺简标宋" w:hint="eastAsia"/>
          <w:spacing w:val="-6"/>
          <w:sz w:val="44"/>
          <w:szCs w:val="44"/>
        </w:rPr>
        <w:t>《宁波老字号认定管理办法（修订版）》的通知</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textAlignment w:val="auto"/>
        <w:rPr>
          <w:rFonts w:ascii="仿宋_GB2312" w:eastAsia="仿宋_GB2312" w:cs="仿宋_GB2312" w:hAnsi="CESI小标宋-GB2312" w:hint="eastAsia"/>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textAlignment w:val="auto"/>
        <w:rPr>
          <w:rFonts w:ascii="仿宋_GB2312" w:eastAsia="仿宋_GB2312" w:cs="仿宋_GB2312" w:hAnsi="CESI小标宋-GB2312"/>
          <w:sz w:val="32"/>
          <w:szCs w:val="32"/>
        </w:rPr>
      </w:pPr>
      <w:r>
        <w:rPr>
          <w:rFonts w:ascii="仿宋_GB2312" w:eastAsia="仿宋_GB2312" w:cs="仿宋_GB2312" w:hAnsi="CESI小标宋-GB2312" w:hint="eastAsia"/>
          <w:sz w:val="32"/>
          <w:szCs w:val="32"/>
        </w:rPr>
        <w:t>各</w:t>
      </w:r>
      <w:r>
        <w:rPr>
          <w:rFonts w:ascii="仿宋_GB2312" w:eastAsia="仿宋_GB2312" w:cs="仿宋_GB2312" w:hAnsi="CESI小标宋-GB2312"/>
          <w:sz w:val="32"/>
          <w:szCs w:val="32"/>
        </w:rPr>
        <w:t>区（县、市）商务局、文广旅</w:t>
      </w:r>
      <w:r>
        <w:rPr>
          <w:rFonts w:ascii="仿宋_GB2312" w:cs="仿宋_GB2312" w:hAnsi="CESI小标宋-GB2312" w:hint="eastAsia"/>
          <w:sz w:val="32"/>
          <w:szCs w:val="32"/>
          <w:lang w:eastAsia="zh-CN"/>
        </w:rPr>
        <w:t>游</w:t>
      </w:r>
      <w:r>
        <w:rPr>
          <w:rFonts w:ascii="仿宋_GB2312" w:eastAsia="仿宋_GB2312" w:cs="仿宋_GB2312" w:hAnsi="CESI小标宋-GB2312"/>
          <w:sz w:val="32"/>
          <w:szCs w:val="32"/>
        </w:rPr>
        <w:t>局、市场监管局：</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28"/>
        <w:textAlignment w:val="auto"/>
        <w:rPr>
          <w:rFonts w:ascii="仿宋_GB2312" w:eastAsia="仿宋_GB2312" w:cs="仿宋_GB2312" w:hAnsi="仿宋_GB2312"/>
          <w:color w:val="auto"/>
          <w:sz w:val="32"/>
          <w:szCs w:val="32"/>
          <w:lang w:val="en-US" w:eastAsia="zh-CN"/>
        </w:rPr>
      </w:pPr>
      <w:r>
        <w:rPr>
          <w:rFonts w:ascii="仿宋_GB2312" w:eastAsia="仿宋_GB2312" w:cs="仿宋_GB2312" w:hAnsi="仿宋_GB2312" w:hint="eastAsia"/>
          <w:color w:val="auto"/>
          <w:sz w:val="32"/>
          <w:szCs w:val="32"/>
          <w:lang w:eastAsia="zh-CN"/>
        </w:rPr>
        <w:t>为推进我市老字号品牌保护，推动宁波老字号品牌振兴，鼓励和支持老字号健康发展</w:t>
      </w:r>
      <w:r>
        <w:rPr>
          <w:rFonts w:ascii="仿宋_GB2312" w:eastAsia="仿宋_GB2312" w:cs="仿宋_GB2312" w:hAnsi="仿宋_GB2312" w:hint="eastAsia"/>
          <w:color w:val="auto"/>
          <w:sz w:val="32"/>
          <w:szCs w:val="32"/>
          <w:lang w:val="en-US" w:eastAsia="zh-CN"/>
        </w:rPr>
        <w:t>，</w:t>
      </w:r>
      <w:r>
        <w:rPr>
          <w:rFonts w:ascii="仿宋_GB2312" w:eastAsia="仿宋_GB2312" w:cs="仿宋_GB2312" w:hAnsi="仿宋_GB2312"/>
          <w:color w:val="auto"/>
          <w:sz w:val="32"/>
          <w:szCs w:val="32"/>
          <w:lang w:val="en-US" w:eastAsia="zh-CN"/>
        </w:rPr>
        <w:t>制</w:t>
      </w:r>
      <w:r>
        <w:rPr>
          <w:rFonts w:ascii="仿宋_GB2312" w:eastAsia="仿宋_GB2312" w:cs="仿宋_GB2312" w:hAnsi="仿宋_GB2312" w:hint="eastAsia"/>
          <w:color w:val="auto"/>
          <w:sz w:val="32"/>
          <w:szCs w:val="32"/>
          <w:lang w:val="en-US" w:eastAsia="zh-CN"/>
        </w:rPr>
        <w:t>定《宁波老字号认定管理办法（修订版）》，现印发你们，请认真执行。</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28"/>
        <w:textAlignment w:val="auto"/>
        <w:rPr>
          <w:rFonts w:ascii="仿宋_GB2312" w:eastAsia="仿宋_GB2312" w:cs="仿宋_GB2312" w:hAnsi="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Chars="200" w:firstLine="628"/>
        <w:textAlignment w:val="auto"/>
        <w:rPr>
          <w:rFonts w:ascii="仿宋_GB2312" w:eastAsia="仿宋_GB2312" w:cs="仿宋_GB2312" w:hAnsi="仿宋_GB2312"/>
          <w:color w:val="auto"/>
          <w:sz w:val="32"/>
          <w:szCs w:val="32"/>
          <w:lang w:val="en-US" w:eastAsia="zh-CN"/>
        </w:rPr>
      </w:pPr>
      <w:r>
        <w:rPr>
          <w:rFonts w:ascii="仿宋_GB2312" w:eastAsia="仿宋_GB2312" w:cs="仿宋_GB2312" w:hAnsi="仿宋_GB2312"/>
          <w:color w:val="auto"/>
          <w:sz w:val="32"/>
          <w:szCs w:val="32"/>
          <w:lang w:val="en-US" w:eastAsia="zh-CN"/>
        </w:rPr>
        <w:t>附件：宁波老字号认定管理办法（修订版）</w:t>
      </w:r>
    </w:p>
    <w:p>
      <w:pPr>
        <w:keepNext w:val="0"/>
        <w:keepLines w:val="0"/>
        <w:pageBreakBefore w:val="0"/>
        <w:widowControl w:val="0"/>
        <w:kinsoku/>
        <w:wordWrap/>
        <w:overflowPunct/>
        <w:topLinePunct w:val="0"/>
        <w:autoSpaceDE/>
        <w:autoSpaceDN/>
        <w:bidi w:val="0"/>
        <w:adjustRightInd/>
        <w:snapToGrid/>
        <w:spacing w:line="240" w:lineRule="auto"/>
        <w:ind w:firstLineChars="200" w:firstLine="628"/>
        <w:textAlignment w:val="auto"/>
        <w:rPr>
          <w:rFonts w:ascii="仿宋_GB2312" w:eastAsia="仿宋_GB2312" w:cs="仿宋_GB2312" w:hAnsi="仿宋_GB2312"/>
          <w:color w:val="auto"/>
          <w:sz w:val="32"/>
          <w:szCs w:val="32"/>
          <w:lang w:val="en-US" w:eastAsia="zh-CN"/>
        </w:rPr>
      </w:pPr>
      <w:r>
        <w:rPr>
          <w:rFonts w:ascii="仿宋_GB2312" w:cs="仿宋_GB2312" w:hAnsi="仿宋_GB2312" w:hint="eastAsia"/>
          <w:color w:val="auto"/>
          <w:sz w:val="32"/>
          <w:szCs w:val="32"/>
          <w:lang w:val="en-US" w:eastAsia="zh-CN"/>
        </w:rPr>
        <w:t>（此页无正文）</w:t>
      </w:r>
    </w:p>
    <w:p>
      <w:pPr>
        <w:ind w:firstLineChars="200" w:firstLine="628"/>
        <w:rPr>
          <w:rFonts w:ascii="仿宋_GB2312" w:eastAsia="仿宋_GB2312" w:cs="仿宋_GB2312" w:hAnsi="仿宋_GB2312" w:hint="eastAsia"/>
          <w:color w:val="auto"/>
          <w:sz w:val="32"/>
          <w:szCs w:val="32"/>
          <w:lang w:val="en-US" w:eastAsia="zh-CN"/>
        </w:rPr>
      </w:pPr>
    </w:p>
    <w:p>
      <w:pPr>
        <w:ind w:firstLineChars="200" w:firstLine="628"/>
        <w:rPr>
          <w:rFonts w:ascii="仿宋_GB2312" w:eastAsia="仿宋_GB2312" w:cs="仿宋_GB2312" w:hAnsi="仿宋_GB2312" w:hint="eastAsia"/>
          <w:color w:val="auto"/>
          <w:sz w:val="32"/>
          <w:szCs w:val="32"/>
          <w:lang w:val="en-US" w:eastAsia="zh-CN"/>
        </w:rPr>
      </w:pPr>
    </w:p>
    <w:p>
      <w:pPr>
        <w:ind w:firstLineChars="200" w:firstLine="628"/>
        <w:rPr>
          <w:rFonts w:ascii="仿宋_GB2312" w:eastAsia="仿宋_GB2312" w:cs="仿宋_GB2312" w:hAnsi="仿宋_GB2312" w:hint="eastAsia"/>
          <w:color w:val="auto"/>
          <w:sz w:val="32"/>
          <w:szCs w:val="32"/>
          <w:lang w:val="en-US" w:eastAsia="zh-CN"/>
        </w:rPr>
      </w:pPr>
    </w:p>
    <w:p>
      <w:pPr>
        <w:ind w:firstLineChars="200" w:firstLine="628"/>
        <w:rPr>
          <w:rFonts w:ascii="仿宋_GB2312" w:eastAsia="仿宋_GB2312" w:cs="仿宋_GB2312" w:hAnsi="仿宋_GB2312"/>
          <w:color w:val="auto"/>
          <w:sz w:val="32"/>
          <w:szCs w:val="32"/>
          <w:lang w:val="en-US" w:eastAsia="zh-CN"/>
        </w:rPr>
      </w:pPr>
      <w:r>
        <w:rPr>
          <w:rFonts w:ascii="仿宋_GB2312" w:eastAsia="仿宋_GB2312" w:cs="仿宋_GB2312" w:hAnsi="仿宋_GB2312" w:hint="eastAsia"/>
          <w:color w:val="auto"/>
          <w:sz w:val="32"/>
          <w:szCs w:val="32"/>
          <w:lang w:val="en-US" w:eastAsia="zh-CN"/>
        </w:rPr>
        <w:t>宁波市商务局</w:t>
      </w:r>
      <w:r>
        <w:rPr>
          <w:rFonts w:ascii="仿宋_GB2312" w:eastAsia="仿宋_GB2312" w:cs="仿宋_GB2312" w:hAnsi="仿宋_GB2312"/>
          <w:color w:val="auto"/>
          <w:sz w:val="32"/>
          <w:szCs w:val="32"/>
          <w:lang w:val="en-US" w:eastAsia="zh-CN"/>
        </w:rPr>
        <w:t xml:space="preserve">    </w:t>
      </w:r>
      <w:r>
        <w:rPr>
          <w:rFonts w:ascii="仿宋_GB2312" w:cs="仿宋_GB2312" w:hAnsi="仿宋_GB2312" w:hint="eastAsia"/>
          <w:color w:val="auto"/>
          <w:sz w:val="32"/>
          <w:szCs w:val="32"/>
          <w:lang w:val="en-US" w:eastAsia="zh-CN"/>
        </w:rPr>
        <w:t xml:space="preserve">        </w:t>
      </w:r>
      <w:r>
        <w:rPr>
          <w:rFonts w:ascii="仿宋_GB2312" w:eastAsia="仿宋_GB2312" w:cs="仿宋_GB2312" w:hAnsi="仿宋_GB2312"/>
          <w:color w:val="auto"/>
          <w:sz w:val="32"/>
          <w:szCs w:val="32"/>
          <w:lang w:val="en-US" w:eastAsia="zh-CN"/>
        </w:rPr>
        <w:t xml:space="preserve">    宁波市文广旅游局</w:t>
      </w:r>
    </w:p>
    <w:p>
      <w:pPr>
        <w:ind w:firstLineChars="800" w:firstLine="2511"/>
        <w:rPr>
          <w:rFonts w:ascii="仿宋_GB2312" w:eastAsia="仿宋_GB2312" w:cs="仿宋_GB2312" w:hAnsi="仿宋_GB2312"/>
          <w:color w:val="auto"/>
          <w:sz w:val="32"/>
          <w:szCs w:val="32"/>
          <w:lang w:val="en-US" w:eastAsia="zh-CN"/>
        </w:rPr>
      </w:pPr>
    </w:p>
    <w:p>
      <w:pPr>
        <w:pStyle w:val="15"/>
        <w:rPr>
          <w:rFonts w:ascii="仿宋_GB2312" w:eastAsia="仿宋_GB2312" w:cs="仿宋_GB2312" w:hAnsi="仿宋_GB2312"/>
          <w:color w:val="auto"/>
          <w:sz w:val="32"/>
          <w:szCs w:val="32"/>
          <w:lang w:val="en-US" w:eastAsia="zh-CN"/>
        </w:rPr>
      </w:pPr>
    </w:p>
    <w:p>
      <w:pPr>
        <w:rPr>
          <w:lang w:val="en-US" w:eastAsia="zh-CN"/>
        </w:rPr>
      </w:pPr>
    </w:p>
    <w:p>
      <w:pPr>
        <w:ind w:firstLineChars="1500" w:firstLine="4708"/>
        <w:rPr>
          <w:rFonts w:ascii="仿宋_GB2312" w:eastAsia="仿宋_GB2312" w:cs="仿宋_GB2312" w:hAnsi="仿宋_GB2312" w:hint="eastAsia"/>
          <w:color w:val="auto"/>
          <w:sz w:val="32"/>
          <w:szCs w:val="32"/>
          <w:lang w:val="en-US" w:eastAsia="zh-CN"/>
        </w:rPr>
      </w:pPr>
      <w:r>
        <w:rPr>
          <w:rFonts w:ascii="仿宋_GB2312" w:eastAsia="仿宋_GB2312" w:cs="仿宋_GB2312" w:hAnsi="仿宋_GB2312"/>
          <w:color w:val="auto"/>
          <w:sz w:val="32"/>
          <w:szCs w:val="32"/>
          <w:lang w:val="en-US" w:eastAsia="zh-CN"/>
        </w:rPr>
        <w:t xml:space="preserve">宁波市市场监督管理局   </w:t>
      </w:r>
    </w:p>
    <w:p>
      <w:pPr>
        <w:jc w:val="center"/>
        <w:rPr>
          <w:rFonts w:ascii="仿宋_GB2312" w:eastAsia="仿宋_GB2312" w:cs="仿宋_GB2312" w:hAnsi="仿宋_GB2312" w:hint="eastAsia"/>
          <w:color w:val="auto"/>
          <w:sz w:val="32"/>
          <w:szCs w:val="32"/>
          <w:lang w:val="en-US" w:eastAsia="zh-CN"/>
        </w:rPr>
      </w:pPr>
      <w:r>
        <w:rPr>
          <w:rFonts w:ascii="仿宋_GB2312" w:eastAsia="仿宋_GB2312" w:cs="仿宋_GB2312" w:hAnsi="仿宋_GB2312" w:hint="eastAsia"/>
          <w:color w:val="auto"/>
          <w:sz w:val="32"/>
          <w:szCs w:val="32"/>
          <w:lang w:val="en-US" w:eastAsia="zh-CN"/>
        </w:rPr>
        <w:t xml:space="preserve">                    </w:t>
      </w:r>
      <w:r>
        <w:rPr>
          <w:rFonts w:ascii="仿宋_GB2312" w:cs="仿宋_GB2312" w:hAnsi="仿宋_GB2312" w:hint="eastAsia"/>
          <w:color w:val="auto"/>
          <w:sz w:val="32"/>
          <w:szCs w:val="32"/>
          <w:lang w:val="en-US" w:eastAsia="zh-CN"/>
        </w:rPr>
        <w:t xml:space="preserve">  </w:t>
      </w:r>
      <w:r>
        <w:rPr>
          <w:rFonts w:ascii="仿宋_GB2312" w:eastAsia="仿宋_GB2312" w:cs="仿宋_GB2312" w:hAnsi="仿宋_GB2312" w:hint="eastAsia"/>
          <w:color w:val="auto"/>
          <w:sz w:val="32"/>
          <w:szCs w:val="32"/>
          <w:lang w:val="en-US" w:eastAsia="zh-CN"/>
        </w:rPr>
        <w:t xml:space="preserve">  202</w:t>
      </w:r>
      <w:r>
        <w:rPr>
          <w:rFonts w:ascii="仿宋_GB2312" w:eastAsia="仿宋_GB2312" w:cs="仿宋_GB2312" w:hAnsi="仿宋_GB2312"/>
          <w:color w:val="auto"/>
          <w:sz w:val="32"/>
          <w:szCs w:val="32"/>
          <w:lang w:val="en-US" w:eastAsia="zh-CN"/>
        </w:rPr>
        <w:t>5</w:t>
      </w:r>
      <w:r>
        <w:rPr>
          <w:rFonts w:ascii="仿宋_GB2312" w:eastAsia="仿宋_GB2312" w:cs="仿宋_GB2312" w:hAnsi="仿宋_GB2312" w:hint="eastAsia"/>
          <w:color w:val="auto"/>
          <w:sz w:val="32"/>
          <w:szCs w:val="32"/>
          <w:lang w:val="en-US" w:eastAsia="zh-CN"/>
        </w:rPr>
        <w:t>年</w:t>
      </w:r>
      <w:r>
        <w:rPr>
          <w:rFonts w:ascii="仿宋_GB2312" w:cs="仿宋_GB2312" w:hAnsi="仿宋_GB2312" w:hint="eastAsia"/>
          <w:color w:val="auto"/>
          <w:sz w:val="32"/>
          <w:szCs w:val="32"/>
          <w:lang w:val="en-US" w:eastAsia="zh-CN"/>
        </w:rPr>
        <w:t>11</w:t>
      </w:r>
      <w:r>
        <w:rPr>
          <w:rFonts w:ascii="仿宋_GB2312" w:eastAsia="仿宋_GB2312" w:cs="仿宋_GB2312" w:hAnsi="仿宋_GB2312" w:hint="eastAsia"/>
          <w:color w:val="auto"/>
          <w:sz w:val="32"/>
          <w:szCs w:val="32"/>
          <w:lang w:val="en-US" w:eastAsia="zh-CN"/>
        </w:rPr>
        <w:t>月</w:t>
      </w:r>
      <w:r>
        <w:rPr>
          <w:rFonts w:ascii="仿宋_GB2312" w:cs="仿宋_GB2312" w:hAnsi="仿宋_GB2312" w:hint="eastAsia"/>
          <w:color w:val="auto"/>
          <w:sz w:val="32"/>
          <w:szCs w:val="32"/>
          <w:lang w:val="en-US" w:eastAsia="zh-CN"/>
        </w:rPr>
        <w:t>5</w:t>
      </w:r>
      <w:r>
        <w:rPr>
          <w:rFonts w:ascii="仿宋_GB2312" w:eastAsia="仿宋_GB2312" w:cs="仿宋_GB2312" w:hAnsi="仿宋_GB2312" w:hint="eastAsia"/>
          <w:color w:val="auto"/>
          <w:sz w:val="32"/>
          <w:szCs w:val="32"/>
          <w:lang w:val="en-US" w:eastAsia="zh-CN"/>
        </w:rPr>
        <w:t>日</w:t>
      </w:r>
    </w:p>
    <w:p>
      <w:pPr>
        <w:spacing w:beforeAutospacing="0" w:afterAutospacing="0"/>
        <w:ind w:left="0"/>
        <w:rPr>
          <w:rFonts w:ascii="仿宋_GB2312" w:eastAsia="仿宋_GB2312" w:cs="仿宋_GB2312" w:hAnsi="CESI小标宋-GB2312" w:hint="eastAsia"/>
          <w:sz w:val="32"/>
          <w:szCs w:val="32"/>
        </w:rPr>
      </w:pPr>
    </w:p>
    <w:p>
      <w:pPr>
        <w:spacing w:beforeAutospacing="0" w:afterAutospacing="0"/>
        <w:ind w:left="0"/>
        <w:jc w:val="center"/>
        <w:rPr>
          <w:rFonts w:ascii="CESI小标宋-GB2312" w:eastAsia="CESI小标宋-GB2312" w:cs="CESI小标宋-GB2312" w:hAnsi="CESI小标宋-GB2312"/>
          <w:sz w:val="44"/>
          <w:szCs w:val="44"/>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p>
    <w:p>
      <w:pPr>
        <w:spacing w:beforeAutospacing="0" w:afterAutospacing="0"/>
        <w:ind w:left="0"/>
        <w:rPr>
          <w:rFonts w:ascii="黑体" w:eastAsia="黑体" w:cs="黑体" w:hAnsi="黑体" w:hint="eastAsia"/>
          <w:sz w:val="32"/>
          <w:szCs w:val="32"/>
        </w:rPr>
      </w:pPr>
      <w:r>
        <w:rPr>
          <w:rFonts w:ascii="黑体" w:eastAsia="黑体" w:cs="黑体" w:hAnsi="黑体" w:hint="eastAsia"/>
          <w:sz w:val="32"/>
          <w:szCs w:val="32"/>
        </w:rPr>
        <w:t>附件</w:t>
      </w:r>
    </w:p>
    <w:p>
      <w:pPr>
        <w:spacing w:beforeAutospacing="0" w:afterAutospacing="0"/>
        <w:ind w:left="0"/>
        <w:jc w:val="center"/>
        <w:rPr>
          <w:rFonts w:ascii="创艺简标宋" w:eastAsia="创艺简标宋" w:cs="创艺简标宋" w:hAnsi="创艺简标宋" w:hint="eastAsia"/>
          <w:sz w:val="44"/>
          <w:szCs w:val="44"/>
        </w:rPr>
      </w:pPr>
      <w:r>
        <w:rPr>
          <w:rFonts w:ascii="创艺简标宋" w:eastAsia="创艺简标宋" w:cs="创艺简标宋" w:hAnsi="创艺简标宋" w:hint="eastAsia"/>
          <w:sz w:val="44"/>
          <w:szCs w:val="44"/>
        </w:rPr>
        <w:t>宁波老字号</w:t>
      </w:r>
      <w:r>
        <w:rPr>
          <w:rFonts w:ascii="创艺简标宋" w:eastAsia="创艺简标宋" w:cs="创艺简标宋" w:hAnsi="创艺简标宋" w:hint="eastAsia"/>
          <w:sz w:val="44"/>
          <w:szCs w:val="44"/>
          <w:lang w:eastAsia="zh-CN"/>
        </w:rPr>
        <w:t>认定</w:t>
      </w:r>
      <w:r>
        <w:rPr>
          <w:rFonts w:ascii="创艺简标宋" w:eastAsia="创艺简标宋" w:cs="创艺简标宋" w:hAnsi="创艺简标宋" w:hint="eastAsia"/>
          <w:sz w:val="44"/>
          <w:szCs w:val="44"/>
        </w:rPr>
        <w:t>管理办法（修订版）</w:t>
      </w:r>
    </w:p>
    <w:p>
      <w:pPr>
        <w:spacing w:beforeAutospacing="0" w:afterAutospacing="0"/>
        <w:ind w:firstLineChars="200" w:firstLine="628"/>
        <w:rPr>
          <w:rFonts w:hint="eastAsia"/>
          <w:sz w:val="32"/>
          <w:szCs w:val="32"/>
        </w:rPr>
      </w:pPr>
    </w:p>
    <w:p>
      <w:pPr>
        <w:spacing w:beforeAutospacing="0" w:afterAutospacing="0"/>
        <w:ind w:firstLineChars="200" w:firstLine="628"/>
        <w:jc w:val="center"/>
        <w:rPr>
          <w:rFonts w:ascii="黑体" w:eastAsia="黑体" w:cs="黑体" w:hAnsi="黑体" w:hint="eastAsia"/>
          <w:sz w:val="32"/>
          <w:szCs w:val="32"/>
        </w:rPr>
      </w:pPr>
      <w:r>
        <w:rPr>
          <w:rFonts w:ascii="黑体" w:eastAsia="黑体" w:cs="黑体" w:hAnsi="黑体" w:hint="eastAsia"/>
          <w:sz w:val="32"/>
          <w:szCs w:val="32"/>
        </w:rPr>
        <w:t>第一章 总 则</w:t>
      </w:r>
    </w:p>
    <w:p>
      <w:pPr>
        <w:keepNext w:val="0"/>
        <w:keepLines w:val="0"/>
        <w:pageBreakBefore w:val="0"/>
        <w:widowControl w:val="0"/>
        <w:kinsoku/>
        <w:wordWrap/>
        <w:overflowPunct/>
        <w:topLinePunct w:val="0"/>
        <w:autoSpaceDE/>
        <w:autoSpaceDN/>
        <w:bidi w:val="0"/>
        <w:adjustRightInd/>
        <w:snapToGrid/>
        <w:spacing w:beforeAutospacing="0" w:afterAutospacing="0"/>
        <w:ind w:firstLineChars="200" w:firstLine="628"/>
        <w:textAlignment w:val="auto"/>
        <w:rPr>
          <w:rFonts w:ascii="仿宋_GB2312" w:eastAsia="仿宋_GB2312" w:cs="仿宋_GB2312" w:hint="eastAsia"/>
          <w:sz w:val="32"/>
          <w:szCs w:val="32"/>
        </w:rPr>
      </w:pPr>
      <w:r>
        <w:rPr>
          <w:rFonts w:ascii="仿宋_GB2312" w:eastAsia="仿宋_GB2312" w:cs="仿宋_GB2312" w:hAnsi="仿宋_GB2312" w:hint="eastAsia"/>
          <w:b/>
          <w:bCs/>
          <w:sz w:val="32"/>
          <w:szCs w:val="32"/>
        </w:rPr>
        <w:t>第一条</w:t>
      </w:r>
      <w:r>
        <w:rPr>
          <w:rFonts w:ascii="仿宋_GB2312" w:eastAsia="仿宋_GB2312" w:cs="仿宋_GB2312" w:hint="eastAsia"/>
          <w:sz w:val="32"/>
          <w:szCs w:val="32"/>
        </w:rPr>
        <w:t xml:space="preserve"> </w:t>
      </w:r>
      <w:r>
        <w:rPr>
          <w:rFonts w:ascii="仿宋_GB2312" w:eastAsia="仿宋_GB2312" w:cs="仿宋_GB2312"/>
          <w:sz w:val="32"/>
          <w:szCs w:val="32"/>
        </w:rPr>
        <w:t>根据商务部等5部门关于印发《中华老字号示范创建管理办法》的通知（商流通规范</w:t>
      </w:r>
      <w:r>
        <w:rPr>
          <w:rFonts w:ascii="仿宋_GB2312" w:eastAsia="仿宋_GB2312" w:cs="仿宋_GB2312" w:hint="eastAsia"/>
          <w:sz w:val="32"/>
          <w:szCs w:val="32"/>
        </w:rPr>
        <w:t>〔202</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sz w:val="32"/>
          <w:szCs w:val="32"/>
        </w:rPr>
        <w:t>6</w:t>
      </w:r>
      <w:r>
        <w:rPr>
          <w:rFonts w:ascii="仿宋_GB2312" w:eastAsia="仿宋_GB2312" w:cs="仿宋_GB2312" w:hint="eastAsia"/>
          <w:sz w:val="32"/>
          <w:szCs w:val="32"/>
        </w:rPr>
        <w:t>号</w:t>
      </w:r>
      <w:r>
        <w:rPr>
          <w:rFonts w:ascii="仿宋_GB2312" w:eastAsia="仿宋_GB2312" w:cs="仿宋_GB2312"/>
          <w:sz w:val="32"/>
          <w:szCs w:val="32"/>
        </w:rPr>
        <w:t>）、</w:t>
      </w:r>
      <w:r>
        <w:rPr>
          <w:rFonts w:ascii="仿宋_GB2312" w:eastAsia="仿宋_GB2312" w:cs="仿宋_GB2312" w:hint="eastAsia"/>
          <w:sz w:val="32"/>
          <w:szCs w:val="32"/>
        </w:rPr>
        <w:t>《商务部等8部门关于促进老字号创新发展的意见》（商流通发〔2022〕11号）</w:t>
      </w:r>
      <w:r>
        <w:rPr>
          <w:rFonts w:ascii="仿宋_GB2312" w:eastAsia="仿宋_GB2312" w:cs="仿宋_GB2312"/>
          <w:sz w:val="32"/>
          <w:szCs w:val="32"/>
        </w:rPr>
        <w:t>、</w:t>
      </w:r>
      <w:r>
        <w:rPr>
          <w:rFonts w:ascii="仿宋_GB2312" w:eastAsia="仿宋_GB2312" w:cs="仿宋_GB2312" w:hint="eastAsia"/>
          <w:sz w:val="32"/>
          <w:szCs w:val="32"/>
        </w:rPr>
        <w:t>《浙江省商务厅等18部门关于促进老字号传承创新发展的实施意见》（浙商务联发〔2022〕55号）</w:t>
      </w:r>
      <w:r>
        <w:rPr>
          <w:rFonts w:ascii="仿宋_GB2312" w:eastAsia="仿宋_GB2312" w:cs="仿宋_GB2312"/>
          <w:sz w:val="32"/>
          <w:szCs w:val="32"/>
        </w:rPr>
        <w:t>、浙江省商务厅</w:t>
      </w:r>
      <w:r>
        <w:rPr>
          <w:rFonts w:ascii="仿宋_GB2312" w:eastAsia="仿宋_GB2312" w:cs="仿宋_GB2312" w:hint="eastAsia"/>
          <w:sz w:val="32"/>
          <w:szCs w:val="32"/>
        </w:rPr>
        <w:t>等</w:t>
      </w:r>
      <w:r>
        <w:rPr>
          <w:rFonts w:ascii="仿宋_GB2312" w:eastAsia="仿宋_GB2312" w:cs="仿宋_GB2312"/>
          <w:sz w:val="32"/>
          <w:szCs w:val="32"/>
        </w:rPr>
        <w:t>4部门关于印发《浙江老字号示范创建管理办法》的通知（浙商务联发</w:t>
      </w:r>
      <w:r>
        <w:rPr>
          <w:rFonts w:ascii="仿宋_GB2312" w:eastAsia="仿宋_GB2312" w:cs="仿宋_GB2312" w:hint="eastAsia"/>
          <w:sz w:val="32"/>
          <w:szCs w:val="32"/>
        </w:rPr>
        <w:t>〔202</w:t>
      </w:r>
      <w:r>
        <w:rPr>
          <w:rFonts w:ascii="仿宋_GB2312" w:eastAsia="仿宋_GB2312" w:cs="仿宋_GB2312"/>
          <w:sz w:val="32"/>
          <w:szCs w:val="32"/>
        </w:rPr>
        <w:t>3</w:t>
      </w:r>
      <w:r>
        <w:rPr>
          <w:rFonts w:ascii="仿宋_GB2312" w:eastAsia="仿宋_GB2312" w:cs="仿宋_GB2312" w:hint="eastAsia"/>
          <w:sz w:val="32"/>
          <w:szCs w:val="32"/>
        </w:rPr>
        <w:t>〕</w:t>
      </w:r>
      <w:r>
        <w:rPr>
          <w:rFonts w:ascii="仿宋_GB2312" w:eastAsia="仿宋_GB2312" w:cs="仿宋_GB2312"/>
          <w:sz w:val="32"/>
          <w:szCs w:val="32"/>
        </w:rPr>
        <w:t>4</w:t>
      </w:r>
      <w:r>
        <w:rPr>
          <w:rFonts w:ascii="仿宋_GB2312" w:eastAsia="仿宋_GB2312" w:cs="仿宋_GB2312" w:hint="eastAsia"/>
          <w:sz w:val="32"/>
          <w:szCs w:val="32"/>
        </w:rPr>
        <w:t>1号</w:t>
      </w:r>
      <w:r>
        <w:rPr>
          <w:rFonts w:ascii="仿宋_GB2312" w:eastAsia="仿宋_GB2312" w:cs="仿宋_GB2312"/>
          <w:sz w:val="32"/>
          <w:szCs w:val="32"/>
        </w:rPr>
        <w:t>）等</w:t>
      </w:r>
      <w:r>
        <w:rPr>
          <w:rFonts w:ascii="仿宋_GB2312" w:eastAsia="仿宋_GB2312" w:cs="仿宋_GB2312" w:hint="eastAsia"/>
          <w:sz w:val="32"/>
          <w:szCs w:val="32"/>
        </w:rPr>
        <w:t>文件</w:t>
      </w:r>
      <w:r>
        <w:rPr>
          <w:rFonts w:ascii="仿宋_GB2312" w:eastAsia="仿宋_GB2312" w:cs="仿宋_GB2312"/>
          <w:sz w:val="32"/>
          <w:szCs w:val="32"/>
        </w:rPr>
        <w:t>要求</w:t>
      </w:r>
      <w:r>
        <w:rPr>
          <w:rFonts w:ascii="仿宋_GB2312" w:eastAsia="仿宋_GB2312" w:cs="仿宋_GB2312" w:hint="eastAsia"/>
          <w:sz w:val="32"/>
          <w:szCs w:val="32"/>
        </w:rPr>
        <w:t>，加快促进我市老字号创新发展，充分发挥老字号在商贸流通、消费促进、质量管理、技术创新、品牌建设和文化传承等方面的示范引领作用，制定本办法。</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第二条</w:t>
      </w:r>
      <w:r>
        <w:rPr>
          <w:rFonts w:ascii="仿宋_GB2312" w:eastAsia="仿宋_GB2312" w:cs="仿宋_GB2312" w:hint="eastAsia"/>
          <w:sz w:val="32"/>
          <w:szCs w:val="32"/>
        </w:rPr>
        <w:t xml:space="preserve"> 本办法所称宁波老字号，是指</w:t>
      </w:r>
      <w:r>
        <w:rPr>
          <w:rFonts w:ascii="仿宋_GB2312" w:eastAsia="仿宋_GB2312" w:cs="仿宋_GB2312"/>
          <w:sz w:val="32"/>
          <w:szCs w:val="32"/>
        </w:rPr>
        <w:t>具备丰富宁波文化和地域特色，</w:t>
      </w:r>
      <w:r>
        <w:rPr>
          <w:rFonts w:ascii="仿宋_GB2312" w:eastAsia="仿宋_GB2312" w:cs="仿宋_GB2312" w:hint="eastAsia"/>
          <w:sz w:val="32"/>
          <w:szCs w:val="32"/>
        </w:rPr>
        <w:t>历史底蕴深厚、文化特色鲜明、工艺技术独特、设计制造精良、产品服务优质、营销渠道高效、社会广泛认同、消费者满意的</w:t>
      </w:r>
      <w:r>
        <w:rPr>
          <w:rFonts w:ascii="仿宋_GB2312" w:eastAsia="仿宋_GB2312" w:cs="仿宋_GB2312" w:hint="eastAsia"/>
          <w:sz w:val="32"/>
          <w:szCs w:val="32"/>
          <w:lang w:eastAsia="zh-CN"/>
        </w:rPr>
        <w:t>宁波本地</w:t>
      </w:r>
      <w:r>
        <w:rPr>
          <w:rFonts w:ascii="仿宋_GB2312" w:eastAsia="仿宋_GB2312" w:cs="仿宋_GB2312" w:hint="eastAsia"/>
          <w:sz w:val="32"/>
          <w:szCs w:val="32"/>
        </w:rPr>
        <w:t>品牌（字号、商标等）。</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第三条</w:t>
      </w:r>
      <w:r>
        <w:rPr>
          <w:rFonts w:ascii="仿宋_GB2312" w:eastAsia="仿宋_GB2312" w:cs="仿宋_GB2312" w:hint="eastAsia"/>
          <w:sz w:val="32"/>
          <w:szCs w:val="32"/>
        </w:rPr>
        <w:t xml:space="preserve"> 宁波市商务局负责宁波老字号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工作，会同市文化广电旅游局、市市场监管局将符合本办法第二条、第六条、第七条规定，在全市范围内具有较强示范引领性的品牌</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为宁波老字号，将其所属经营主体</w:t>
      </w:r>
      <w:r>
        <w:rPr>
          <w:rFonts w:ascii="仿宋_GB2312" w:eastAsia="仿宋_GB2312" w:cs="仿宋_GB2312"/>
          <w:sz w:val="32"/>
          <w:szCs w:val="32"/>
        </w:rPr>
        <w:t>认定</w:t>
      </w:r>
      <w:r>
        <w:rPr>
          <w:rFonts w:ascii="仿宋_GB2312" w:eastAsia="仿宋_GB2312" w:cs="仿宋_GB2312" w:hint="eastAsia"/>
          <w:sz w:val="32"/>
          <w:szCs w:val="32"/>
        </w:rPr>
        <w:t>为宁波老字号经营主体，建立宁波老字号名录。</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各区（县、市）商务主管部门会同同级相关部门负责本行政区域内宁波老字号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相关工作。</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第四条</w:t>
      </w:r>
      <w:r>
        <w:rPr>
          <w:rFonts w:ascii="仿宋_GB2312" w:eastAsia="仿宋_GB2312" w:cs="仿宋_GB2312" w:hint="eastAsia"/>
          <w:sz w:val="32"/>
          <w:szCs w:val="32"/>
        </w:rPr>
        <w:t xml:space="preserve"> 宁波老字号</w:t>
      </w:r>
      <w:r>
        <w:rPr>
          <w:rFonts w:ascii="仿宋_GB2312" w:eastAsia="仿宋_GB2312" w:cs="仿宋_GB2312" w:hint="eastAsia"/>
          <w:sz w:val="32"/>
          <w:szCs w:val="32"/>
          <w:lang w:eastAsia="zh-CN"/>
        </w:rPr>
        <w:t>认定和管理</w:t>
      </w:r>
      <w:r>
        <w:rPr>
          <w:rFonts w:ascii="仿宋_GB2312" w:eastAsia="仿宋_GB2312" w:cs="仿宋_GB2312" w:hint="eastAsia"/>
          <w:sz w:val="32"/>
          <w:szCs w:val="32"/>
        </w:rPr>
        <w:t>遵循“公开、公平、公正”</w:t>
      </w:r>
      <w:r>
        <w:rPr>
          <w:rFonts w:ascii="仿宋_GB2312" w:eastAsia="仿宋_GB2312" w:cs="仿宋_GB2312" w:hint="eastAsia"/>
          <w:sz w:val="32"/>
          <w:szCs w:val="32"/>
          <w:lang w:eastAsia="zh-CN"/>
        </w:rPr>
        <w:t>和“政府倡导、企业自愿、优中择优、动态管理”</w:t>
      </w:r>
      <w:r>
        <w:rPr>
          <w:rFonts w:ascii="仿宋_GB2312" w:eastAsia="仿宋_GB2312" w:cs="仿宋_GB2312" w:hint="eastAsia"/>
          <w:sz w:val="32"/>
          <w:szCs w:val="32"/>
        </w:rPr>
        <w:t>的原则。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第五条</w:t>
      </w:r>
      <w:r>
        <w:rPr>
          <w:rFonts w:ascii="仿宋_GB2312" w:eastAsia="仿宋_GB2312" w:cs="仿宋_GB2312" w:hint="eastAsia"/>
          <w:sz w:val="32"/>
          <w:szCs w:val="32"/>
        </w:rPr>
        <w:t xml:space="preserve"> 宁波老字号应当体现品牌示范性、经营主体代表性、行业引领性，注重文化、传承、理念、设计、研发、工艺、技术、制造、产品、服务、经营、营销、管理等各方面创新，与时俱进、守正创新，彰显经济价值和文化价值。</w:t>
      </w:r>
    </w:p>
    <w:p>
      <w:pPr>
        <w:spacing w:beforeAutospacing="0" w:afterAutospacing="0"/>
        <w:ind w:firstLineChars="200" w:firstLine="628"/>
        <w:rPr>
          <w:rFonts w:ascii="仿宋_GB2312" w:eastAsia="仿宋_GB2312" w:cs="仿宋_GB2312" w:hint="eastAsia"/>
          <w:sz w:val="32"/>
          <w:szCs w:val="32"/>
        </w:rPr>
      </w:pPr>
    </w:p>
    <w:p>
      <w:pPr>
        <w:spacing w:beforeAutospacing="0" w:afterAutospacing="0"/>
        <w:ind w:firstLineChars="200" w:firstLine="628"/>
        <w:jc w:val="center"/>
        <w:rPr>
          <w:rFonts w:ascii="仿宋_GB2312" w:eastAsia="仿宋_GB2312" w:cs="仿宋_GB2312" w:hint="eastAsia"/>
          <w:sz w:val="32"/>
          <w:szCs w:val="32"/>
        </w:rPr>
      </w:pPr>
      <w:r>
        <w:rPr>
          <w:rFonts w:ascii="黑体" w:eastAsia="黑体" w:cs="黑体" w:hAnsi="黑体" w:hint="eastAsia"/>
          <w:sz w:val="32"/>
          <w:szCs w:val="32"/>
        </w:rPr>
        <w:t>第二章 </w:t>
      </w:r>
      <w:r>
        <w:rPr>
          <w:rFonts w:ascii="黑体" w:eastAsia="黑体" w:cs="黑体" w:hAnsi="黑体" w:hint="eastAsia"/>
          <w:sz w:val="32"/>
          <w:szCs w:val="32"/>
          <w:lang w:eastAsia="zh-CN"/>
        </w:rPr>
        <w:t>认定</w:t>
      </w:r>
      <w:r>
        <w:rPr>
          <w:rFonts w:ascii="黑体" w:eastAsia="黑体" w:cs="黑体" w:hAnsi="黑体" w:hint="eastAsia"/>
          <w:sz w:val="32"/>
          <w:szCs w:val="32"/>
        </w:rPr>
        <w:t>条件</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第六条</w:t>
      </w:r>
      <w:r>
        <w:rPr>
          <w:rFonts w:ascii="仿宋_GB2312" w:eastAsia="仿宋_GB2312" w:cs="仿宋_GB2312" w:hint="eastAsia"/>
          <w:sz w:val="32"/>
          <w:szCs w:val="32"/>
        </w:rPr>
        <w:t xml:space="preserve"> 宁波老字号应当具备以下基本条件：</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（一）品牌（字号、商标等）创立时间在30年（含）以上；</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（二）具有中华民族特色和鲜明的宁波地域文化特征；</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（三）面向居民生活提供经济价值、文化价值较高的产品、技艺或服务；</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（四）在所属行业或领域内具有代表性、引领性和示范性，得到广泛的社会认同和赞誉。</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第七条</w:t>
      </w:r>
      <w:r>
        <w:rPr>
          <w:rFonts w:ascii="黑体" w:eastAsia="黑体" w:cs="黑体" w:hAnsi="黑体"/>
          <w:sz w:val="32"/>
          <w:szCs w:val="32"/>
        </w:rPr>
        <w:t xml:space="preserve"> </w:t>
      </w:r>
      <w:r>
        <w:rPr>
          <w:rFonts w:ascii="仿宋_GB2312" w:eastAsia="仿宋_GB2312" w:cs="仿宋_GB2312" w:hint="eastAsia"/>
          <w:sz w:val="32"/>
          <w:szCs w:val="32"/>
        </w:rPr>
        <w:t>宁波老字号经营主体应当具备以下基本条件：</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（一）在宁波市行政区域内依法设立且主体存续经营正常；</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（二）依法拥有与宁波老字号相一致的字号（或与宁波老字号相一致的注册商标）的所有权或使用权且未侵犯他人知识产权，传承关系明确且无争议；</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（三）主营业务连续经营</w:t>
      </w:r>
      <w:r>
        <w:rPr>
          <w:rFonts w:ascii="仿宋_GB2312" w:eastAsia="仿宋_GB2312" w:cs="仿宋_GB2312"/>
          <w:sz w:val="32"/>
          <w:szCs w:val="32"/>
        </w:rPr>
        <w:t>10</w:t>
      </w:r>
      <w:r>
        <w:rPr>
          <w:rFonts w:ascii="仿宋_GB2312" w:eastAsia="仿宋_GB2312" w:cs="仿宋_GB2312" w:hint="eastAsia"/>
          <w:sz w:val="32"/>
          <w:szCs w:val="32"/>
        </w:rPr>
        <w:t>年（含）以上，且主要面向居民生活提供商品或服务；</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（四）经营状况良好，且具有较强的可持续发展能力；</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（五）具有符合现代要求的治理模式，在设计、研发、工艺、技术、制造、产品、服务和经营理念、营销渠道、管理模式等方面具备较强的创新能力；</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（六）在所属行业或领域内具有较强影响力；</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（七）未在经营异常名录或严重违法失信名单中。</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（八）重视安全生产工作，落实《宁波市生产经营单位安全生产主体责任规定》，近3年未发生安全生产责任事故。</w:t>
      </w:r>
    </w:p>
    <w:p>
      <w:pPr>
        <w:spacing w:beforeAutospacing="0" w:afterAutospacing="0"/>
        <w:ind w:firstLineChars="200" w:firstLine="628"/>
        <w:rPr>
          <w:rFonts w:ascii="仿宋_GB2312" w:eastAsia="仿宋_GB2312" w:cs="仿宋_GB2312" w:hint="eastAsia"/>
          <w:sz w:val="32"/>
          <w:szCs w:val="32"/>
        </w:rPr>
      </w:pPr>
    </w:p>
    <w:p>
      <w:pPr>
        <w:spacing w:beforeAutospacing="0" w:afterAutospacing="0"/>
        <w:ind w:firstLineChars="200" w:firstLine="628"/>
        <w:jc w:val="center"/>
        <w:rPr>
          <w:rFonts w:ascii="黑体" w:eastAsia="黑体" w:cs="黑体" w:hAnsi="黑体" w:hint="eastAsia"/>
          <w:sz w:val="32"/>
          <w:szCs w:val="32"/>
          <w:lang w:eastAsia="zh-CN"/>
        </w:rPr>
      </w:pPr>
      <w:r>
        <w:rPr>
          <w:rFonts w:ascii="黑体" w:eastAsia="黑体" w:cs="黑体" w:hAnsi="黑体" w:hint="eastAsia"/>
          <w:sz w:val="32"/>
          <w:szCs w:val="32"/>
        </w:rPr>
        <w:t>第三章 申报与</w:t>
      </w:r>
      <w:r>
        <w:rPr>
          <w:rFonts w:ascii="黑体" w:eastAsia="黑体" w:cs="黑体" w:hAnsi="黑体" w:hint="eastAsia"/>
          <w:sz w:val="32"/>
          <w:szCs w:val="32"/>
          <w:lang w:eastAsia="zh-CN"/>
        </w:rPr>
        <w:t>认定</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第八条</w:t>
      </w:r>
      <w:r>
        <w:rPr>
          <w:rFonts w:ascii="仿宋_GB2312" w:eastAsia="仿宋_GB2312" w:cs="仿宋_GB2312" w:hint="eastAsia"/>
          <w:sz w:val="32"/>
          <w:szCs w:val="32"/>
        </w:rPr>
        <w:t xml:space="preserve"> 市商务局会同相关部门原则上每3年</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并公布新一批次宁波老字号名录。宁波老字号申报和</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工作具体时间安排由市商务局会同相关部门发布通知。</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第九条</w:t>
      </w:r>
      <w:r>
        <w:rPr>
          <w:rFonts w:ascii="仿宋_GB2312" w:eastAsia="仿宋_GB2312" w:cs="仿宋_GB2312" w:hint="eastAsia"/>
          <w:sz w:val="32"/>
          <w:szCs w:val="32"/>
        </w:rPr>
        <w:t xml:space="preserve"> 符合本办法第六条、第七条规定条件的</w:t>
      </w:r>
      <w:r>
        <w:rPr>
          <w:rFonts w:ascii="仿宋_GB2312" w:eastAsia="仿宋_GB2312" w:cs="仿宋_GB2312"/>
          <w:sz w:val="32"/>
          <w:szCs w:val="32"/>
        </w:rPr>
        <w:t>经营主体</w:t>
      </w:r>
      <w:r>
        <w:rPr>
          <w:rFonts w:ascii="仿宋_GB2312" w:eastAsia="仿宋_GB2312" w:cs="仿宋_GB2312" w:hint="eastAsia"/>
          <w:sz w:val="32"/>
          <w:szCs w:val="32"/>
        </w:rPr>
        <w:t>应在规定日期内提交申报材料，具体包括：</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（一）基本信息、股权结构及近3年经营情况；</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（二）品牌创立时间的证明材料；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（三）老字号注册商标的权属证明文件；</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（四）主营业务传承脉络清晰的证明材料；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（五）品牌历史价值和文化价值的介绍材料；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（六）经营主体在设计研发、工艺技术、产品服务和经营理念、营销渠道、管理模式等方面创新发展的介绍材料；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（七）经营主体</w:t>
      </w:r>
      <w:r>
        <w:rPr>
          <w:rFonts w:ascii="仿宋_GB2312" w:eastAsia="仿宋_GB2312" w:cs="仿宋_GB2312" w:hint="eastAsia"/>
          <w:sz w:val="32"/>
          <w:szCs w:val="32"/>
          <w:lang w:eastAsia="zh-CN"/>
        </w:rPr>
        <w:t>的企业</w:t>
      </w:r>
      <w:r>
        <w:rPr>
          <w:rFonts w:ascii="仿宋_GB2312" w:eastAsia="仿宋_GB2312" w:cs="仿宋_GB2312" w:hint="eastAsia"/>
          <w:sz w:val="32"/>
          <w:szCs w:val="32"/>
        </w:rPr>
        <w:t>文化介绍材料和获得荣誉的证明材料；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（八）针对上述材料并经法定代表人或负责人签字的真实性承诺；</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（九）商务主管部门和相关部门认为应当提交的其他相关材料。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上述申报材料应当真实、有效、完整，其中能够通过政府信息系统获取的，不再要求</w:t>
      </w:r>
      <w:r>
        <w:rPr>
          <w:rFonts w:ascii="仿宋_GB2312" w:eastAsia="仿宋_GB2312" w:cs="仿宋_GB2312" w:hint="eastAsia"/>
          <w:sz w:val="32"/>
          <w:szCs w:val="32"/>
          <w:lang w:eastAsia="zh-CN"/>
        </w:rPr>
        <w:t>经营主体另行</w:t>
      </w:r>
      <w:r>
        <w:rPr>
          <w:rFonts w:ascii="仿宋_GB2312" w:eastAsia="仿宋_GB2312" w:cs="仿宋_GB2312" w:hint="eastAsia"/>
          <w:sz w:val="32"/>
          <w:szCs w:val="32"/>
        </w:rPr>
        <w:t>提供。</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第十条</w:t>
      </w:r>
      <w:r>
        <w:rPr>
          <w:rFonts w:ascii="仿宋_GB2312" w:eastAsia="仿宋_GB2312" w:cs="仿宋_GB2312" w:hint="eastAsia"/>
          <w:sz w:val="32"/>
          <w:szCs w:val="32"/>
        </w:rPr>
        <w:t xml:space="preserve"> 各区（县、市）商务主管部门会同同级相关部门，组织有关机构和专家对申报材料进行研究论证后向市商务局提出推荐名单。</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各区（县、市）商务主管部门需对本地区经营主体申报材料的真实性、有效性、完整性进行审核。</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推荐名单应当对外公示，且公示期不少于5个工作日。公示期满无异议或异议不成立的，可向市商务局提出推荐意见并上报申报材料。</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第十一条</w:t>
      </w:r>
      <w:r>
        <w:rPr>
          <w:rFonts w:ascii="仿宋_GB2312" w:eastAsia="仿宋_GB2312" w:cs="仿宋_GB2312" w:hint="eastAsia"/>
          <w:sz w:val="32"/>
          <w:szCs w:val="32"/>
        </w:rPr>
        <w:t xml:space="preserve"> 市商务局会同相关部门组织专家按照科学、公平、公正的原则，对各地推荐的经营主体进行评议，按照不超过全市推荐总量80%的比例提出拟</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的宁波老字号及其所属经营主体。</w:t>
      </w:r>
    </w:p>
    <w:p>
      <w:pPr>
        <w:keepNext w:val="0"/>
        <w:keepLines w:val="0"/>
        <w:pageBreakBefore w:val="0"/>
        <w:widowControl w:val="0"/>
        <w:kinsoku/>
        <w:wordWrap/>
        <w:overflowPunct/>
        <w:topLinePunct w:val="0"/>
        <w:autoSpaceDE/>
        <w:autoSpaceDN/>
        <w:bidi w:val="0"/>
        <w:adjustRightInd/>
        <w:snapToGrid/>
        <w:spacing w:beforeAutospacing="0" w:afterAutospacing="0"/>
        <w:ind w:firstLineChars="200" w:firstLine="628"/>
        <w:textAlignment w:val="auto"/>
        <w:rPr>
          <w:rFonts w:ascii="仿宋_GB2312" w:eastAsia="仿宋_GB2312" w:cs="仿宋_GB2312" w:hint="eastAsia"/>
          <w:sz w:val="32"/>
          <w:szCs w:val="32"/>
        </w:rPr>
      </w:pPr>
      <w:r>
        <w:rPr>
          <w:rFonts w:ascii="仿宋_GB2312" w:eastAsia="仿宋_GB2312" w:cs="仿宋_GB2312" w:hint="eastAsia"/>
          <w:sz w:val="32"/>
          <w:szCs w:val="32"/>
        </w:rPr>
        <w:t>参与评议的专家可根据需要邀请或委托有关机构采取材料审查、现场调查、查阅档案等形式进行审查。</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第十二条</w:t>
      </w:r>
      <w:r>
        <w:rPr>
          <w:rFonts w:ascii="仿宋_GB2312" w:eastAsia="仿宋_GB2312" w:cs="仿宋_GB2312" w:hint="eastAsia"/>
          <w:sz w:val="32"/>
          <w:szCs w:val="32"/>
        </w:rPr>
        <w:t xml:space="preserve"> 市商务局在市商务局官网对拟</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的宁波老字号及其所属经营主体相关信息进行公示，公示期不少于10个工作日。任何单位或个人对名单有不同意见的，均可向市商务局提出异议，并提供详实的书面举证材料。</w:t>
      </w:r>
    </w:p>
    <w:p>
      <w:pPr>
        <w:spacing w:beforeAutospacing="0" w:afterAutospacing="0"/>
        <w:ind w:firstLineChars="200" w:firstLine="628"/>
        <w:rPr>
          <w:rFonts w:ascii="仿宋_GB2312" w:eastAsia="仿宋_GB2312" w:cs="仿宋_GB2312"/>
          <w:sz w:val="32"/>
          <w:szCs w:val="32"/>
        </w:rPr>
      </w:pPr>
      <w:r>
        <w:rPr>
          <w:rFonts w:ascii="仿宋_GB2312" w:eastAsia="仿宋_GB2312" w:cs="仿宋_GB2312" w:hint="eastAsia"/>
          <w:sz w:val="32"/>
          <w:szCs w:val="32"/>
        </w:rPr>
        <w:t>市商务局在接到异议后会同相关部门组织专家对异议情况进行复核。对公示期内异议较多的经营主体，市商务局可组织公开听证，邀请人大代表、政协委员、行业专家及异议方代表参与。听证结果作为复核决定的重要依据。</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第十三条</w:t>
      </w:r>
      <w:r>
        <w:rPr>
          <w:rFonts w:ascii="仿宋_GB2312" w:eastAsia="仿宋_GB2312" w:cs="仿宋_GB2312" w:hint="eastAsia"/>
          <w:sz w:val="32"/>
          <w:szCs w:val="32"/>
        </w:rPr>
        <w:t xml:space="preserve"> 在公示期间无异议或异议不成立的，市商务局会同相关部门列入宁波老字号名录并向社会公布，授予宁波老字号标识使用权、颁发宁波老字号证书和牌匾。</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 xml:space="preserve">第十四条 </w:t>
      </w:r>
      <w:r>
        <w:rPr>
          <w:rFonts w:ascii="仿宋_GB2312" w:eastAsia="仿宋_GB2312" w:cs="仿宋_GB2312" w:hint="eastAsia"/>
          <w:sz w:val="32"/>
          <w:szCs w:val="32"/>
        </w:rPr>
        <w:t>宁波老字号标识属</w:t>
      </w:r>
      <w:r>
        <w:rPr>
          <w:rFonts w:ascii="仿宋_GB2312" w:eastAsia="仿宋_GB2312" w:cs="仿宋_GB2312"/>
          <w:sz w:val="32"/>
          <w:szCs w:val="32"/>
        </w:rPr>
        <w:t>于</w:t>
      </w:r>
      <w:r>
        <w:rPr>
          <w:rFonts w:ascii="仿宋_GB2312" w:eastAsia="仿宋_GB2312" w:cs="仿宋_GB2312" w:hint="eastAsia"/>
          <w:sz w:val="32"/>
          <w:szCs w:val="32"/>
        </w:rPr>
        <w:t>市商务局标志，宁波老字号经营主体可依据《宁波老字号标识和牌匾使用规定》（附件），使用宁波老字号标识和牌匾。</w:t>
      </w:r>
    </w:p>
    <w:p>
      <w:pPr>
        <w:spacing w:beforeAutospacing="0" w:afterAutospacing="0"/>
        <w:ind w:firstLineChars="200" w:firstLine="628"/>
        <w:rPr>
          <w:rFonts w:ascii="仿宋_GB2312" w:eastAsia="仿宋_GB2312" w:cs="仿宋_GB2312" w:hint="eastAsia"/>
          <w:sz w:val="32"/>
          <w:szCs w:val="32"/>
        </w:rPr>
      </w:pPr>
    </w:p>
    <w:p>
      <w:pPr>
        <w:spacing w:beforeAutospacing="0" w:afterAutospacing="0"/>
        <w:ind w:firstLineChars="200" w:firstLine="628"/>
        <w:jc w:val="center"/>
        <w:rPr>
          <w:rFonts w:ascii="黑体" w:eastAsia="黑体" w:cs="黑体" w:hAnsi="黑体" w:hint="eastAsia"/>
          <w:sz w:val="32"/>
          <w:szCs w:val="32"/>
        </w:rPr>
      </w:pPr>
      <w:r>
        <w:rPr>
          <w:rFonts w:ascii="黑体" w:eastAsia="黑体" w:cs="黑体" w:hAnsi="黑体" w:hint="eastAsia"/>
          <w:sz w:val="32"/>
          <w:szCs w:val="32"/>
        </w:rPr>
        <w:t>第四章 动态管理</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第十五条</w:t>
      </w:r>
      <w:r>
        <w:rPr>
          <w:rFonts w:ascii="仿宋_GB2312" w:eastAsia="仿宋_GB2312" w:cs="仿宋_GB2312" w:hint="eastAsia"/>
          <w:sz w:val="32"/>
          <w:szCs w:val="32"/>
        </w:rPr>
        <w:t xml:space="preserve"> 宁波老字号的经营主体名称或其商标发生以下变化的，应当自发生变化之日起30个工作日之内向属地商务主管部门提出申请，并详细说明发生变化的理由：</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（一）经营主体名称发生变化的；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（二）在不丧失老字号注册商标使用权的前提下，该注册商标发生转让的。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各区（县、市）商务主管部门在接到经营主体申请后，应按照宁波老字号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条件进行审核，并提出审核意见报市商务局。审核过程中可根据需要现场核实相关情况或要求经营主体补充提供相关材料，必要时向社会公示。</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市商务局收到各区（县、市）商务主管部门审核意见后进行复核，必要时会同相关部门联合审核，并通过市商务局网站公布复核通过的经营主体变更信息，并给经营主体更换新的宁波老字号证书。</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 xml:space="preserve">第十六条 </w:t>
      </w:r>
      <w:r>
        <w:rPr>
          <w:rFonts w:ascii="仿宋_GB2312" w:eastAsia="仿宋_GB2312" w:cs="仿宋_GB2312" w:hint="eastAsia"/>
          <w:sz w:val="32"/>
          <w:szCs w:val="32"/>
        </w:rPr>
        <w:t>宁波老字号经营主体应当于每年7月15日前向市商务局报送上半年经营情况，并于每年1月31日前报送上一年度经营情况（上市公司可在财务表报公布后的5个工作日内进行上报）。</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第十七条</w:t>
      </w:r>
      <w:r>
        <w:rPr>
          <w:rFonts w:ascii="仿宋_GB2312" w:eastAsia="仿宋_GB2312" w:cs="仿宋_GB2312" w:hint="eastAsia"/>
          <w:sz w:val="32"/>
          <w:szCs w:val="32"/>
        </w:rPr>
        <w:t xml:space="preserve"> 市商务局组织有关机构</w:t>
      </w:r>
      <w:r>
        <w:rPr>
          <w:rFonts w:ascii="仿宋_GB2312" w:eastAsia="仿宋_GB2312" w:cs="仿宋_GB2312" w:hint="eastAsia"/>
          <w:sz w:val="32"/>
          <w:szCs w:val="32"/>
          <w:lang w:eastAsia="zh-CN"/>
        </w:rPr>
        <w:t>实施</w:t>
      </w:r>
      <w:r>
        <w:rPr>
          <w:rFonts w:ascii="仿宋_GB2312" w:eastAsia="仿宋_GB2312" w:cs="仿宋_GB2312" w:hint="eastAsia"/>
          <w:sz w:val="32"/>
          <w:szCs w:val="32"/>
        </w:rPr>
        <w:t>宁波老字号监测</w:t>
      </w:r>
      <w:r>
        <w:rPr>
          <w:rFonts w:ascii="仿宋_GB2312" w:eastAsia="仿宋_GB2312" w:cs="仿宋_GB2312" w:hint="eastAsia"/>
          <w:sz w:val="32"/>
          <w:szCs w:val="32"/>
          <w:lang w:eastAsia="zh-CN"/>
        </w:rPr>
        <w:t>监管工作</w:t>
      </w:r>
      <w:r>
        <w:rPr>
          <w:rFonts w:ascii="仿宋_GB2312" w:eastAsia="仿宋_GB2312" w:cs="仿宋_GB2312" w:hint="eastAsia"/>
          <w:sz w:val="32"/>
          <w:szCs w:val="32"/>
        </w:rPr>
        <w:t>，建立“红绿灯”机制，对出现本办法第十八条、第十九条、第二十条所列有关情形的宁波老字号经营主体，分别采取相应管理措施。</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第十八条</w:t>
      </w:r>
      <w:r>
        <w:rPr>
          <w:rFonts w:ascii="仿宋_GB2312" w:eastAsia="仿宋_GB2312" w:cs="仿宋_GB2312" w:hint="eastAsia"/>
          <w:sz w:val="32"/>
          <w:szCs w:val="32"/>
        </w:rPr>
        <w:t xml:space="preserve"> 宁波老字号经营主体出现下列情形之一的，由属地商务主管部门责令3个月内予以整改，必要时可约谈经营主体负责人：</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（一）经营主体信息发生变化后未按本办法第十五条规定及时提交申请的；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（二）未按本办法第十六条规定及时填报相关信息的；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（三）宁波老字号标识、牌匾使用不符合《宁波老字号标识和牌匾使用规定》的；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（四）因经营问题被相关部门作出行政处罚，或引起社会不良影响的；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（五）因违反《文物保护法》相关规定，对涉及不可移动文物的生产经营场所违法进行修缮、转让、抵押、改变用途等活动被相关部门作出行政处罚的；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（六）被相关部门列入经营异常名录的。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第十九条</w:t>
      </w:r>
      <w:r>
        <w:rPr>
          <w:rFonts w:ascii="仿宋_GB2312" w:eastAsia="仿宋_GB2312" w:cs="仿宋_GB2312" w:hint="eastAsia"/>
          <w:sz w:val="32"/>
          <w:szCs w:val="32"/>
        </w:rPr>
        <w:t xml:space="preserve"> 宁波老字号经营主体出现下列情形之一的，属地商务主管部门可以建议市商务局暂停其宁波老字号标识及牌匾使用权：</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（一）被属地商务主管部门约谈，未按时整改或整改措施不力的；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（二）被相关部门列入严重违法失信名单的。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市商务局认为确有必要的，应当作出暂停其宁波老字号标识及牌匾使用权的决定，并责令其于3个月内完成整改。</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宁波老字号经营主体整改完成后，由属地商务主管部门对整改情况进行审核，并提出审核意见报市商务局。市商务局认为整改到位的，应当作出撤销暂停其宁波老字号标识及牌匾使用权的决定。</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第二十条</w:t>
      </w:r>
      <w:r>
        <w:rPr>
          <w:rFonts w:ascii="仿宋_GB2312" w:eastAsia="仿宋_GB2312" w:cs="仿宋_GB2312" w:hint="eastAsia"/>
          <w:sz w:val="32"/>
          <w:szCs w:val="32"/>
        </w:rPr>
        <w:t xml:space="preserve"> 宁波老字号经营主体出现下列情形之一的，属地商务主管部门可以建议市商务局将其移出宁波老字号名录并收回宁波老字号标识使用权、证书及牌匾：</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（一）经营主体破产清算、解散、注销、被吊销营业执照或三年以上不开展经营活动的；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（二）丧失老字号注册商标所有权及使用权的；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（三）发生严重损害消费者权益、出现重大质量问题或安全事故、重复侵犯他人知识产权、严重扰乱市场秩序或其他严重违法行为的；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（四）以欺骗或其他不正当手段骗取宁波老字号示范称号的；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（五）被暂停宁波老字号标识及牌匾使用权，到期后仍未有效整改的；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（六）其他不符合宁波老字号和宁波老字号经营主体基本条件的。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市商务局认为确有必要的，商</w:t>
      </w:r>
      <w:r>
        <w:rPr>
          <w:rFonts w:ascii="仿宋_GB2312" w:eastAsia="仿宋_GB2312" w:cs="仿宋_GB2312"/>
          <w:sz w:val="32"/>
          <w:szCs w:val="32"/>
        </w:rPr>
        <w:t>市市场监管局、市文广旅游局等</w:t>
      </w:r>
      <w:r>
        <w:rPr>
          <w:rFonts w:ascii="仿宋_GB2312" w:eastAsia="仿宋_GB2312" w:cs="仿宋_GB2312" w:hint="eastAsia"/>
          <w:sz w:val="32"/>
          <w:szCs w:val="32"/>
        </w:rPr>
        <w:t>相关部门作出移出宁波老字号名录并收回宁波老字号标识使用权、证书及牌匾的决定。</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 xml:space="preserve">第二十一条 </w:t>
      </w:r>
      <w:r>
        <w:rPr>
          <w:rFonts w:ascii="仿宋_GB2312" w:eastAsia="仿宋_GB2312" w:cs="仿宋_GB2312" w:hint="eastAsia"/>
          <w:sz w:val="32"/>
          <w:szCs w:val="32"/>
        </w:rPr>
        <w:t>市商务局会同相关部门原则上每3年对宁波老字号开展复核。对复核中发现已经不符合宁波老字号条件的，商相关部门作出移出宁波老字号名录、收回宁波老字号标识使用权、证书及牌匾的决定。优先推荐经营状况良好、示范作用明显的宁波老字号经营主体申报浙江老字号。</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第二十二条</w:t>
      </w:r>
      <w:r>
        <w:rPr>
          <w:rFonts w:ascii="仿宋_GB2312" w:eastAsia="仿宋_GB2312" w:cs="仿宋_GB2312" w:hint="eastAsia"/>
          <w:sz w:val="32"/>
          <w:szCs w:val="32"/>
        </w:rPr>
        <w:t xml:space="preserve"> 市商务局作出暂停或收回宁波老字号标识使用权、移出宁波老字号名录决定的，在市商务局官网向社会公布。</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被移出宁波老字号名录的，自决定作出之日起两个申报周期内不得再次申报宁波老字号。</w:t>
      </w:r>
    </w:p>
    <w:p>
      <w:pPr>
        <w:spacing w:beforeAutospacing="0" w:afterAutospacing="0"/>
        <w:ind w:firstLineChars="200" w:firstLine="628"/>
        <w:rPr>
          <w:rFonts w:ascii="仿宋_GB2312" w:eastAsia="仿宋_GB2312" w:cs="仿宋_GB2312" w:hint="eastAsia"/>
          <w:sz w:val="32"/>
          <w:szCs w:val="32"/>
        </w:rPr>
      </w:pPr>
    </w:p>
    <w:p>
      <w:pPr>
        <w:spacing w:beforeAutospacing="0" w:afterAutospacing="0"/>
        <w:ind w:firstLineChars="200" w:firstLine="628"/>
        <w:jc w:val="center"/>
        <w:rPr>
          <w:rFonts w:ascii="仿宋_GB2312" w:eastAsia="仿宋_GB2312" w:cs="仿宋_GB2312" w:hint="eastAsia"/>
          <w:sz w:val="32"/>
          <w:szCs w:val="32"/>
        </w:rPr>
      </w:pPr>
      <w:r>
        <w:rPr>
          <w:rFonts w:ascii="黑体" w:eastAsia="黑体" w:cs="黑体" w:hAnsi="黑体" w:hint="eastAsia"/>
          <w:sz w:val="32"/>
          <w:szCs w:val="32"/>
        </w:rPr>
        <w:t>第五章 其他</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第二十三条</w:t>
      </w:r>
      <w:r>
        <w:rPr>
          <w:rFonts w:ascii="仿宋_GB2312" w:eastAsia="仿宋_GB2312" w:cs="仿宋_GB2312" w:hint="eastAsia"/>
          <w:sz w:val="32"/>
          <w:szCs w:val="32"/>
        </w:rPr>
        <w:t xml:space="preserve"> 各区（县、市）相关部门加强对本行政区域内老字号知识产权、历史网点、文化遗产的保护，为老字号文化传承、技艺改造、改革创新提供必要的政策支持，组织开展老字号宣传推广活动。</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第二十四条</w:t>
      </w:r>
      <w:r>
        <w:rPr>
          <w:rFonts w:ascii="仿宋_GB2312" w:eastAsia="仿宋_GB2312" w:cs="仿宋_GB2312" w:hint="eastAsia"/>
          <w:sz w:val="32"/>
          <w:szCs w:val="32"/>
        </w:rPr>
        <w:t xml:space="preserve"> 支持发挥全市各级老字号专业社会组织和各类行业协会在政策咨询、经营主体服务、宣传推广、行业自律、创新自治等方面积极作用，推动老字号高质量发展。</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第二十五条</w:t>
      </w:r>
      <w:r>
        <w:rPr>
          <w:rFonts w:ascii="仿宋_GB2312" w:eastAsia="仿宋_GB2312" w:cs="仿宋_GB2312" w:hint="eastAsia"/>
          <w:sz w:val="32"/>
          <w:szCs w:val="32"/>
        </w:rPr>
        <w:t xml:space="preserve"> 宁波老字号经营主体违反《宁波老字号标识和牌匾使用规定》的，市商务局可依据本办法采取相关措施。</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宁波老字号经营主体因违反本办法第十九条，被暂停宁波老字号标识、牌匾使用权期间，应撤回其含有宁波老字号标识的相关产品、服务，移除并妥善保存宁波老字号牌匾，且不得以宁波老字号名义开展广告宣传等活动。</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鼓励公众通过政务平台举报违规使用标识行为，任何单位或个人冒用或滥用宁波老字号标识或牌匾，违反《反不正当竞争法》《广告法》等法律法规的，由市场监管部门依法依规进行查处。</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第二十六条</w:t>
      </w:r>
      <w:r>
        <w:rPr>
          <w:rFonts w:ascii="仿宋_GB2312" w:eastAsia="仿宋_GB2312" w:cs="仿宋_GB2312" w:hint="eastAsia"/>
          <w:sz w:val="32"/>
          <w:szCs w:val="32"/>
        </w:rPr>
        <w:t xml:space="preserve"> 本办法实施前已经获得宁波市商务局</w:t>
      </w:r>
      <w:r>
        <w:rPr>
          <w:rFonts w:ascii="仿宋_GB2312" w:eastAsia="仿宋_GB2312" w:cs="仿宋_GB2312"/>
          <w:sz w:val="32"/>
          <w:szCs w:val="32"/>
        </w:rPr>
        <w:t>认定</w:t>
      </w:r>
      <w:r>
        <w:rPr>
          <w:rFonts w:ascii="仿宋_GB2312" w:eastAsia="仿宋_GB2312" w:cs="仿宋_GB2312" w:hint="eastAsia"/>
          <w:sz w:val="32"/>
          <w:szCs w:val="32"/>
        </w:rPr>
        <w:t>的宁波老字号，按照本办法管理，无需重新申报，但应当按照本办法规定进行定期复核。</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 xml:space="preserve">第二十七条 </w:t>
      </w:r>
      <w:r>
        <w:rPr>
          <w:rFonts w:ascii="仿宋_GB2312" w:eastAsia="仿宋_GB2312" w:cs="仿宋_GB2312" w:hint="eastAsia"/>
          <w:sz w:val="32"/>
          <w:szCs w:val="32"/>
        </w:rPr>
        <w:t>本办法由宁波市商务局负责解释。</w:t>
      </w: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Ansi="仿宋_GB2312" w:hint="eastAsia"/>
          <w:b/>
          <w:bCs/>
          <w:sz w:val="32"/>
          <w:szCs w:val="32"/>
        </w:rPr>
        <w:t>第二十八条</w:t>
      </w:r>
      <w:r>
        <w:rPr>
          <w:rFonts w:ascii="仿宋_GB2312" w:eastAsia="仿宋_GB2312" w:cs="仿宋_GB2312" w:hint="eastAsia"/>
          <w:sz w:val="32"/>
          <w:szCs w:val="32"/>
        </w:rPr>
        <w:t xml:space="preserve"> </w:t>
      </w:r>
      <w:bookmarkStart w:id="0" w:name="_GoBack"/>
      <w:r>
        <w:rPr>
          <w:rFonts w:ascii="仿宋_GB2312" w:eastAsia="仿宋_GB2312" w:cs="仿宋_GB2312" w:hint="eastAsia"/>
          <w:color w:val="C00000"/>
          <w:sz w:val="32"/>
          <w:szCs w:val="32"/>
        </w:rPr>
        <w:t>本办法自公布之日起30日后施行。</w:t>
      </w:r>
      <w:bookmarkEnd w:id="0"/>
      <w:r>
        <w:rPr>
          <w:rFonts w:ascii="仿宋_GB2312" w:eastAsia="仿宋_GB2312" w:cs="仿宋_GB2312" w:hint="eastAsia"/>
          <w:sz w:val="32"/>
          <w:szCs w:val="32"/>
        </w:rPr>
        <w:t>《宁波市商务局关于印发宁波老字号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暂行办法（修订版）》的通知》（甬商务消费〔2022〕121号）同时废止。</w:t>
      </w:r>
    </w:p>
    <w:p>
      <w:pPr>
        <w:spacing w:beforeAutospacing="0" w:afterAutospacing="0"/>
        <w:ind w:firstLineChars="200" w:firstLine="628"/>
        <w:rPr>
          <w:rFonts w:ascii="仿宋_GB2312" w:eastAsia="仿宋_GB2312" w:cs="仿宋_GB2312" w:hint="eastAsia"/>
          <w:sz w:val="32"/>
          <w:szCs w:val="32"/>
        </w:rPr>
      </w:pPr>
    </w:p>
    <w:p>
      <w:pPr>
        <w:spacing w:beforeAutospacing="0" w:afterAutospacing="0"/>
        <w:ind w:firstLineChars="200" w:firstLine="628"/>
        <w:rPr>
          <w:rFonts w:ascii="仿宋_GB2312" w:eastAsia="仿宋_GB2312" w:cs="仿宋_GB2312" w:hint="eastAsia"/>
          <w:sz w:val="32"/>
          <w:szCs w:val="32"/>
        </w:rPr>
      </w:pPr>
      <w:r>
        <w:rPr>
          <w:rFonts w:ascii="仿宋_GB2312" w:eastAsia="仿宋_GB2312" w:cs="仿宋_GB2312" w:hint="eastAsia"/>
          <w:sz w:val="32"/>
          <w:szCs w:val="32"/>
        </w:rPr>
        <w:t>附件：宁波老字号标识和牌匾使用规定</w:t>
      </w:r>
    </w:p>
    <w:p>
      <w:pPr>
        <w:spacing w:beforeAutospacing="0" w:afterAutospacing="0"/>
        <w:ind w:firstLineChars="200" w:firstLine="628"/>
        <w:rPr>
          <w:rFonts w:hint="eastAsia"/>
          <w:sz w:val="32"/>
          <w:szCs w:val="32"/>
        </w:rPr>
      </w:pPr>
    </w:p>
    <w:p>
      <w:pPr>
        <w:spacing w:beforeAutospacing="0" w:afterAutospacing="0"/>
        <w:ind w:firstLineChars="200" w:firstLine="628"/>
        <w:rPr>
          <w:rFonts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spacing w:beforeAutospacing="0" w:afterAutospacing="0"/>
        <w:ind w:left="0"/>
        <w:jc w:val="left"/>
        <w:rPr>
          <w:rFonts w:ascii="黑体" w:eastAsia="黑体" w:cs="黑体" w:hAnsi="黑体" w:hint="eastAsia"/>
          <w:sz w:val="32"/>
          <w:szCs w:val="32"/>
        </w:rPr>
      </w:pPr>
    </w:p>
    <w:p>
      <w:pPr>
        <w:pStyle w:val="15"/>
        <w:rPr>
          <w:rFonts w:ascii="黑体" w:eastAsia="黑体" w:cs="黑体" w:hAnsi="黑体" w:hint="eastAsia"/>
          <w:sz w:val="32"/>
          <w:szCs w:val="32"/>
        </w:rPr>
      </w:pPr>
    </w:p>
    <w:p>
      <w:pPr>
        <w:rPr>
          <w:rFonts w:ascii="黑体" w:eastAsia="黑体" w:cs="黑体" w:hAnsi="黑体" w:hint="eastAsia"/>
          <w:sz w:val="32"/>
          <w:szCs w:val="32"/>
        </w:rPr>
      </w:pPr>
    </w:p>
    <w:p>
      <w:pPr>
        <w:pStyle w:val="15"/>
        <w:rPr>
          <w:rFonts w:hint="eastAsia"/>
        </w:rPr>
      </w:pPr>
    </w:p>
    <w:p>
      <w:pPr>
        <w:spacing w:beforeAutospacing="0" w:afterAutospacing="0"/>
        <w:ind w:left="0"/>
        <w:jc w:val="left"/>
        <w:rPr>
          <w:rFonts w:ascii="黑体" w:eastAsia="黑体" w:cs="黑体" w:hAnsi="黑体" w:hint="eastAsia"/>
          <w:sz w:val="32"/>
          <w:szCs w:val="32"/>
        </w:rPr>
      </w:pPr>
      <w:r>
        <w:rPr>
          <w:rFonts w:ascii="黑体" w:eastAsia="黑体" w:cs="黑体" w:hAnsi="黑体" w:hint="eastAsia"/>
          <w:sz w:val="32"/>
          <w:szCs w:val="32"/>
        </w:rPr>
        <w:t>附件</w:t>
      </w:r>
    </w:p>
    <w:p>
      <w:pPr>
        <w:spacing w:beforeAutospacing="0" w:afterAutospacing="0"/>
        <w:ind w:firstLineChars="200" w:firstLine="708"/>
        <w:jc w:val="center"/>
        <w:rPr>
          <w:rFonts w:ascii="创艺简标宋" w:eastAsia="创艺简标宋" w:cs="创艺简标宋" w:hAnsi="创艺简标宋" w:hint="eastAsia"/>
          <w:sz w:val="36"/>
          <w:szCs w:val="36"/>
        </w:rPr>
      </w:pPr>
      <w:r>
        <w:rPr>
          <w:rFonts w:ascii="创艺简标宋" w:eastAsia="创艺简标宋" w:cs="创艺简标宋" w:hAnsi="创艺简标宋" w:hint="eastAsia"/>
          <w:sz w:val="36"/>
          <w:szCs w:val="36"/>
        </w:rPr>
        <w:t>宁波老字号标识和牌匾使用规定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ascii="黑体" w:eastAsia="黑体" w:cs="黑体" w:hAnsi="黑体" w:hint="eastAsia"/>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第一条</w:t>
      </w:r>
      <w:r>
        <w:rPr>
          <w:rFonts w:hint="eastAsia"/>
          <w:sz w:val="32"/>
          <w:szCs w:val="32"/>
        </w:rPr>
        <w:t xml:space="preserve"> </w:t>
      </w:r>
      <w:r>
        <w:rPr>
          <w:rFonts w:ascii="仿宋_GB2312" w:eastAsia="仿宋_GB2312" w:cs="仿宋_GB2312" w:hint="eastAsia"/>
          <w:sz w:val="32"/>
          <w:szCs w:val="32"/>
        </w:rPr>
        <w:t>为维护宁波老字号信誉，加强对宁波老字号标识和牌匾的管理，规范宁波老字号标识和牌匾的使用，依据《宁波老字号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管理办法》，制定本规定。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第二条</w:t>
      </w:r>
      <w:r>
        <w:rPr>
          <w:rFonts w:hint="eastAsia"/>
          <w:sz w:val="32"/>
          <w:szCs w:val="32"/>
        </w:rPr>
        <w:t xml:space="preserve"> </w:t>
      </w:r>
      <w:r>
        <w:rPr>
          <w:rFonts w:ascii="仿宋_GB2312" w:eastAsia="仿宋_GB2312" w:cs="仿宋_GB2312" w:hint="eastAsia"/>
          <w:sz w:val="32"/>
          <w:szCs w:val="32"/>
        </w:rPr>
        <w:t>宁波老字号标识和牌匾的使用应当遵循本规定。</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ascii="仿宋_GB2312" w:eastAsia="仿宋_GB2312" w:cs="仿宋_GB2312" w:hint="eastAsia"/>
          <w:sz w:val="32"/>
          <w:szCs w:val="32"/>
        </w:rPr>
      </w:pPr>
      <w:r>
        <w:rPr>
          <w:rFonts w:ascii="黑体" w:eastAsia="黑体" w:cs="黑体" w:hAnsi="黑体" w:hint="eastAsia"/>
          <w:sz w:val="32"/>
          <w:szCs w:val="32"/>
        </w:rPr>
        <w:t>第三条</w:t>
      </w:r>
      <w:r>
        <w:rPr>
          <w:rFonts w:hint="eastAsia"/>
          <w:sz w:val="32"/>
          <w:szCs w:val="32"/>
        </w:rPr>
        <w:t xml:space="preserve"> </w:t>
      </w:r>
      <w:r>
        <w:rPr>
          <w:rFonts w:ascii="仿宋_GB2312" w:eastAsia="仿宋_GB2312" w:cs="仿宋_GB2312" w:hint="eastAsia"/>
          <w:sz w:val="32"/>
          <w:szCs w:val="32"/>
        </w:rPr>
        <w:t>市商务局对宁波老字号标识和牌匾的使用实行统一管理和监督。各区（县、市）商务主管部门按照职责分工对所辖区域内宁波老字号标识和牌匾的使用进行管理与监督。</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 xml:space="preserve">第四条 </w:t>
      </w:r>
      <w:r>
        <w:rPr>
          <w:rFonts w:ascii="仿宋_GB2312" w:eastAsia="仿宋_GB2312" w:cs="仿宋_GB2312" w:hint="eastAsia"/>
          <w:sz w:val="32"/>
          <w:szCs w:val="32"/>
        </w:rPr>
        <w:t>宁波老字号标识适用于市商务局</w:t>
      </w:r>
      <w:r>
        <w:rPr>
          <w:rFonts w:ascii="仿宋_GB2312" w:eastAsia="仿宋_GB2312" w:cs="仿宋_GB2312"/>
          <w:sz w:val="32"/>
          <w:szCs w:val="32"/>
        </w:rPr>
        <w:t>认定</w:t>
      </w:r>
      <w:r>
        <w:rPr>
          <w:rFonts w:ascii="仿宋_GB2312" w:eastAsia="仿宋_GB2312" w:cs="仿宋_GB2312" w:hint="eastAsia"/>
          <w:sz w:val="32"/>
          <w:szCs w:val="32"/>
        </w:rPr>
        <w:t>的宁波老字号及宁波老字号经营主体。未被</w:t>
      </w:r>
      <w:r>
        <w:rPr>
          <w:rFonts w:ascii="仿宋_GB2312" w:eastAsia="仿宋_GB2312" w:cs="仿宋_GB2312"/>
          <w:sz w:val="32"/>
          <w:szCs w:val="32"/>
        </w:rPr>
        <w:t>认定</w:t>
      </w:r>
      <w:r>
        <w:rPr>
          <w:rFonts w:ascii="仿宋_GB2312" w:eastAsia="仿宋_GB2312" w:cs="仿宋_GB2312" w:hint="eastAsia"/>
          <w:sz w:val="32"/>
          <w:szCs w:val="32"/>
        </w:rPr>
        <w:t>为宁波老字号的经营主体或个人，不得使用宁波老字号标识和文字。</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第五条</w:t>
      </w:r>
      <w:r>
        <w:rPr>
          <w:rFonts w:hint="eastAsia"/>
          <w:sz w:val="32"/>
          <w:szCs w:val="32"/>
        </w:rPr>
        <w:t xml:space="preserve"> </w:t>
      </w:r>
      <w:r>
        <w:rPr>
          <w:rFonts w:ascii="仿宋_GB2312" w:eastAsia="仿宋_GB2312" w:cs="仿宋_GB2312" w:hint="eastAsia"/>
          <w:sz w:val="32"/>
          <w:szCs w:val="32"/>
        </w:rPr>
        <w:t>宁波老字号标识属宁波市商务局所有，由标准图形和“宁波老字号”中文字体、“Ningbo Time-honored Brand”英文字体组成，标准图形、标准字体可分别单独使用，也可组合使用。标识设有标准组合4种、标准色4色，一般推荐使用红黑2色标识，也可纯色使用。宁波老字号标识标准图形、标准字体、标准色彩、标准组合详见附件。</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第六条</w:t>
      </w:r>
      <w:r>
        <w:rPr>
          <w:rFonts w:hint="eastAsia"/>
          <w:sz w:val="32"/>
          <w:szCs w:val="32"/>
        </w:rPr>
        <w:t xml:space="preserve"> </w:t>
      </w:r>
      <w:r>
        <w:rPr>
          <w:rFonts w:ascii="仿宋_GB2312" w:eastAsia="仿宋_GB2312" w:cs="仿宋_GB2312" w:hint="eastAsia"/>
          <w:sz w:val="32"/>
          <w:szCs w:val="32"/>
        </w:rPr>
        <w:t>宁波老字号经营主体可以在相应产品或服务的包装、装潢、各类资料、广告宣传及互联网等媒介中使用统一规定的宁波老字号标识。</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第七条</w:t>
      </w:r>
      <w:r>
        <w:rPr>
          <w:rFonts w:hint="eastAsia"/>
          <w:sz w:val="32"/>
          <w:szCs w:val="32"/>
        </w:rPr>
        <w:t xml:space="preserve"> </w:t>
      </w:r>
      <w:r>
        <w:rPr>
          <w:rFonts w:ascii="仿宋_GB2312" w:eastAsia="仿宋_GB2312" w:cs="仿宋_GB2312" w:hint="eastAsia"/>
          <w:sz w:val="32"/>
          <w:szCs w:val="32"/>
        </w:rPr>
        <w:t>宁波老字号标识只能用于与宁波老字号相一致的产品或服务上，以其老字号注册商标核定使用的商品或服务为限，并应明显标注获得</w:t>
      </w:r>
      <w:r>
        <w:rPr>
          <w:rFonts w:ascii="仿宋_GB2312" w:eastAsia="仿宋_GB2312" w:cs="仿宋_GB2312"/>
          <w:sz w:val="32"/>
          <w:szCs w:val="32"/>
        </w:rPr>
        <w:t>认定</w:t>
      </w:r>
      <w:r>
        <w:rPr>
          <w:rFonts w:ascii="仿宋_GB2312" w:eastAsia="仿宋_GB2312" w:cs="仿宋_GB2312" w:hint="eastAsia"/>
          <w:sz w:val="32"/>
          <w:szCs w:val="32"/>
        </w:rPr>
        <w:t>的经营主体名称，不得扩大使用范围。同时，应符合《广告法》等相关法律法规要求。</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第八条</w:t>
      </w:r>
      <w:r>
        <w:rPr>
          <w:rFonts w:hint="eastAsia"/>
          <w:sz w:val="32"/>
          <w:szCs w:val="32"/>
        </w:rPr>
        <w:t xml:space="preserve"> </w:t>
      </w:r>
      <w:r>
        <w:rPr>
          <w:rFonts w:ascii="仿宋_GB2312" w:eastAsia="仿宋_GB2312" w:cs="仿宋_GB2312" w:hint="eastAsia"/>
          <w:sz w:val="32"/>
          <w:szCs w:val="32"/>
        </w:rPr>
        <w:t>宁波老字号标识在使用时，必须根据规定式样使用，可按比例放大或缩小，但不得更改标识的比例关系。</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第九条</w:t>
      </w:r>
      <w:r>
        <w:rPr>
          <w:rFonts w:hint="eastAsia"/>
          <w:sz w:val="32"/>
          <w:szCs w:val="32"/>
        </w:rPr>
        <w:t xml:space="preserve"> </w:t>
      </w:r>
      <w:r>
        <w:rPr>
          <w:rFonts w:ascii="仿宋_GB2312" w:eastAsia="仿宋_GB2312" w:cs="仿宋_GB2312" w:hint="eastAsia"/>
          <w:sz w:val="32"/>
          <w:szCs w:val="32"/>
        </w:rPr>
        <w:t>宁波老字号标识在印刷时，附着媒介的底色不得影响标识的标准色值，不得透叠其他色彩和图案。</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第十条</w:t>
      </w:r>
      <w:r>
        <w:rPr>
          <w:rFonts w:hint="eastAsia"/>
          <w:sz w:val="32"/>
          <w:szCs w:val="32"/>
        </w:rPr>
        <w:t xml:space="preserve"> </w:t>
      </w:r>
      <w:r>
        <w:rPr>
          <w:rFonts w:ascii="仿宋_GB2312" w:eastAsia="仿宋_GB2312" w:cs="仿宋_GB2312" w:hint="eastAsia"/>
          <w:sz w:val="32"/>
          <w:szCs w:val="32"/>
        </w:rPr>
        <w:t>市商务局统一制作和颁发宁波老字号证书和牌匾，未经许可，任何组织或个人不得自行制作、伪造、变造、销售或者冒用。</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第十一条</w:t>
      </w:r>
      <w:r>
        <w:rPr>
          <w:rFonts w:hint="eastAsia"/>
          <w:sz w:val="32"/>
          <w:szCs w:val="32"/>
        </w:rPr>
        <w:t xml:space="preserve"> </w:t>
      </w:r>
      <w:r>
        <w:rPr>
          <w:rFonts w:ascii="仿宋_GB2312" w:eastAsia="仿宋_GB2312" w:cs="仿宋_GB2312" w:hint="eastAsia"/>
          <w:sz w:val="32"/>
          <w:szCs w:val="32"/>
        </w:rPr>
        <w:t>宁波老字号牌匾应悬挂或放置于宁波老字号经营主体主要办公或经营场所，牌匾需保持牢固安全、整洁、美观，任何组织或个人不得随意侵占、污损、破坏牌匾。涉及不可移动文物的，悬挂、放置牌匾不得破坏文物。</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628"/>
        <w:textAlignment w:val="auto"/>
        <w:rPr>
          <w:rFonts w:hint="eastAsia"/>
          <w:sz w:val="32"/>
          <w:szCs w:val="32"/>
        </w:rPr>
      </w:pPr>
      <w:r>
        <w:rPr>
          <w:rFonts w:ascii="黑体" w:eastAsia="黑体" w:cs="黑体" w:hAnsi="黑体" w:hint="eastAsia"/>
          <w:sz w:val="32"/>
          <w:szCs w:val="32"/>
        </w:rPr>
        <w:t>第十二条</w:t>
      </w:r>
      <w:r>
        <w:rPr>
          <w:rFonts w:hint="eastAsia"/>
          <w:sz w:val="32"/>
          <w:szCs w:val="32"/>
        </w:rPr>
        <w:t xml:space="preserve"> </w:t>
      </w:r>
      <w:r>
        <w:rPr>
          <w:rFonts w:ascii="仿宋_GB2312" w:eastAsia="仿宋_GB2312" w:cs="仿宋_GB2312" w:hint="eastAsia"/>
          <w:sz w:val="32"/>
          <w:szCs w:val="32"/>
        </w:rPr>
        <w:t>被宁波市商务局移出宁波老字号名录并收回宁波老字号标识使用权及牌匾的经营主体，自市商务局作出决定之日起，停止使用宁波老字号标识，并负责清理自身使用的有关宁波老字号标识；宁波老字号</w:t>
      </w:r>
      <w:r>
        <w:rPr>
          <w:rFonts w:ascii="仿宋_GB2312" w:eastAsia="仿宋_GB2312" w:cs="仿宋_GB2312"/>
          <w:sz w:val="32"/>
          <w:szCs w:val="32"/>
        </w:rPr>
        <w:t>证书和</w:t>
      </w:r>
      <w:r>
        <w:rPr>
          <w:rFonts w:ascii="仿宋_GB2312" w:eastAsia="仿宋_GB2312" w:cs="仿宋_GB2312" w:hint="eastAsia"/>
          <w:sz w:val="32"/>
          <w:szCs w:val="32"/>
        </w:rPr>
        <w:t>牌匾由所在各区（县、市）商务主管部门负责收回，交回宁波市商务局统一注销和销毁。</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28"/>
        <w:textAlignment w:val="auto"/>
        <w:rPr>
          <w:rFonts w:ascii="仿宋_GB2312" w:eastAsia="仿宋_GB2312" w:cs="仿宋_GB2312"/>
          <w:sz w:val="32"/>
          <w:szCs w:val="32"/>
        </w:rPr>
      </w:pPr>
      <w:r>
        <w:rPr>
          <w:rFonts w:ascii="黑体" w:eastAsia="黑体" w:cs="黑体" w:hAnsi="黑体" w:hint="eastAsia"/>
          <w:sz w:val="32"/>
          <w:szCs w:val="32"/>
        </w:rPr>
        <w:t>第十三条</w:t>
      </w:r>
      <w:r>
        <w:rPr>
          <w:rFonts w:hint="eastAsia"/>
          <w:sz w:val="32"/>
          <w:szCs w:val="32"/>
        </w:rPr>
        <w:t xml:space="preserve"> </w:t>
      </w:r>
      <w:r>
        <w:rPr>
          <w:rFonts w:ascii="仿宋_GB2312" w:eastAsia="仿宋_GB2312" w:cs="仿宋_GB2312" w:hint="eastAsia"/>
          <w:sz w:val="32"/>
          <w:szCs w:val="32"/>
        </w:rPr>
        <w:t>宁波老字号经营主体的名称和注册商标人名义发生变更后，宁波老字号标识和牌匾的使用权随之变更，但须按照《宁波老字号</w:t>
      </w:r>
      <w:r>
        <w:rPr>
          <w:rFonts w:ascii="仿宋_GB2312" w:eastAsia="仿宋_GB2312" w:cs="仿宋_GB2312" w:hint="eastAsia"/>
          <w:sz w:val="32"/>
          <w:szCs w:val="32"/>
          <w:lang w:eastAsia="zh-CN"/>
        </w:rPr>
        <w:t>认定</w:t>
      </w:r>
      <w:r>
        <w:rPr>
          <w:rFonts w:ascii="仿宋_GB2312" w:eastAsia="仿宋_GB2312" w:cs="仿宋_GB2312" w:hint="eastAsia"/>
          <w:sz w:val="32"/>
          <w:szCs w:val="32"/>
        </w:rPr>
        <w:t>管理办法》规定报市商务局备案。</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28"/>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Chars="200" w:firstLine="628"/>
        <w:textAlignment w:val="auto"/>
        <w:rPr>
          <w:rFonts w:ascii="仿宋_GB2312" w:eastAsia="仿宋_GB2312" w:cs="仿宋_GB2312"/>
          <w:sz w:val="32"/>
          <w:szCs w:val="32"/>
        </w:rPr>
      </w:pPr>
      <w:r>
        <w:rPr>
          <w:rFonts w:ascii="仿宋_GB2312" w:eastAsia="仿宋_GB2312" w:cs="仿宋_GB2312"/>
          <w:sz w:val="32"/>
          <w:szCs w:val="32"/>
        </w:rPr>
        <w:t>附件：宁波老字号标识</w:t>
      </w: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15"/>
        <w:rPr>
          <w:rFonts w:ascii="仿宋_GB2312" w:eastAsia="仿宋_GB2312" w:cs="仿宋_GB2312"/>
          <w:sz w:val="32"/>
          <w:szCs w:val="32"/>
        </w:rPr>
      </w:pPr>
    </w:p>
    <w:p>
      <w:pPr>
        <w:rPr>
          <w:rFonts w:ascii="仿宋_GB2312" w:eastAsia="仿宋_GB2312" w:cs="仿宋_GB2312"/>
          <w:sz w:val="32"/>
          <w:szCs w:val="32"/>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300" w:lineRule="exact"/>
        <w:textAlignment w:val="auto"/>
        <w:rPr>
          <w:rFonts w:ascii="仿宋_GB2312" w:eastAsia="仿宋_GB2312" w:cs="仿宋_GB2312" w:hAnsi="仿宋_GB2312" w:hint="eastAsia"/>
          <w:spacing w:val="0"/>
          <w:kern w:val="2"/>
          <w:sz w:val="32"/>
          <w:szCs w:val="32"/>
          <w:u w:val="none"/>
          <w:lang w:val="en-US" w:eastAsia="zh-CN" w:bidi="ar-SA"/>
        </w:rPr>
      </w:pPr>
    </w:p>
    <w:p>
      <w:pPr>
        <w:pStyle w:val="20"/>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eastAsia="仿宋_GB2312" w:cs="仿宋_GB2312" w:hAnsi="仿宋_GB2312" w:hint="eastAsia"/>
          <w:spacing w:val="0"/>
          <w:kern w:val="2"/>
          <w:sz w:val="32"/>
          <w:szCs w:val="32"/>
          <w:u w:val="none"/>
          <w:lang w:val="en-US" w:eastAsia="zh-CN" w:bidi="ar-SA"/>
        </w:rPr>
      </w:pPr>
      <w:r>
        <w:rPr>
          <w:rFonts w:ascii="仿宋_GB2312" w:eastAsia="仿宋_GB2312" w:cs="仿宋_GB2312" w:hAnsi="仿宋_GB2312" w:hint="eastAsia"/>
          <w:spacing w:val="0"/>
          <w:kern w:val="2"/>
          <w:sz w:val="32"/>
          <w:szCs w:val="32"/>
          <w:u w:val="none"/>
          <w:lang w:val="en-US" w:eastAsia="zh-CN" w:bidi="ar-SA"/>
        </w:rPr>
        <w:t>（信息公开形式：主动公开）</w:t>
      </w:r>
    </w:p>
    <w:p>
      <w:pPr>
        <w:keepNext w:val="0"/>
        <w:keepLines w:val="0"/>
        <w:pageBreakBefore w:val="0"/>
        <w:widowControl w:val="0"/>
        <w:kinsoku/>
        <w:wordWrap/>
        <w:overflowPunct/>
        <w:topLinePunct w:val="0"/>
        <w:autoSpaceDE/>
        <w:autoSpaceDN/>
        <w:bidi w:val="0"/>
        <w:adjustRightInd/>
        <w:snapToGrid/>
        <w:spacing w:line="240" w:lineRule="auto"/>
        <w:ind w:leftChars="100" w:left="314" w:rightChars="100" w:right="314"/>
        <w:textAlignment w:val="auto"/>
        <w:outlineLvl w:val="9"/>
        <w:rPr>
          <w:rFonts w:ascii="仿宋_GB2312" w:eastAsia="仿宋_GB2312" w:cs="仿宋_GB2312" w:hAnsi="仿宋_GB2312" w:hint="eastAsia"/>
          <w:sz w:val="28"/>
          <w:szCs w:val="28"/>
        </w:rPr>
      </w:pPr>
      <w:r>
        <w:rPr>
          <w:rFonts w:ascii="仿宋_GB2312" w:eastAsia="仿宋_GB2312" w:cs="仿宋_GB2312" w:hAnsi="仿宋_GB2312" w:hint="eastAsia"/>
        </w:rPr>
        <mc:AlternateContent>
          <mc:Choice Requires="wps">
            <w:drawing>
              <wp:anchor distT="0" distB="0" distL="114300" distR="114300" simplePos="0" relativeHeight="63" behindDoc="0" locked="0" layoutInCell="1" hidden="0" allowOverlap="1">
                <wp:simplePos x="0" y="0"/>
                <wp:positionH relativeFrom="page">
                  <wp:posOffset>1017905</wp:posOffset>
                </wp:positionH>
                <wp:positionV relativeFrom="paragraph">
                  <wp:posOffset>73660</wp:posOffset>
                </wp:positionV>
                <wp:extent cx="5600700" cy="0"/>
                <wp:effectExtent l="0" t="9525" r="0" b="9525"/>
                <wp:wrapTopAndBottom/>
                <wp:docPr id="7" name="直接连接符 7"/>
                <wp:cNvGraphicFramePr>
                  <a:graphicFrameLocks noChangeAspect="0"/>
                </wp:cNvGraphicFramePr>
                <a:graphic>
                  <a:graphicData uri="http://schemas.microsoft.com/office/word/2010/wordprocessingShape">
                    <wps:wsp>
                      <wps:cNvSpPr/>
                      <wps:spPr>
                        <a:xfrm rot="0">
                          <a:off x="0" y="0"/>
                          <a:ext cx="5600700" cy="0"/>
                        </a:xfrm>
                        <a:prstGeom prst="line"/>
                        <a:noFill/>
                        <a:ln w="19050"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7" o:spid="_x0000_s8" from="80.15pt,5.8pt" to="521.15pt,5.8pt" filled="f" stroked="t" strokeweight="1.5pt" style="position:absolute;z-index:63;mso-position-horizontal:absolute;mso-position-horizontal-relative:page;mso-position-vertical:absolute;visibility:visible;">
                <v:stroke color="#000000"/>
                <w10:wrap type="topAndBottom"/>
              </v:line>
            </w:pict>
          </mc:Fallback>
        </mc:AlternateContent>
      </w:r>
      <w:r>
        <w:rPr>
          <w:rFonts w:ascii="仿宋_GB2312" w:eastAsia="仿宋_GB2312" w:cs="仿宋_GB2312" w:hAnsi="仿宋_GB2312" w:hint="eastAsia"/>
          <w:sz w:val="28"/>
          <w:szCs w:val="28"/>
        </w:rPr>
        <w:t>宁波市商务</w:t>
      </w:r>
      <w:r>
        <w:rPr>
          <w:rFonts w:ascii="仿宋_GB2312" w:eastAsia="仿宋_GB2312" w:cs="仿宋_GB2312" w:hAnsi="仿宋_GB2312" w:hint="eastAsia"/>
          <w:sz w:val="28"/>
          <w:szCs w:val="28"/>
          <w:lang w:eastAsia="zh-CN"/>
        </w:rPr>
        <w:t>局</w:t>
      </w:r>
      <w:r>
        <w:rPr>
          <w:rFonts w:ascii="仿宋_GB2312" w:eastAsia="仿宋_GB2312" w:cs="仿宋_GB2312" w:hAnsi="仿宋_GB2312" w:hint="eastAsia"/>
          <w:sz w:val="28"/>
          <w:szCs w:val="28"/>
        </w:rPr>
        <w:t xml:space="preserve">办公室                </w:t>
      </w:r>
      <w:r>
        <w:rPr>
          <w:rFonts w:ascii="仿宋_GB2312" w:cs="仿宋_GB2312" w:hAnsi="仿宋_GB2312" w:hint="eastAsia"/>
          <w:sz w:val="28"/>
          <w:szCs w:val="28"/>
          <w:lang w:val="en-US" w:eastAsia="zh-CN"/>
        </w:rPr>
        <w:t xml:space="preserve">    </w:t>
      </w:r>
      <w:r>
        <w:rPr>
          <w:rFonts w:ascii="仿宋_GB2312" w:eastAsia="仿宋_GB2312" w:cs="仿宋_GB2312" w:hAnsi="仿宋_GB2312" w:hint="eastAsia"/>
          <w:sz w:val="28"/>
          <w:szCs w:val="28"/>
        </w:rPr>
        <w:t xml:space="preserve"> </w:t>
      </w:r>
      <w:r>
        <w:rPr>
          <w:rFonts w:ascii="仿宋_GB2312" w:cs="仿宋_GB2312" w:hAnsi="仿宋_GB2312" w:hint="eastAsia"/>
          <w:sz w:val="28"/>
          <w:szCs w:val="28"/>
          <w:lang w:val="en-US" w:eastAsia="zh-CN"/>
        </w:rPr>
        <w:t xml:space="preserve"> </w:t>
      </w:r>
      <w:r>
        <w:rPr>
          <w:rFonts w:ascii="仿宋_GB2312" w:eastAsia="仿宋_GB2312" w:cs="仿宋_GB2312" w:hAnsi="仿宋_GB2312" w:hint="eastAsia"/>
          <w:sz w:val="28"/>
          <w:szCs w:val="28"/>
        </w:rPr>
        <w:t>20</w:t>
      </w:r>
      <w:r>
        <w:rPr>
          <w:rFonts w:ascii="仿宋_GB2312" w:cs="仿宋_GB2312" w:hAnsi="仿宋_GB2312" w:hint="eastAsia"/>
          <w:sz w:val="28"/>
          <w:szCs w:val="28"/>
          <w:lang w:val="en-US" w:eastAsia="zh-CN"/>
        </w:rPr>
        <w:t>25</w:t>
      </w:r>
      <w:r>
        <w:rPr>
          <w:rFonts w:ascii="仿宋_GB2312" w:eastAsia="仿宋_GB2312" w:cs="仿宋_GB2312" w:hAnsi="仿宋_GB2312" w:hint="eastAsia"/>
          <w:sz w:val="28"/>
          <w:szCs w:val="28"/>
        </w:rPr>
        <w:t>年</w:t>
      </w:r>
      <w:r>
        <w:rPr>
          <w:rFonts w:ascii="仿宋_GB2312" w:cs="仿宋_GB2312" w:hAnsi="仿宋_GB2312" w:hint="eastAsia"/>
          <w:sz w:val="28"/>
          <w:szCs w:val="28"/>
          <w:lang w:val="en-US" w:eastAsia="zh-CN"/>
        </w:rPr>
        <w:t>11</w:t>
      </w:r>
      <w:r>
        <w:rPr>
          <w:rFonts w:ascii="仿宋_GB2312" w:eastAsia="仿宋_GB2312" w:cs="仿宋_GB2312" w:hAnsi="仿宋_GB2312" w:hint="eastAsia"/>
          <w:sz w:val="28"/>
          <w:szCs w:val="28"/>
        </w:rPr>
        <w:t>月</w:t>
      </w:r>
      <w:r>
        <w:rPr>
          <w:rFonts w:ascii="仿宋_GB2312" w:cs="仿宋_GB2312" w:hAnsi="仿宋_GB2312" w:hint="eastAsia"/>
          <w:sz w:val="28"/>
          <w:szCs w:val="28"/>
          <w:lang w:val="en-US" w:eastAsia="zh-CN"/>
        </w:rPr>
        <w:t>5</w:t>
      </w:r>
      <w:r>
        <w:rPr>
          <w:rFonts w:ascii="仿宋_GB2312" w:eastAsia="仿宋_GB2312" w:cs="仿宋_GB2312" w:hAnsi="仿宋_GB2312" w:hint="eastAsia"/>
          <w:sz w:val="28"/>
          <w:szCs w:val="28"/>
        </w:rPr>
        <w:t>日印发</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outlineLvl w:val="9"/>
      </w:pPr>
      <w:r>
        <w:rPr>
          <w:rFonts w:ascii="Calibri" w:cs="Times New Roman" w:hAnsi="Calibri" w:hint="eastAsia"/>
        </w:rPr>
        <mc:AlternateContent>
          <mc:Choice Requires="wps">
            <w:drawing>
              <wp:anchor distT="0" distB="0" distL="114300" distR="114300" simplePos="0" relativeHeight="59" behindDoc="0" locked="0" layoutInCell="1" hidden="0" allowOverlap="1">
                <wp:simplePos x="0" y="0"/>
                <wp:positionH relativeFrom="column">
                  <wp:posOffset>4514850</wp:posOffset>
                </wp:positionH>
                <wp:positionV relativeFrom="paragraph">
                  <wp:posOffset>1584960</wp:posOffset>
                </wp:positionV>
                <wp:extent cx="1103630" cy="890269"/>
                <wp:effectExtent l="7620" t="7620" r="12700" b="16510"/>
                <wp:wrapNone/>
                <wp:docPr id="12" name="文本框 12"/>
                <wp:cNvGraphicFramePr>
                  <a:graphicFrameLocks noChangeAspect="0"/>
                </wp:cNvGraphicFramePr>
                <a:graphic>
                  <a:graphicData uri="http://schemas.microsoft.com/office/word/2010/wordprocessingShape">
                    <wps:wsp>
                      <wps:cNvSpPr/>
                      <wps:spPr>
                        <a:xfrm rot="0">
                          <a:off x="0" y="0"/>
                          <a:ext cx="1103630" cy="890269"/>
                        </a:xfrm>
                        <a:prstGeom prst="rect"/>
                        <a:solidFill>
                          <a:srgbClr val="FFFFFF"/>
                        </a:solidFill>
                        <a:ln w="15875" cmpd="sng" cap="flat">
                          <a:solidFill>
                            <a:srgbClr val="FFFFFF"/>
                          </a:solidFill>
                          <a:prstDash val="solid"/>
                          <a:miter/>
                        </a:ln>
                      </wps:spPr>
                      <wps:txbx id="9">
                        <w:txbxContent>
                          <w:p>
                            <w:pPr>
                              <w:rPr>
                                <w:rFonts w:ascii="Calibri" w:cs="Times New Roman" w:hAnsi="Calibri"/>
                              </w:rPr>
                            </w:pPr>
                          </w:p>
                        </w:txbxContent>
                      </wps:txbx>
                      <wps:bodyPr vert="horz" wrap="square" lIns="91440" tIns="45720" rIns="91440" bIns="45720" anchor="t" anchorCtr="0" upright="0">
                        <a:noAutofit/>
                      </wps:bodyPr>
                    </wps:wsp>
                  </a:graphicData>
                </a:graphic>
              </wp:anchor>
            </w:drawing>
          </mc:Choice>
          <mc:Fallback>
            <w:pict>
              <v:rect type="#_x0000_t1" id="文本框 12" o:spid="_x0000_s10" fillcolor="#FFFFFF" stroked="t" strokeweight="1.25pt" style="position:absolute;margin-left:355.5pt;margin-top:124.8pt;width:86.900024pt;height:70.09999pt;z-index:59;mso-position-horizontal:absolute;mso-position-vertical:absolute;mso-wrap-style:square;">
                <v:stroke color="#FFFFFF"/>
                <v:textbox id="850" inset="2.54mm,1.27mm,2.54mm,1.27mm" o:insetmode="custom" style="layout-flow:horizontal;v-text-anchor:top;">
                  <w:txbxContent>
                    <w:p>
                      <w:pPr>
                        <w:rPr>
                          <w:rFonts w:ascii="Calibri" w:cs="Times New Roman" w:hAnsi="Calibri"/>
                        </w:rPr>
                      </w:pPr>
                    </w:p>
                  </w:txbxContent>
                </v:textbox>
              </v:rect>
            </w:pict>
          </mc:Fallback>
        </mc:AlternateContent>
      </w:r>
      <w:r>
        <w:rPr>
          <w:rFonts w:ascii="Calibri" w:cs="Times New Roman" w:hAnsi="Calibri"/>
        </w:rPr>
        <mc:AlternateContent>
          <mc:Choice Requires="wps">
            <w:drawing>
              <wp:anchor distT="0" distB="0" distL="114300" distR="114300" simplePos="0" relativeHeight="47" behindDoc="0" locked="0" layoutInCell="1" hidden="0" allowOverlap="1">
                <wp:simplePos x="0" y="0"/>
                <wp:positionH relativeFrom="column">
                  <wp:posOffset>4800600</wp:posOffset>
                </wp:positionH>
                <wp:positionV relativeFrom="paragraph">
                  <wp:posOffset>1203960</wp:posOffset>
                </wp:positionV>
                <wp:extent cx="1203960" cy="480060"/>
                <wp:effectExtent l="4444" t="5080" r="10795" b="10160"/>
                <wp:wrapNone/>
                <wp:docPr id="10" name="矩形 10"/>
                <wp:cNvGraphicFramePr>
                  <a:graphicFrameLocks noChangeAspect="0"/>
                </wp:cNvGraphicFramePr>
                <a:graphic>
                  <a:graphicData uri="http://schemas.microsoft.com/office/word/2010/wordprocessingShape">
                    <wps:wsp>
                      <wps:cNvSpPr/>
                      <wps:spPr>
                        <a:xfrm rot="0">
                          <a:off x="0" y="0"/>
                          <a:ext cx="1203960" cy="480060"/>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10" o:spid="_x0000_s11" fillcolor="#FFFFFF" stroked="t" style="position:absolute;margin-left:378.0pt;margin-top:94.8pt;width:94.80002pt;height:37.800007pt;z-index:47;mso-position-horizontal:absolute;mso-position-vertical:absolute;">
                <v:stroke color="#FFFFFF"/>
              </v:rect>
            </w:pict>
          </mc:Fallback>
        </mc:AlternateContent>
      </w:r>
      <w:r>
        <w:rPr>
          <w:rFonts w:ascii="Calibri" w:cs="Times New Roman" w:hAnsi="Calibri"/>
        </w:rPr>
        <mc:AlternateContent>
          <mc:Choice Requires="wps">
            <w:drawing>
              <wp:anchor distT="0" distB="0" distL="114300" distR="114300" simplePos="0" relativeHeight="49" behindDoc="0" locked="0" layoutInCell="1" hidden="0" allowOverlap="1">
                <wp:simplePos x="0" y="0"/>
                <wp:positionH relativeFrom="column">
                  <wp:posOffset>-123825</wp:posOffset>
                </wp:positionH>
                <wp:positionV relativeFrom="paragraph">
                  <wp:posOffset>240030</wp:posOffset>
                </wp:positionV>
                <wp:extent cx="1057275" cy="795655"/>
                <wp:effectExtent l="4444" t="4444" r="5080" b="19050"/>
                <wp:wrapNone/>
                <wp:docPr id="20" name="矩形 20"/>
                <wp:cNvGraphicFramePr>
                  <a:graphicFrameLocks noChangeAspect="0"/>
                </wp:cNvGraphicFramePr>
                <a:graphic>
                  <a:graphicData uri="http://schemas.microsoft.com/office/word/2010/wordprocessingShape">
                    <wps:wsp>
                      <wps:cNvSpPr/>
                      <wps:spPr>
                        <a:xfrm rot="0">
                          <a:off x="0" y="0"/>
                          <a:ext cx="1057275" cy="795655"/>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20" o:spid="_x0000_s12" fillcolor="#FFFFFF" stroked="t" style="position:absolute;margin-left:-9.75pt;margin-top:18.9pt;width:83.25pt;height:62.650005pt;z-index:49;mso-position-horizontal:absolute;mso-position-vertical:absolute;">
                <v:stroke color="#FFFFFF"/>
              </v:rect>
            </w:pict>
          </mc:Fallback>
        </mc:AlternateContent>
      </w:r>
      <w:r>
        <w:rPr>
          <w:rFonts w:ascii="Calibri" w:cs="Times New Roman" w:hAnsi="Calibri"/>
          <w:sz w:val="32"/>
        </w:rPr>
        <mc:AlternateContent>
          <mc:Choice Requires="wps">
            <w:drawing>
              <wp:anchor distT="0" distB="0" distL="114300" distR="114300" simplePos="0" relativeHeight="53" behindDoc="0" locked="0" layoutInCell="1" hidden="0" allowOverlap="1">
                <wp:simplePos x="0" y="0"/>
                <wp:positionH relativeFrom="column">
                  <wp:posOffset>2683510</wp:posOffset>
                </wp:positionH>
                <wp:positionV relativeFrom="paragraph">
                  <wp:posOffset>489585</wp:posOffset>
                </wp:positionV>
                <wp:extent cx="662940" cy="586104"/>
                <wp:effectExtent l="0" t="0" r="3810" b="4444"/>
                <wp:wrapNone/>
                <wp:docPr id="17" name="矩形 17"/>
                <wp:cNvGraphicFramePr>
                  <a:graphicFrameLocks noChangeAspect="0"/>
                </wp:cNvGraphicFramePr>
                <a:graphic>
                  <a:graphicData uri="http://schemas.microsoft.com/office/word/2010/wordprocessingShape">
                    <wps:wsp>
                      <wps:cNvSpPr/>
                      <wps:spPr>
                        <a:xfrm rot="0">
                          <a:off x="0" y="0"/>
                          <a:ext cx="662940" cy="586104"/>
                        </a:xfrm>
                        <a:prstGeom prst="rect"/>
                        <a:solidFill>
                          <a:srgbClr val="FFFFFF"/>
                        </a:solidFill>
                        <a:ln w="25400" cmpd="sng" cap="flat">
                          <a:noFill/>
                          <a:prstDash val="solid"/>
                          <a:round/>
                        </a:ln>
                      </wps:spPr>
                      <wps:bodyPr vert="horz" wrap="square" lIns="91440" tIns="45720" rIns="91440" bIns="45720" anchor="ctr" anchorCtr="0" upright="0">
                        <a:noAutofit/>
                      </wps:bodyPr>
                    </wps:wsp>
                  </a:graphicData>
                </a:graphic>
              </wp:anchor>
            </w:drawing>
          </mc:Choice>
          <mc:Fallback>
            <w:pict>
              <v:rect type="#_x0000_t1" id="矩形 17" o:spid="_x0000_s13" fillcolor="#FFFFFF" stroked="f" strokeweight="2.0pt" style="position:absolute;margin-left:211.3pt;margin-top:38.55pt;width:52.200005pt;height:46.149998pt;z-index:53;mso-position-horizontal:absolute;mso-position-vertical:absolute;">
                <v:stroke/>
              </v:rect>
            </w:pict>
          </mc:Fallback>
        </mc:AlternateContent>
      </w:r>
      <w:r>
        <w:rPr>
          <w:rFonts w:ascii="Calibri" w:cs="Times New Roman" w:hAnsi="Calibri"/>
          <w:sz w:val="32"/>
        </w:rPr>
        <mc:AlternateContent>
          <mc:Choice Requires="wps">
            <w:drawing>
              <wp:anchor distT="0" distB="0" distL="114300" distR="114300" simplePos="0" relativeHeight="45" behindDoc="0" locked="0" layoutInCell="1" hidden="0" allowOverlap="1">
                <wp:simplePos x="0" y="0"/>
                <wp:positionH relativeFrom="column">
                  <wp:posOffset>1440814</wp:posOffset>
                </wp:positionH>
                <wp:positionV relativeFrom="paragraph">
                  <wp:posOffset>363220</wp:posOffset>
                </wp:positionV>
                <wp:extent cx="822960" cy="730885"/>
                <wp:effectExtent l="4444" t="4444" r="10795" b="7620"/>
                <wp:wrapNone/>
                <wp:docPr id="11" name="矩形 11"/>
                <wp:cNvGraphicFramePr>
                  <a:graphicFrameLocks noChangeAspect="0"/>
                </wp:cNvGraphicFramePr>
                <a:graphic>
                  <a:graphicData uri="http://schemas.microsoft.com/office/word/2010/wordprocessingShape">
                    <wps:wsp>
                      <wps:cNvSpPr/>
                      <wps:spPr>
                        <a:xfrm rot="0">
                          <a:off x="0" y="0"/>
                          <a:ext cx="822960" cy="730885"/>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11" o:spid="_x0000_s14" fillcolor="#FFFFFF" stroked="t" style="position:absolute;margin-left:113.45pt;margin-top:28.6pt;width:64.8pt;height:57.550003pt;z-index:45;mso-position-horizontal:absolute;mso-position-vertical:absolute;">
                <v:stroke color="#FFFFFF"/>
              </v:rect>
            </w:pict>
          </mc:Fallback>
        </mc:AlternateContent>
      </w:r>
      <w:r>
        <w:rPr>
          <w:rFonts w:ascii="仿宋_GB2312" w:eastAsia="仿宋_GB2312" w:cs="仿宋_GB2312" w:hAnsi="仿宋_GB2312" w:hint="eastAsia"/>
        </w:rPr>
        <mc:AlternateContent>
          <mc:Choice Requires="wps">
            <w:drawing>
              <wp:anchor distT="0" distB="0" distL="114300" distR="114300" simplePos="0" relativeHeight="65" behindDoc="0" locked="0" layoutInCell="1" hidden="0" allowOverlap="1">
                <wp:simplePos x="0" y="0"/>
                <wp:positionH relativeFrom="page">
                  <wp:posOffset>1025525</wp:posOffset>
                </wp:positionH>
                <wp:positionV relativeFrom="paragraph">
                  <wp:posOffset>18415</wp:posOffset>
                </wp:positionV>
                <wp:extent cx="5600700" cy="0"/>
                <wp:effectExtent l="0" t="9525" r="0" b="9525"/>
                <wp:wrapTopAndBottom/>
                <wp:docPr id="8" name="直接连接符 8"/>
                <wp:cNvGraphicFramePr>
                  <a:graphicFrameLocks noChangeAspect="0"/>
                </wp:cNvGraphicFramePr>
                <a:graphic>
                  <a:graphicData uri="http://schemas.microsoft.com/office/word/2010/wordprocessingShape">
                    <wps:wsp>
                      <wps:cNvSpPr/>
                      <wps:spPr>
                        <a:xfrm rot="0">
                          <a:off x="0" y="0"/>
                          <a:ext cx="5600700" cy="0"/>
                        </a:xfrm>
                        <a:prstGeom prst="line"/>
                        <a:noFill/>
                        <a:ln w="19050" cmpd="sng" cap="flat">
                          <a:solidFill>
                            <a:srgbClr val="000000"/>
                          </a:solidFill>
                          <a:prstDash val="solid"/>
                          <a:round/>
                        </a:ln>
                      </wps:spPr>
                      <wps:bodyPr vert="horz" wrap="square" lIns="91440" tIns="45720" rIns="91440" bIns="45720" anchor="t" anchorCtr="0" upright="0">
                        <a:noAutofit/>
                      </wps:bodyPr>
                    </wps:wsp>
                  </a:graphicData>
                </a:graphic>
              </wp:anchor>
            </w:drawing>
          </mc:Choice>
          <mc:Fallback>
            <w:pict>
              <v:line type="#_x0000_t20" id="直接连接符 8" o:spid="_x0000_s15" from="80.75pt,1.45pt" to="521.75pt,1.45pt" filled="f" stroked="t" strokeweight="1.5pt" style="position:absolute;z-index:65;mso-position-horizontal:absolute;mso-position-horizontal-relative:page;mso-position-vertical:absolute;visibility:visible;">
                <v:stroke color="#000000"/>
                <w10:wrap type="topAndBottom"/>
              </v:line>
            </w:pict>
          </mc:Fallback>
        </mc:AlternateContent>
      </w:r>
      <w:r>
        <w:rPr>
          <w:rFonts w:ascii="Calibri" w:cs="Times New Roman" w:hAnsi="Calibri"/>
          <w:sz w:val="32"/>
        </w:rPr>
        <mc:AlternateContent>
          <mc:Choice Requires="wps">
            <w:drawing>
              <wp:anchor distT="0" distB="0" distL="114300" distR="114300" simplePos="0" relativeHeight="57" behindDoc="0" locked="0" layoutInCell="1" hidden="0" allowOverlap="1">
                <wp:simplePos x="0" y="0"/>
                <wp:positionH relativeFrom="column">
                  <wp:posOffset>2459989</wp:posOffset>
                </wp:positionH>
                <wp:positionV relativeFrom="paragraph">
                  <wp:posOffset>673735</wp:posOffset>
                </wp:positionV>
                <wp:extent cx="1028700" cy="327660"/>
                <wp:effectExtent l="4444" t="4444" r="14604" b="10795"/>
                <wp:wrapNone/>
                <wp:docPr id="5" name="矩形 5"/>
                <wp:cNvGraphicFramePr>
                  <a:graphicFrameLocks noChangeAspect="0"/>
                </wp:cNvGraphicFramePr>
                <a:graphic>
                  <a:graphicData uri="http://schemas.microsoft.com/office/word/2010/wordprocessingShape">
                    <wps:wsp>
                      <wps:cNvSpPr/>
                      <wps:spPr>
                        <a:xfrm rot="0">
                          <a:off x="0" y="0"/>
                          <a:ext cx="1028700" cy="327660"/>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5" o:spid="_x0000_s16" fillcolor="#FFFFFF" stroked="t" style="position:absolute;margin-left:193.7pt;margin-top:53.050003pt;width:81.0pt;height:25.800001pt;z-index:57;mso-position-horizontal:absolute;mso-position-vertical:absolute;">
                <v:stroke color="#FFFFFF"/>
              </v:rect>
            </w:pict>
          </mc:Fallback>
        </mc:AlternateContent>
      </w:r>
      <w:r>
        <w:rPr>
          <w:rFonts w:ascii="Calibri" w:cs="Times New Roman" w:hAnsi="Calibri"/>
        </w:rPr>
        <mc:AlternateContent>
          <mc:Choice Requires="wps">
            <w:drawing>
              <wp:anchor distT="0" distB="0" distL="114300" distR="114300" simplePos="0" relativeHeight="61" behindDoc="0" locked="0" layoutInCell="1" hidden="0" allowOverlap="1">
                <wp:simplePos x="0" y="0"/>
                <wp:positionH relativeFrom="column">
                  <wp:posOffset>5041900</wp:posOffset>
                </wp:positionH>
                <wp:positionV relativeFrom="paragraph">
                  <wp:posOffset>499110</wp:posOffset>
                </wp:positionV>
                <wp:extent cx="800100" cy="643255"/>
                <wp:effectExtent l="0" t="0" r="0" b="4444"/>
                <wp:wrapNone/>
                <wp:docPr id="16" name="文本框 16"/>
                <wp:cNvGraphicFramePr>
                  <a:graphicFrameLocks noChangeAspect="0"/>
                </wp:cNvGraphicFramePr>
                <a:graphic>
                  <a:graphicData uri="http://schemas.microsoft.com/office/word/2010/wordprocessingShape">
                    <wps:wsp>
                      <wps:cNvSpPr/>
                      <wps:spPr>
                        <a:xfrm rot="0">
                          <a:off x="0" y="0"/>
                          <a:ext cx="800100" cy="643255"/>
                        </a:xfrm>
                        <a:prstGeom prst="rect"/>
                        <a:solidFill>
                          <a:srgbClr val="FFFFFF"/>
                        </a:solidFill>
                        <a:ln w="9525" cmpd="sng" cap="flat">
                          <a:noFill/>
                          <a:prstDash val="solid"/>
                          <a:round/>
                        </a:ln>
                      </wps:spPr>
                      <wps:txbx id="17">
                        <w:txbxContent>
                          <w:p>
                            <w:pPr>
                              <w:rPr>
                                <w:rFonts w:ascii="Calibri" w:cs="Times New Roman" w:hAnsi="Calibri"/>
                              </w:rPr>
                            </w:pPr>
                          </w:p>
                        </w:txbxContent>
                      </wps:txbx>
                      <wps:bodyPr vert="horz" wrap="square" lIns="91440" tIns="45720" rIns="91440" bIns="45720" anchor="t" anchorCtr="0" upright="0">
                        <a:noAutofit/>
                      </wps:bodyPr>
                    </wps:wsp>
                  </a:graphicData>
                </a:graphic>
              </wp:anchor>
            </w:drawing>
          </mc:Choice>
          <mc:Fallback>
            <w:pict>
              <v:rect type="#_x0000_t1" id="文本框 16" o:spid="_x0000_s18" fillcolor="#FFFFFF" stroked="f" style="position:absolute;margin-left:397.00003pt;margin-top:39.3pt;width:63.0pt;height:50.650005pt;z-index:61;mso-position-horizontal:absolute;mso-position-vertical:absolute;mso-wrap-style:square;">
                <v:stroke/>
                <v:textbox id="851" inset="2.54mm,1.27mm,2.54mm,1.27mm" o:insetmode="custom" style="layout-flow:horizontal;v-text-anchor:top;">
                  <w:txbxContent>
                    <w:p>
                      <w:pPr>
                        <w:rPr>
                          <w:rFonts w:ascii="Calibri" w:cs="Times New Roman" w:hAnsi="Calibri"/>
                        </w:rPr>
                      </w:pPr>
                    </w:p>
                  </w:txbxContent>
                </v:textbox>
              </v:rect>
            </w:pict>
          </mc:Fallback>
        </mc:AlternateContent>
      </w:r>
      <w:r>
        <w:rPr>
          <w:rFonts w:ascii="仿宋_GB2312" w:eastAsia="仿宋_GB2312" w:cs="仿宋_GB2312" w:hAnsi="仿宋_GB2312" w:hint="eastAsia"/>
        </w:rPr>
        <mc:AlternateContent>
          <mc:Choice Requires="wps">
            <w:drawing>
              <wp:anchor distT="0" distB="0" distL="114300" distR="114300" simplePos="0" relativeHeight="69" behindDoc="0" locked="0" layoutInCell="1" hidden="0" allowOverlap="1">
                <wp:simplePos x="0" y="0"/>
                <wp:positionH relativeFrom="column">
                  <wp:posOffset>5238115</wp:posOffset>
                </wp:positionH>
                <wp:positionV relativeFrom="paragraph">
                  <wp:posOffset>806450</wp:posOffset>
                </wp:positionV>
                <wp:extent cx="1007744" cy="89535"/>
                <wp:effectExtent l="4444" t="4444" r="16510" b="20320"/>
                <wp:wrapNone/>
                <wp:docPr id="9" name="矩形 9"/>
                <wp:cNvGraphicFramePr>
                  <a:graphicFrameLocks noChangeAspect="0"/>
                </wp:cNvGraphicFramePr>
                <a:graphic>
                  <a:graphicData uri="http://schemas.microsoft.com/office/word/2010/wordprocessingShape">
                    <wps:wsp>
                      <wps:cNvSpPr/>
                      <wps:spPr>
                        <a:xfrm rot="0">
                          <a:off x="0" y="0"/>
                          <a:ext cx="1007744" cy="89535"/>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9" o:spid="_x0000_s19" fillcolor="#FFFFFF" stroked="t" style="position:absolute;margin-left:412.45pt;margin-top:63.500004pt;width:79.34999pt;height:7.050001pt;z-index:69;mso-position-horizontal:absolute;mso-position-vertical:absolute;">
                <v:stroke color="#FFFFFF"/>
              </v:rect>
            </w:pict>
          </mc:Fallback>
        </mc:AlternateContent>
      </w:r>
      <w:r>
        <w:rPr>
          <w:rFonts w:ascii="仿宋_GB2312" w:eastAsia="仿宋_GB2312" w:cs="仿宋_GB2312" w:hAnsi="仿宋_GB2312" w:hint="eastAsia"/>
        </w:rPr>
        <mc:AlternateContent>
          <mc:Choice Requires="wps">
            <w:drawing>
              <wp:anchor distT="0" distB="0" distL="114300" distR="114300" simplePos="0" relativeHeight="67" behindDoc="0" locked="0" layoutInCell="1" hidden="0" allowOverlap="1">
                <wp:simplePos x="0" y="0"/>
                <wp:positionH relativeFrom="column">
                  <wp:posOffset>2207260</wp:posOffset>
                </wp:positionH>
                <wp:positionV relativeFrom="paragraph">
                  <wp:posOffset>1019175</wp:posOffset>
                </wp:positionV>
                <wp:extent cx="501649" cy="367665"/>
                <wp:effectExtent l="8255" t="7620" r="23495" b="24765"/>
                <wp:wrapNone/>
                <wp:docPr id="18" name="矩形 18"/>
                <wp:cNvGraphicFramePr>
                  <a:graphicFrameLocks noChangeAspect="0"/>
                </wp:cNvGraphicFramePr>
                <a:graphic>
                  <a:graphicData uri="http://schemas.microsoft.com/office/word/2010/wordprocessingShape">
                    <wps:wsp>
                      <wps:cNvSpPr/>
                      <wps:spPr>
                        <a:xfrm rot="0">
                          <a:off x="0" y="0"/>
                          <a:ext cx="501649" cy="367665"/>
                        </a:xfrm>
                        <a:prstGeom prst="rect"/>
                        <a:solidFill>
                          <a:srgbClr val="FFFFFF"/>
                        </a:solidFill>
                        <a:ln w="1587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18" o:spid="_x0000_s20" fillcolor="#FFFFFF" stroked="t" strokeweight="1.25pt" style="position:absolute;margin-left:173.8pt;margin-top:80.25pt;width:39.499992pt;height:28.950005pt;z-index:67;mso-position-horizontal:absolute;mso-position-vertical:absolute;">
                <v:stroke color="#FFFFFF"/>
              </v:rect>
            </w:pict>
          </mc:Fallback>
        </mc:AlternateContent>
      </w:r>
      <w:r>
        <w:rPr>
          <w:rFonts w:ascii="Calibri" w:cs="Times New Roman" w:hAnsi="Calibri" w:hint="eastAsia"/>
        </w:rPr>
        <mc:AlternateContent>
          <mc:Choice Requires="wps">
            <w:drawing>
              <wp:anchor distT="0" distB="0" distL="114300" distR="114300" simplePos="0" relativeHeight="55" behindDoc="0" locked="0" layoutInCell="1" hidden="0" allowOverlap="1">
                <wp:simplePos x="0" y="0"/>
                <wp:positionH relativeFrom="column">
                  <wp:posOffset>-200660</wp:posOffset>
                </wp:positionH>
                <wp:positionV relativeFrom="paragraph">
                  <wp:posOffset>2185670</wp:posOffset>
                </wp:positionV>
                <wp:extent cx="1003300" cy="367665"/>
                <wp:effectExtent l="0" t="0" r="6350" b="13335"/>
                <wp:wrapNone/>
                <wp:docPr id="15" name="文本框 15"/>
                <wp:cNvGraphicFramePr>
                  <a:graphicFrameLocks noChangeAspect="0"/>
                </wp:cNvGraphicFramePr>
                <a:graphic>
                  <a:graphicData uri="http://schemas.microsoft.com/office/word/2010/wordprocessingShape">
                    <wps:wsp>
                      <wps:cNvSpPr/>
                      <wps:spPr>
                        <a:xfrm rot="0">
                          <a:off x="0" y="0"/>
                          <a:ext cx="1003300" cy="367665"/>
                        </a:xfrm>
                        <a:prstGeom prst="rect"/>
                        <a:solidFill>
                          <a:srgbClr val="FFFFFF"/>
                        </a:solidFill>
                        <a:ln w="9525" cmpd="sng" cap="flat">
                          <a:noFill/>
                          <a:prstDash val="solid"/>
                          <a:round/>
                        </a:ln>
                      </wps:spPr>
                      <wps:txbx id="21">
                        <w:txbxContent>
                          <w:p>
                            <w:pPr>
                              <w:rPr>
                                <w:rFonts w:ascii="Calibri" w:cs="Times New Roman" w:hAnsi="Calibri"/>
                              </w:rPr>
                            </w:pPr>
                          </w:p>
                        </w:txbxContent>
                      </wps:txbx>
                      <wps:bodyPr vert="horz" wrap="square" lIns="91440" tIns="45720" rIns="91440" bIns="45720" anchor="t" anchorCtr="0" upright="0">
                        <a:noAutofit/>
                      </wps:bodyPr>
                    </wps:wsp>
                  </a:graphicData>
                </a:graphic>
              </wp:anchor>
            </w:drawing>
          </mc:Choice>
          <mc:Fallback>
            <w:pict>
              <v:rect type="#_x0000_t1" id="文本框 15" o:spid="_x0000_s22" fillcolor="#FFFFFF" stroked="f" style="position:absolute;margin-left:-15.8pt;margin-top:172.1pt;width:79.0pt;height:28.950005pt;z-index:55;mso-position-horizontal:absolute;mso-position-vertical:absolute;mso-wrap-style:square;">
                <v:stroke/>
                <v:textbox id="852" inset="2.54mm,1.27mm,2.54mm,1.27mm" o:insetmode="custom" style="layout-flow:horizontal;v-text-anchor:top;">
                  <w:txbxContent>
                    <w:p>
                      <w:pPr>
                        <w:rPr>
                          <w:rFonts w:ascii="Calibri" w:cs="Times New Roman" w:hAnsi="Calibri"/>
                        </w:rPr>
                      </w:pPr>
                    </w:p>
                  </w:txbxContent>
                </v:textbox>
              </v:rect>
            </w:pict>
          </mc:Fallback>
        </mc:AlternateContent>
      </w:r>
      <w:r>
        <w:rPr>
          <w:rFonts w:ascii="仿宋_GB2312" w:cs="Times New Roman" w:hAnsi="Calibri" w:hint="eastAsia"/>
          <w:spacing w:val="20"/>
        </w:rPr>
        <mc:AlternateContent>
          <mc:Choice Requires="wps">
            <w:drawing>
              <wp:anchor distT="0" distB="0" distL="114300" distR="114300" simplePos="0" relativeHeight="51" behindDoc="0" locked="0" layoutInCell="1" hidden="0" allowOverlap="1">
                <wp:simplePos x="0" y="0"/>
                <wp:positionH relativeFrom="column">
                  <wp:posOffset>2307589</wp:posOffset>
                </wp:positionH>
                <wp:positionV relativeFrom="paragraph">
                  <wp:posOffset>511175</wp:posOffset>
                </wp:positionV>
                <wp:extent cx="501649" cy="367665"/>
                <wp:effectExtent l="4444" t="4444" r="8255" b="8889"/>
                <wp:wrapNone/>
                <wp:docPr id="3" name="矩形 3"/>
                <wp:cNvGraphicFramePr>
                  <a:graphicFrameLocks noChangeAspect="0"/>
                </wp:cNvGraphicFramePr>
                <a:graphic>
                  <a:graphicData uri="http://schemas.microsoft.com/office/word/2010/wordprocessingShape">
                    <wps:wsp>
                      <wps:cNvSpPr/>
                      <wps:spPr>
                        <a:xfrm rot="0">
                          <a:off x="0" y="0"/>
                          <a:ext cx="501649" cy="367665"/>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3" o:spid="_x0000_s23" fillcolor="#FFFFFF" stroked="t" style="position:absolute;margin-left:181.7pt;margin-top:40.25pt;width:39.499992pt;height:28.95pt;z-index:51;mso-position-horizontal:absolute;mso-position-vertical:absolute;">
                <v:stroke color="#FFFFFF"/>
              </v:rect>
            </w:pict>
          </mc:Fallback>
        </mc:AlternateContent>
      </w:r>
      <w:r>
        <w:rPr>
          <w:rFonts w:ascii="Calibri" w:cs="Times New Roman" w:hAnsi="Calibri"/>
        </w:rPr>
        <mc:AlternateContent>
          <mc:Choice Requires="wps">
            <w:drawing>
              <wp:anchor distT="0" distB="0" distL="114300" distR="114300" simplePos="0" relativeHeight="43" behindDoc="0" locked="0" layoutInCell="1" hidden="0" allowOverlap="1">
                <wp:simplePos x="0" y="0"/>
                <wp:positionH relativeFrom="column">
                  <wp:posOffset>2207260</wp:posOffset>
                </wp:positionH>
                <wp:positionV relativeFrom="paragraph">
                  <wp:posOffset>1019175</wp:posOffset>
                </wp:positionV>
                <wp:extent cx="501649" cy="367665"/>
                <wp:effectExtent l="8255" t="7620" r="23495" b="24765"/>
                <wp:wrapNone/>
                <wp:docPr id="6" name="矩形 6"/>
                <wp:cNvGraphicFramePr>
                  <a:graphicFrameLocks noChangeAspect="0"/>
                </wp:cNvGraphicFramePr>
                <a:graphic>
                  <a:graphicData uri="http://schemas.microsoft.com/office/word/2010/wordprocessingShape">
                    <wps:wsp>
                      <wps:cNvSpPr/>
                      <wps:spPr>
                        <a:xfrm rot="0">
                          <a:off x="0" y="0"/>
                          <a:ext cx="501649" cy="367665"/>
                        </a:xfrm>
                        <a:prstGeom prst="rect"/>
                        <a:solidFill>
                          <a:srgbClr val="FFFFFF"/>
                        </a:solidFill>
                        <a:ln w="1587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6" o:spid="_x0000_s24" fillcolor="#FFFFFF" stroked="t" strokeweight="1.25pt" style="position:absolute;margin-left:173.8pt;margin-top:80.25pt;width:39.499992pt;height:28.950005pt;z-index:43;mso-position-horizontal:absolute;mso-position-vertical:absolute;">
                <v:stroke color="#FFFFFF"/>
              </v:rect>
            </w:pict>
          </mc:Fallback>
        </mc:AlternateContent>
      </w:r>
      <w:r>
        <w:rPr>
          <w:rFonts w:ascii="仿宋_GB2312" w:hint="eastAsia"/>
          <w:spacing w:val="20"/>
        </w:rPr>
        <mc:AlternateContent>
          <mc:Choice Requires="wps">
            <w:drawing>
              <wp:anchor distT="0" distB="0" distL="114300" distR="114300" simplePos="0" relativeHeight="41" behindDoc="0" locked="0" layoutInCell="1" hidden="0" allowOverlap="1">
                <wp:simplePos x="0" y="0"/>
                <wp:positionH relativeFrom="column">
                  <wp:posOffset>4963795</wp:posOffset>
                </wp:positionH>
                <wp:positionV relativeFrom="paragraph">
                  <wp:posOffset>299085</wp:posOffset>
                </wp:positionV>
                <wp:extent cx="818515" cy="709930"/>
                <wp:effectExtent l="4444" t="4444" r="15240" b="9525"/>
                <wp:wrapNone/>
                <wp:docPr id="4" name="矩形 4"/>
                <wp:cNvGraphicFramePr>
                  <a:graphicFrameLocks noChangeAspect="0"/>
                </wp:cNvGraphicFramePr>
                <a:graphic>
                  <a:graphicData uri="http://schemas.microsoft.com/office/word/2010/wordprocessingShape">
                    <wps:wsp>
                      <wps:cNvSpPr/>
                      <wps:spPr>
                        <a:xfrm rot="0">
                          <a:off x="0" y="0"/>
                          <a:ext cx="818515" cy="709930"/>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4" o:spid="_x0000_s25" fillcolor="#FFFFFF" stroked="t" style="position:absolute;margin-left:390.85pt;margin-top:23.55pt;width:64.45001pt;height:55.900005pt;z-index:41;mso-position-horizontal:absolute;mso-position-vertical:absolute;">
                <v:stroke color="#FFFFFF"/>
              </v:rect>
            </w:pict>
          </mc:Fallback>
        </mc:AlternateContent>
      </w:r>
      <w:r>
        <w:rPr>
          <w:rFonts w:ascii="仿宋_GB2312" w:hint="eastAsia"/>
          <w:spacing w:val="20"/>
        </w:rPr>
        <mc:AlternateContent>
          <mc:Choice Requires="wps">
            <w:drawing>
              <wp:anchor distT="0" distB="0" distL="114300" distR="114300" simplePos="0" relativeHeight="39" behindDoc="0" locked="0" layoutInCell="1" hidden="0" allowOverlap="1">
                <wp:simplePos x="0" y="0"/>
                <wp:positionH relativeFrom="column">
                  <wp:posOffset>2307589</wp:posOffset>
                </wp:positionH>
                <wp:positionV relativeFrom="paragraph">
                  <wp:posOffset>511175</wp:posOffset>
                </wp:positionV>
                <wp:extent cx="501649" cy="367665"/>
                <wp:effectExtent l="4444" t="4444" r="8255" b="8889"/>
                <wp:wrapNone/>
                <wp:docPr id="19" name="矩形 19"/>
                <wp:cNvGraphicFramePr>
                  <a:graphicFrameLocks noChangeAspect="0"/>
                </wp:cNvGraphicFramePr>
                <a:graphic>
                  <a:graphicData uri="http://schemas.microsoft.com/office/word/2010/wordprocessingShape">
                    <wps:wsp>
                      <wps:cNvSpPr/>
                      <wps:spPr>
                        <a:xfrm rot="0">
                          <a:off x="0" y="0"/>
                          <a:ext cx="501649" cy="367665"/>
                        </a:xfrm>
                        <a:prstGeom prst="rect"/>
                        <a:solidFill>
                          <a:srgbClr val="FFFFFF"/>
                        </a:solidFill>
                        <a:ln w="9525" cmpd="sng" cap="flat">
                          <a:solidFill>
                            <a:srgbClr val="FFFFFF"/>
                          </a:solidFill>
                          <a:prstDash val="solid"/>
                          <a:miter/>
                        </a:ln>
                      </wps:spPr>
                      <wps:bodyPr vert="horz" wrap="square" lIns="91440" tIns="45720" rIns="91440" bIns="45720" anchor="t" anchorCtr="0" upright="0">
                        <a:noAutofit/>
                      </wps:bodyPr>
                    </wps:wsp>
                  </a:graphicData>
                </a:graphic>
              </wp:anchor>
            </w:drawing>
          </mc:Choice>
          <mc:Fallback>
            <w:pict>
              <v:rect type="#_x0000_t1" id="矩形 19" o:spid="_x0000_s26" fillcolor="#FFFFFF" stroked="t" style="position:absolute;margin-left:181.7pt;margin-top:40.25pt;width:39.499992pt;height:28.95pt;z-index:39;mso-position-horizontal:absolute;mso-position-vertical:absolute;">
                <v:stroke color="#FFFFFF"/>
              </v:rect>
            </w:pict>
          </mc:Fallback>
        </mc:AlternateContent>
      </w:r>
    </w:p>
    <w:sectPr>
      <w:footerReference w:type="default" r:id="rId2"/>
      <w:pgSz w:w="11849" w:h="16782"/>
      <w:pgMar w:top="2098" w:right="1474" w:bottom="1984" w:left="1587" w:header="851" w:footer="1247" w:gutter="0"/>
      <w:pgNumType w:fmt="numberInDash"/>
      <w:cols w:num="1" w:space="0"/>
      <w:rtlGutter/>
      <w:docGrid w:type="linesAndChars" w:linePitch="577" w:charSpace="-1259"/>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auto"/>
    <w:pitch w:val="variable"/>
    <w:sig w:usb0="00000001" w:usb1="080E0000" w:usb2="00000000" w:usb3="00000000" w:csb0="00040000" w:csb1="00000000"/>
  </w:font>
  <w:font w:name="创艺简标宋">
    <w:altName w:val="黑体"/>
    <w:panose1 w:val="00000000000000000000"/>
    <w:charset w:val="00"/>
    <w:family w:val="auto"/>
    <w:pitch w:val="variable"/>
    <w:sig w:usb0="00000000" w:usb1="00000000" w:usb2="00000000" w:usb3="00000000" w:csb0="00000000" w:csb1="00000000"/>
  </w:font>
  <w:font w:name="华文中宋">
    <w:altName w:val="方正仿宋简体"/>
    <w:panose1 w:val="02010600040101010101"/>
    <w:charset w:val="86"/>
    <w:family w:val="auto"/>
    <w:pitch w:val="variable"/>
    <w:sig w:usb0="00000287" w:usb1="080F0000" w:usb2="00000000" w:usb3="00000000" w:csb0="0004009F" w:csb1="DFD70000"/>
  </w:font>
  <w:font w:name="Times New Roman">
    <w:panose1 w:val="02020603050405020304"/>
    <w:charset w:val="01"/>
    <w:family w:val="auto"/>
    <w:pitch w:val="variable"/>
    <w:sig w:usb0="E0002EFF" w:usb1="C000785B" w:usb2="00000009" w:usb3="00000000" w:csb0="400001FF" w:csb1="FFFF0000"/>
  </w:font>
  <w:font w:name="CESI小标宋-GB2312">
    <w:panose1 w:val="02000500000000000000"/>
    <w:charset w:val="86"/>
    <w:family w:val="script"/>
    <w:pitch w:val="variable"/>
    <w:sig w:usb0="800002AF" w:usb1="084F6CF8" w:usb2="00000010" w:usb3="00000000" w:csb0="0004000F" w:csb1="00000000"/>
  </w:font>
  <w:font w:name="黑体">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宋体">
    <w:altName w:val="方正书宋_GBK"/>
    <w:panose1 w:val="00000000000000000000"/>
    <w:charset w:val="86"/>
    <w:family w:val="auto"/>
    <w:pitch w:val="variable"/>
    <w:sig w:usb0="00000000" w:usb1="00000000" w:usb2="00000000" w:usb3="00000000" w:csb0="00000000" w:csb1="00000000"/>
  </w:font>
  <w:font w:name="Lucida Sans">
    <w:altName w:val="DejaVu Sans"/>
    <w:panose1 w:val="020B0602030504020204"/>
    <w:charset w:val="00"/>
    <w:family w:val="auto"/>
    <w:pitch w:val="variable"/>
    <w:sig w:usb0="00000000" w:usb1="00000000" w:usb2="00000000" w:usb3="00000000" w:csb0="20000001"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300" distR="114300" simplePos="0" relativeHeight="31" behindDoc="0" locked="0" layoutInCell="1" hidden="0" allowOverlap="1">
              <wp:simplePos x="0" y="0"/>
              <wp:positionH relativeFrom="margin">
                <wp:align>outside</wp:align>
              </wp:positionH>
              <wp:positionV relativeFrom="paragraph">
                <wp:posOffset>0</wp:posOffset>
              </wp:positionV>
              <wp:extent cx="533400" cy="230584"/>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33400" cy="230584"/>
                      </a:xfrm>
                      <a:prstGeom prst="rect"/>
                      <a:noFill/>
                      <a:ln w="6350" cmpd="sng" cap="flat">
                        <a:noFill/>
                        <a:prstDash val="solid"/>
                        <a:round/>
                      </a:ln>
                    </wps:spPr>
                    <wps:txbx id="1">
                      <w:txbxContent>
                        <w:p>
                          <w:pPr>
                            <w:pStyle w:val="16"/>
                            <w:tabs>
                              <w:tab w:val="center" w:pos="4153"/>
                              <w:tab w:val="right" w:pos="8306"/>
                            </w:tabs>
                            <w:rPr>
                              <w:rFonts w:ascii="仿宋_GB2312" w:eastAsia="仿宋_GB2312" w:cs="仿宋_GB2312" w:hAnsi="仿宋_GB2312" w:hint="eastAsia"/>
                              <w:sz w:val="28"/>
                              <w:szCs w:val="28"/>
                            </w:rPr>
                          </w:pPr>
                          <w:r>
                            <w:rPr>
                              <w:rFonts w:ascii="仿宋_GB2312" w:eastAsia="仿宋_GB2312" w:cs="仿宋_GB2312" w:hAnsi="仿宋_GB2312" w:hint="eastAsia"/>
                              <w:sz w:val="28"/>
                              <w:szCs w:val="28"/>
                            </w:rPr>
                            <w:fldChar w:fldCharType="begin"/>
                          </w:r>
                          <w:r>
                            <w:rPr>
                              <w:rFonts w:ascii="仿宋_GB2312" w:eastAsia="仿宋_GB2312" w:cs="仿宋_GB2312" w:hAnsi="仿宋_GB2312" w:hint="eastAsia"/>
                              <w:sz w:val="28"/>
                              <w:szCs w:val="28"/>
                            </w:rPr>
                            <w:instrText xml:space="preserve"> PAGE  \* MERGEFORMAT </w:instrText>
                          </w:r>
                          <w:r>
                            <w:rPr>
                              <w:rFonts w:ascii="仿宋_GB2312" w:eastAsia="仿宋_GB2312" w:cs="仿宋_GB2312" w:hAnsi="仿宋_GB2312" w:hint="eastAsia"/>
                              <w:sz w:val="28"/>
                              <w:szCs w:val="28"/>
                            </w:rPr>
                            <w:fldChar w:fldCharType="separate"/>
                          </w:r>
                          <w:r>
                            <w:rPr>
                              <w:rFonts w:ascii="仿宋_GB2312" w:eastAsia="仿宋_GB2312" w:cs="仿宋_GB2312" w:hAnsi="仿宋_GB2312" w:hint="eastAsia"/>
                              <w:sz w:val="28"/>
                              <w:szCs w:val="28"/>
                            </w:rPr>
                            <w:t>1</w:t>
                          </w:r>
                          <w:r>
                            <w:rPr>
                              <w:rFonts w:ascii="仿宋_GB2312" w:eastAsia="仿宋_GB2312" w:cs="仿宋_GB2312" w:hAnsi="仿宋_GB2312"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1" o:spid="_x0000_s2" filled="f" stroked="f" strokeweight="0.5pt" style="position:absolute;margin-left:0.0pt;margin-top:0.0pt;width:42.0pt;height:18.15628pt;z-index:31;mso-position-horizontal:outside;mso-position-horizontal-relative:margin;mso-position-vertical:absolute;mso-wrap-style:none;">
              <v:stroke/>
              <v:textbox id="853" inset="0mm,0mm,0mm,0mm" o:insetmode="custom" style="layout-flow:horizontal;v-text-anchor:top;mso-fit-shape-to-text:t;">
                <w:txbxContent>
                  <w:p>
                    <w:pPr>
                      <w:pStyle w:val="16"/>
                      <w:tabs>
                        <w:tab w:val="center" w:pos="4153"/>
                        <w:tab w:val="right" w:pos="8306"/>
                      </w:tabs>
                      <w:rPr>
                        <w:rFonts w:ascii="仿宋_GB2312" w:eastAsia="仿宋_GB2312" w:cs="仿宋_GB2312" w:hAnsi="仿宋_GB2312" w:hint="eastAsia"/>
                        <w:sz w:val="28"/>
                        <w:szCs w:val="28"/>
                      </w:rPr>
                    </w:pPr>
                    <w:r>
                      <w:rPr>
                        <w:rFonts w:ascii="仿宋_GB2312" w:eastAsia="仿宋_GB2312" w:cs="仿宋_GB2312" w:hAnsi="仿宋_GB2312" w:hint="eastAsia"/>
                        <w:sz w:val="28"/>
                        <w:szCs w:val="28"/>
                      </w:rPr>
                      <w:fldChar w:fldCharType="begin"/>
                    </w:r>
                    <w:r>
                      <w:rPr>
                        <w:rFonts w:ascii="仿宋_GB2312" w:eastAsia="仿宋_GB2312" w:cs="仿宋_GB2312" w:hAnsi="仿宋_GB2312" w:hint="eastAsia"/>
                        <w:sz w:val="28"/>
                        <w:szCs w:val="28"/>
                      </w:rPr>
                      <w:instrText xml:space="preserve"> PAGE  \* MERGEFORMAT </w:instrText>
                    </w:r>
                    <w:r>
                      <w:rPr>
                        <w:rFonts w:ascii="仿宋_GB2312" w:eastAsia="仿宋_GB2312" w:cs="仿宋_GB2312" w:hAnsi="仿宋_GB2312" w:hint="eastAsia"/>
                        <w:sz w:val="28"/>
                        <w:szCs w:val="28"/>
                      </w:rPr>
                      <w:fldChar w:fldCharType="separate"/>
                    </w:r>
                    <w:r>
                      <w:rPr>
                        <w:rFonts w:ascii="仿宋_GB2312" w:eastAsia="仿宋_GB2312" w:cs="仿宋_GB2312" w:hAnsi="仿宋_GB2312" w:hint="eastAsia"/>
                        <w:sz w:val="28"/>
                        <w:szCs w:val="28"/>
                      </w:rPr>
                      <w:t>1</w:t>
                    </w:r>
                    <w:r>
                      <w:rPr>
                        <w:rFonts w:ascii="仿宋_GB2312" w:eastAsia="仿宋_GB2312" w:cs="仿宋_GB2312" w:hAnsi="仿宋_GB2312" w:hint="eastAsia"/>
                        <w:sz w:val="28"/>
                        <w:szCs w:val="28"/>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6"/>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15"/>
    <w:pPr>
      <w:widowControl w:val="0"/>
      <w:spacing w:line="240" w:lineRule="auto"/>
      <w:jc w:val="both"/>
    </w:pPr>
    <w:rPr>
      <w:rFonts w:ascii="Times New Roman" w:eastAsia="仿宋_GB2312" w:cs="Lucida Sans" w:hAnsi="Times New Roman"/>
      <w:kern w:val="2"/>
      <w:sz w:val="32"/>
      <w:szCs w:val="21"/>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仿宋_GB2312" w:cs="Lucida Sans"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Lucida Sans"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仿宋_GB2312" w:cs="Lucida Sans" w:hAnsi="Times New Roman"/>
      <w:b/>
      <w:bCs/>
      <w:kern w:val="2"/>
      <w:sz w:val="32"/>
      <w:szCs w:val="32"/>
      <w:lang w:val="en-US" w:eastAsia="zh-CN" w:bidi="ar-SA"/>
    </w:rPr>
  </w:style>
  <w:style w:type="character" w:default="1" w:styleId="10">
    <w:name w:val="Default Paragraph Font"/>
    <w:qFormat/>
  </w:style>
  <w:style w:type="paragraph" w:styleId="15">
    <w:name w:val="Normal Indent"/>
    <w:qFormat/>
    <w:basedOn w:val="0"/>
    <w:next w:val="0"/>
    <w:pPr>
      <w:ind w:firstLineChars="200" w:firstLine="200"/>
    </w:pPr>
  </w:style>
  <w:style w:type="paragraph" w:styleId="16">
    <w:name w:val="footer"/>
    <w:qFormat/>
    <w:basedOn w:val="0"/>
    <w:pPr>
      <w:tabs>
        <w:tab w:val="center" w:pos="4153"/>
        <w:tab w:val="right" w:pos="8306"/>
      </w:tabs>
      <w:snapToGrid w:val="0"/>
      <w:jc w:val="left"/>
    </w:pPr>
    <w:rPr>
      <w:sz w:val="18"/>
    </w:rPr>
  </w:style>
  <w:style w:type="paragraph" w:styleId="17">
    <w:name w:val="header"/>
    <w:qFormat/>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table of figures"/>
    <w:qFormat/>
    <w:basedOn w:val="0"/>
    <w:next w:val="0"/>
    <w:pPr>
      <w:ind w:leftChars="200" w:left="400" w:hangingChars="200" w:hanging="200"/>
    </w:pPr>
  </w:style>
  <w:style w:type="paragraph" w:styleId="19">
    <w:name w:val="toc 2"/>
    <w:qFormat/>
    <w:basedOn w:val="0"/>
    <w:next w:val="0"/>
    <w:pPr>
      <w:ind w:left="420"/>
    </w:pPr>
  </w:style>
  <w:style w:type="paragraph" w:customStyle="1" w:styleId="20">
    <w:name w:val="正文-公1"/>
    <w:qFormat/>
    <w:basedOn w:val="0"/>
    <w:pPr>
      <w:widowControl w:val="0"/>
      <w:spacing w:line="240" w:lineRule="auto"/>
      <w:ind w:firstLineChars="200" w:firstLine="20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1ED72AED-7A28-4AA7-8BE8-7CA596AB3D8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24</TotalTime>
  <Application>WPS_Yozo_Office9.0.5233.191ZH.S1</Application>
  <Pages>15</Pages>
  <Words>0</Words>
  <Characters>4468</Characters>
  <Lines>0</Lines>
  <Paragraphs>192</Paragraphs>
  <CharactersWithSpaces>5958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宁波市商务局 宁波市文广旅游局 宁波市市场监督管理局关于印发《宁波老字号认定管理办法（修订版）》的通知</dc:title>
  <dc:creator>user</dc:creator>
  <cp:lastModifiedBy>user</cp:lastModifiedBy>
  <cp:revision>1</cp:revision>
  <dcterms:created xsi:type="dcterms:W3CDTF">2025-08-18T03:34:00Z</dcterms:created>
  <dcterms:modified xsi:type="dcterms:W3CDTF">2025-12-09T07:41:18Z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2052-11.8.2.10290</vt:lpwstr>
  </property>
  <property fmtid="{D5CDD505-2E9C-101B-9397-08002B2CF9AE}" pid="3" name="ICV">
    <vt:lpwstr>DC460DD398E90AD2AE42B6683E2FE62D</vt:lpwstr>
  </property>
</Properties>
</file>