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b w:val="0"/>
          <w:bCs/>
          <w:sz w:val="36"/>
          <w:szCs w:val="36"/>
        </w:rPr>
      </w:pPr>
      <w:r>
        <w:rPr>
          <w:rFonts w:hint="eastAsia" w:ascii="仿宋_GB2312" w:hAnsi="宋体" w:eastAsia="仿宋_GB2312" w:cs="黑体"/>
          <w:b w:val="0"/>
          <w:bCs/>
          <w:spacing w:val="20"/>
          <w:w w:val="105"/>
          <w:sz w:val="36"/>
          <w:szCs w:val="36"/>
        </w:rPr>
        <w:t>辽宁省砂轮产品质量监督抽查实施细则</w:t>
      </w:r>
    </w:p>
    <w:p>
      <w:pPr>
        <w:spacing w:line="360" w:lineRule="auto"/>
        <w:jc w:val="center"/>
        <w:rPr>
          <w:rFonts w:ascii="黑体" w:hAnsi="宋体" w:eastAsia="黑体"/>
          <w:szCs w:val="32"/>
        </w:rPr>
      </w:pP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1适用</w:t>
      </w:r>
      <w:r>
        <w:rPr>
          <w:rFonts w:hint="eastAsia" w:ascii="仿宋_GB2312" w:hAnsi="Calibri" w:eastAsia="仿宋_GB2312"/>
          <w:sz w:val="28"/>
          <w:szCs w:val="28"/>
        </w:rPr>
        <w:t>范围</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本实施细则适用于辽宁省砂轮产品质量监督抽查。针对特殊情况的专项抽查、辽宁省内县级以上地方市场监督管理部门组织的地方监督抽查可参照执行。监督抽查产品范围为修磨用钹</w:t>
      </w:r>
      <w:r>
        <w:rPr>
          <w:rFonts w:hint="eastAsia" w:ascii="仿宋_GB2312" w:eastAsia="仿宋_GB2312"/>
          <w:sz w:val="28"/>
          <w:szCs w:val="28"/>
          <w:lang w:val="en-US" w:eastAsia="zh-CN"/>
        </w:rPr>
        <w:t>形</w:t>
      </w:r>
      <w:r>
        <w:rPr>
          <w:rFonts w:hint="eastAsia" w:ascii="仿宋_GB2312" w:eastAsia="仿宋_GB2312"/>
          <w:sz w:val="28"/>
          <w:szCs w:val="28"/>
        </w:rPr>
        <w:t>砂轮、纤维增强树脂切割砂轮、螺栓紧固砂轮和</w:t>
      </w:r>
      <w:r>
        <w:rPr>
          <w:rFonts w:hint="eastAsia" w:ascii="仿宋_GB2312" w:eastAsia="仿宋_GB2312"/>
          <w:color w:val="auto"/>
          <w:sz w:val="28"/>
          <w:szCs w:val="28"/>
          <w:highlight w:val="none"/>
          <w:lang w:val="en-US" w:eastAsia="zh-CN"/>
        </w:rPr>
        <w:t>执行</w:t>
      </w:r>
      <w:r>
        <w:rPr>
          <w:rFonts w:hint="eastAsia" w:ascii="仿宋_GB2312" w:eastAsia="仿宋_GB2312"/>
          <w:color w:val="auto"/>
          <w:sz w:val="28"/>
          <w:szCs w:val="28"/>
          <w:highlight w:val="none"/>
        </w:rPr>
        <w:t>GB/T 2485-2016</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固结磨具 技术条件</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lang w:val="en-US" w:eastAsia="zh-CN"/>
        </w:rPr>
        <w:t>标准的砂轮</w:t>
      </w:r>
      <w:r>
        <w:rPr>
          <w:rFonts w:hint="eastAsia" w:ascii="仿宋_GB2312" w:eastAsia="仿宋_GB2312"/>
          <w:sz w:val="28"/>
          <w:szCs w:val="28"/>
        </w:rPr>
        <w:t>。本细则内容包括产品分类、术语和定义、</w:t>
      </w:r>
      <w:r>
        <w:rPr>
          <w:rFonts w:hint="eastAsia" w:ascii="仿宋_GB2312" w:eastAsia="仿宋_GB2312"/>
          <w:sz w:val="28"/>
          <w:szCs w:val="28"/>
          <w:lang w:eastAsia="zh-CN"/>
        </w:rPr>
        <w:t>生产</w:t>
      </w:r>
      <w:r>
        <w:rPr>
          <w:rFonts w:hint="eastAsia" w:ascii="仿宋_GB2312" w:eastAsia="仿宋_GB2312"/>
          <w:sz w:val="28"/>
          <w:szCs w:val="28"/>
        </w:rPr>
        <w:t>企业规模划分、检验依据、抽样、检验要求、判定原则、异议处理。</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2</w:t>
      </w:r>
      <w:r>
        <w:rPr>
          <w:rFonts w:hint="eastAsia" w:ascii="仿宋_GB2312" w:hAnsi="Calibri" w:eastAsia="仿宋_GB2312"/>
          <w:sz w:val="28"/>
          <w:szCs w:val="28"/>
        </w:rPr>
        <w:t>产品分类</w:t>
      </w:r>
    </w:p>
    <w:p>
      <w:pPr>
        <w:adjustRightInd/>
        <w:snapToGrid/>
        <w:spacing w:line="594" w:lineRule="exact"/>
        <w:ind w:firstLine="560" w:firstLineChars="200"/>
        <w:rPr>
          <w:rFonts w:hint="eastAsia" w:ascii="仿宋_GB2312" w:hAnsi="Calibri" w:eastAsia="仿宋_GB2312"/>
          <w:sz w:val="28"/>
          <w:szCs w:val="28"/>
        </w:rPr>
      </w:pPr>
      <w:r>
        <w:rPr>
          <w:rFonts w:hint="eastAsia" w:ascii="仿宋_GB2312" w:hAnsi="Calibri" w:eastAsia="仿宋_GB2312"/>
          <w:sz w:val="28"/>
          <w:szCs w:val="28"/>
        </w:rPr>
        <w:t>2.1产品分类及代码见表1。</w:t>
      </w:r>
    </w:p>
    <w:p>
      <w:pPr>
        <w:adjustRightInd w:val="0"/>
        <w:snapToGrid w:val="0"/>
        <w:spacing w:line="594" w:lineRule="exact"/>
        <w:ind w:firstLine="411" w:firstLineChars="196"/>
        <w:jc w:val="center"/>
        <w:rPr>
          <w:rFonts w:hint="eastAsia" w:ascii="宋体" w:hAnsi="宋体" w:eastAsia="宋体" w:cs="宋体"/>
          <w:color w:val="000000"/>
          <w:sz w:val="21"/>
          <w:szCs w:val="21"/>
        </w:rPr>
      </w:pPr>
      <w:r>
        <w:rPr>
          <w:rFonts w:hint="eastAsia" w:ascii="宋体" w:hAnsi="宋体" w:eastAsia="宋体" w:cs="宋体"/>
          <w:color w:val="000000"/>
          <w:sz w:val="21"/>
          <w:szCs w:val="21"/>
        </w:rPr>
        <w:t>表1</w:t>
      </w:r>
      <w:r>
        <w:rPr>
          <w:rFonts w:hint="eastAsia" w:ascii="宋体" w:hAnsi="宋体" w:eastAsia="宋体" w:cs="宋体"/>
          <w:sz w:val="21"/>
          <w:szCs w:val="21"/>
          <w:lang w:val="en-US" w:eastAsia="zh-CN"/>
        </w:rPr>
        <w:t xml:space="preserve"> </w:t>
      </w:r>
      <w:r>
        <w:rPr>
          <w:rFonts w:hint="eastAsia" w:ascii="宋体" w:hAnsi="宋体" w:eastAsia="宋体" w:cs="宋体"/>
          <w:color w:val="000000"/>
          <w:sz w:val="21"/>
          <w:szCs w:val="21"/>
        </w:rPr>
        <w:t>产品分类及代码</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2480"/>
        <w:gridCol w:w="248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0"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产品分类</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一级分类</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二级分类</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三级分类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0"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分类代码</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7</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703</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703.3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0"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分类名称</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电工及材料</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摩擦、密封材料</w:t>
            </w:r>
          </w:p>
        </w:tc>
        <w:tc>
          <w:tcPr>
            <w:tcW w:w="1455" w:type="pct"/>
            <w:noWrap/>
            <w:vAlign w:val="center"/>
          </w:tcPr>
          <w:p>
            <w:pPr>
              <w:snapToGrid w:val="0"/>
              <w:spacing w:line="240" w:lineRule="auto"/>
              <w:jc w:val="center"/>
              <w:rPr>
                <w:rFonts w:hint="eastAsia" w:ascii="宋体" w:hAnsi="宋体" w:cs="宋体"/>
                <w:szCs w:val="21"/>
              </w:rPr>
            </w:pPr>
            <w:r>
              <w:rPr>
                <w:rFonts w:hint="eastAsia" w:ascii="宋体" w:hAnsi="宋体" w:cs="宋体"/>
                <w:szCs w:val="21"/>
              </w:rPr>
              <w:t>砂轮</w:t>
            </w:r>
          </w:p>
        </w:tc>
      </w:tr>
    </w:tbl>
    <w:p>
      <w:pPr>
        <w:adjustRightInd/>
        <w:snapToGrid/>
        <w:spacing w:before="0" w:line="594" w:lineRule="exact"/>
        <w:ind w:firstLine="560" w:firstLineChars="200"/>
        <w:rPr>
          <w:rFonts w:ascii="仿宋_GB2312" w:eastAsia="仿宋_GB2312"/>
          <w:sz w:val="28"/>
          <w:szCs w:val="28"/>
        </w:rPr>
      </w:pPr>
      <w:r>
        <w:rPr>
          <w:rFonts w:hint="eastAsia" w:ascii="仿宋_GB2312" w:eastAsia="仿宋_GB2312"/>
          <w:sz w:val="28"/>
          <w:szCs w:val="28"/>
        </w:rPr>
        <w:t>2.2产品种类</w:t>
      </w:r>
    </w:p>
    <w:p>
      <w:pPr>
        <w:adjustRightInd/>
        <w:snapToGrid/>
        <w:spacing w:line="594" w:lineRule="exact"/>
        <w:ind w:firstLine="560" w:firstLineChars="200"/>
        <w:rPr>
          <w:rFonts w:hint="eastAsia" w:ascii="仿宋_GB2312" w:eastAsia="仿宋_GB2312"/>
          <w:sz w:val="28"/>
          <w:szCs w:val="28"/>
          <w:highlight w:val="none"/>
        </w:rPr>
      </w:pPr>
      <w:r>
        <w:rPr>
          <w:rFonts w:hint="eastAsia" w:ascii="仿宋_GB2312" w:eastAsia="仿宋_GB2312"/>
          <w:sz w:val="28"/>
          <w:szCs w:val="28"/>
        </w:rPr>
        <w:t>本细则涉及产品种类：包括修磨用钹</w:t>
      </w:r>
      <w:r>
        <w:rPr>
          <w:rFonts w:hint="eastAsia" w:ascii="仿宋_GB2312" w:eastAsia="仿宋_GB2312"/>
          <w:sz w:val="28"/>
          <w:szCs w:val="28"/>
          <w:lang w:val="en-US" w:eastAsia="zh-CN"/>
        </w:rPr>
        <w:t>形</w:t>
      </w:r>
      <w:r>
        <w:rPr>
          <w:rFonts w:hint="eastAsia" w:ascii="仿宋_GB2312" w:eastAsia="仿宋_GB2312"/>
          <w:sz w:val="28"/>
          <w:szCs w:val="28"/>
        </w:rPr>
        <w:t>砂轮、纤维增强树脂切割砂轮、螺栓紧固砂轮和</w:t>
      </w:r>
      <w:r>
        <w:rPr>
          <w:rFonts w:hint="eastAsia" w:ascii="仿宋_GB2312" w:eastAsia="仿宋_GB2312"/>
          <w:color w:val="auto"/>
          <w:sz w:val="28"/>
          <w:szCs w:val="28"/>
          <w:highlight w:val="none"/>
          <w:lang w:val="en-US" w:eastAsia="zh-CN"/>
        </w:rPr>
        <w:t>执行</w:t>
      </w:r>
      <w:r>
        <w:rPr>
          <w:rFonts w:hint="eastAsia" w:ascii="仿宋_GB2312" w:eastAsia="仿宋_GB2312"/>
          <w:color w:val="auto"/>
          <w:sz w:val="28"/>
          <w:szCs w:val="28"/>
          <w:highlight w:val="none"/>
        </w:rPr>
        <w:t>GB/T 2485-2016</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固结磨具 技术条件</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lang w:val="en-US" w:eastAsia="zh-CN"/>
        </w:rPr>
        <w:t>标准的砂轮</w:t>
      </w:r>
      <w:r>
        <w:rPr>
          <w:rFonts w:hint="eastAsia" w:ascii="仿宋_GB2312" w:eastAsia="仿宋_GB2312"/>
          <w:sz w:val="28"/>
          <w:szCs w:val="28"/>
          <w:highlight w:val="none"/>
        </w:rPr>
        <w:t>。</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3术语和定义</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本细则中未列出的术语和定义同相关引用标准。</w:t>
      </w:r>
    </w:p>
    <w:p>
      <w:pPr>
        <w:adjustRightInd/>
        <w:snapToGrid/>
        <w:spacing w:before="0"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企业生产规模划分</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根据国家统计局印发的相关管理办法，确定企业规模。</w:t>
      </w:r>
    </w:p>
    <w:p>
      <w:pPr>
        <w:adjustRightInd/>
        <w:snapToGrid/>
        <w:spacing w:before="0" w:beforeLines="-2147483648"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检验依据</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凡是注日期的文件，其随后所有的修改单（不包括勘误的内容）或修订版不适用于本细则。凡是不注日期的文件，其最新版本适用于本细则。</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GB 2494-2014 固结磨具 安全要求</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GB/T 2485-2016 固结磨具 技术条件</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JB/T 3715-2016 固结磨具 修磨用钹</w:t>
      </w:r>
      <w:r>
        <w:rPr>
          <w:rFonts w:hint="eastAsia" w:ascii="仿宋_GB2312" w:eastAsia="仿宋_GB2312"/>
          <w:sz w:val="28"/>
          <w:szCs w:val="28"/>
          <w:highlight w:val="none"/>
          <w:lang w:val="en-US" w:eastAsia="zh-CN"/>
        </w:rPr>
        <w:t>形</w:t>
      </w:r>
      <w:r>
        <w:rPr>
          <w:rFonts w:hint="eastAsia" w:ascii="仿宋_GB2312" w:eastAsia="仿宋_GB2312"/>
          <w:sz w:val="28"/>
          <w:szCs w:val="28"/>
        </w:rPr>
        <w:t>砂轮</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JB/T 4175-2016 固结磨具 纤维增强树脂切割砂轮</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GB/T 2490-2018 固结磨具 硬度检测</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GB/T 2492-2017 普通磨具 交付砂轮允许的不平衡量测量</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GB/T 2493-2013 砂轮</w:t>
      </w:r>
      <w:r>
        <w:rPr>
          <w:rFonts w:hint="eastAsia" w:ascii="仿宋_GB2312" w:eastAsia="仿宋_GB2312"/>
          <w:sz w:val="28"/>
          <w:szCs w:val="28"/>
          <w:highlight w:val="none"/>
          <w:lang w:val="en-US" w:eastAsia="zh-CN"/>
        </w:rPr>
        <w:t>的</w:t>
      </w:r>
      <w:r>
        <w:rPr>
          <w:rFonts w:hint="eastAsia" w:ascii="仿宋_GB2312" w:eastAsia="仿宋_GB2312"/>
          <w:sz w:val="28"/>
          <w:szCs w:val="28"/>
        </w:rPr>
        <w:t>回转实验方法</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JB/T</w:t>
      </w:r>
      <w:r>
        <w:rPr>
          <w:rFonts w:hint="eastAsia" w:ascii="仿宋_GB2312" w:eastAsia="仿宋_GB2312"/>
          <w:sz w:val="28"/>
          <w:szCs w:val="28"/>
          <w:lang w:val="en-US" w:eastAsia="zh-CN"/>
        </w:rPr>
        <w:t xml:space="preserve"> </w:t>
      </w:r>
      <w:r>
        <w:rPr>
          <w:rFonts w:hint="eastAsia" w:ascii="仿宋_GB2312" w:eastAsia="仿宋_GB2312"/>
          <w:sz w:val="28"/>
          <w:szCs w:val="28"/>
        </w:rPr>
        <w:t>7992-2017 普通磨具 外观、尺寸和形位公差试验方法</w:t>
      </w:r>
    </w:p>
    <w:p>
      <w:pPr>
        <w:adjustRightInd/>
        <w:snapToGrid/>
        <w:spacing w:line="594" w:lineRule="exact"/>
        <w:ind w:firstLine="560" w:firstLineChars="200"/>
        <w:rPr>
          <w:rFonts w:hint="eastAsia" w:ascii="仿宋_GB2312" w:eastAsia="仿宋_GB2312"/>
          <w:sz w:val="28"/>
          <w:szCs w:val="28"/>
        </w:rPr>
      </w:pPr>
      <w:r>
        <w:rPr>
          <w:rFonts w:hint="eastAsia" w:ascii="仿宋_GB2312" w:eastAsia="仿宋_GB2312"/>
          <w:sz w:val="28"/>
          <w:szCs w:val="28"/>
        </w:rPr>
        <w:t>JB/T 10450-2015</w:t>
      </w:r>
      <w:r>
        <w:rPr>
          <w:rFonts w:hint="eastAsia" w:ascii="仿宋_GB2312" w:eastAsia="仿宋_GB2312"/>
          <w:sz w:val="28"/>
          <w:szCs w:val="28"/>
          <w:lang w:val="en-US" w:eastAsia="zh-CN"/>
        </w:rPr>
        <w:t xml:space="preserve"> </w:t>
      </w:r>
      <w:r>
        <w:rPr>
          <w:rFonts w:hint="eastAsia" w:ascii="仿宋_GB2312" w:eastAsia="仿宋_GB2312"/>
          <w:sz w:val="28"/>
          <w:szCs w:val="28"/>
        </w:rPr>
        <w:t>普通磨具 检验规则</w:t>
      </w:r>
    </w:p>
    <w:p>
      <w:pPr>
        <w:adjustRightInd/>
        <w:snapToGrid/>
        <w:spacing w:line="594" w:lineRule="exact"/>
        <w:ind w:firstLine="560" w:firstLineChars="200"/>
        <w:rPr>
          <w:rFonts w:hint="eastAsia" w:ascii="仿宋_GB2312" w:eastAsia="仿宋_GB2312"/>
          <w:sz w:val="28"/>
          <w:szCs w:val="28"/>
        </w:rPr>
      </w:pPr>
      <w:r>
        <w:rPr>
          <w:rFonts w:hint="eastAsia" w:ascii="仿宋_GB2312" w:eastAsia="仿宋_GB2312"/>
          <w:sz w:val="28"/>
          <w:szCs w:val="28"/>
        </w:rPr>
        <w:t>JB/T 7983-2013</w:t>
      </w:r>
      <w:r>
        <w:rPr>
          <w:rFonts w:hint="eastAsia" w:ascii="仿宋_GB2312" w:eastAsia="仿宋_GB2312"/>
          <w:sz w:val="28"/>
          <w:szCs w:val="28"/>
          <w:lang w:val="en-US" w:eastAsia="zh-CN"/>
        </w:rPr>
        <w:t xml:space="preserve"> </w:t>
      </w:r>
      <w:r>
        <w:rPr>
          <w:rFonts w:hint="eastAsia" w:ascii="仿宋_GB2312" w:eastAsia="仿宋_GB2312"/>
          <w:sz w:val="28"/>
          <w:szCs w:val="28"/>
        </w:rPr>
        <w:t>固结磨具 螺栓紧固砂轮</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现行有效的企业标准、团体标准、地方标准及产品明示质量要求相关的法律法规、部门规章和规范。</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抽样</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.1抽样型号或规格</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抽取样品应为同一批次、规格型号的砂轮产品。</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.2抽样基数、抽样数量</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.2.1</w:t>
      </w:r>
      <w:bookmarkStart w:id="0" w:name="_GoBack"/>
      <w:r>
        <w:rPr>
          <w:rFonts w:hint="eastAsia" w:ascii="仿宋_GB2312" w:eastAsia="仿宋_GB2312"/>
          <w:sz w:val="28"/>
          <w:szCs w:val="28"/>
        </w:rPr>
        <w:t>在企业的成品库内或市场待销产品中随机抽取有产品质量检验合格证明或者以其他形式表明合格的产品。随机数一般可使用随</w:t>
      </w:r>
      <w:bookmarkEnd w:id="0"/>
      <w:r>
        <w:rPr>
          <w:rFonts w:hint="eastAsia" w:ascii="仿宋_GB2312" w:eastAsia="仿宋_GB2312"/>
          <w:sz w:val="28"/>
          <w:szCs w:val="28"/>
        </w:rPr>
        <w:t>机数表、骰子或扑克牌等方法产生。</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.2.2抽样基数</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抽样基数满足抽样数量即可。</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.2.3抽样数量</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抽样数量为20片，其中10片为检验样品，10片为备用样品。</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.2.4抽样时应注意的问题</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.2.4.1应由抽样技术人员在现场进行抽取，不得由企业自行抽样。抽取的样品应当是有产品质量检验合格证明或者以其他形式表明合格的产品，其保质期应满足检验及异议处理时间要求。</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 xml:space="preserve">.2.4.2抽样时，抽样人员应当认真核实营业执照等被抽查企业的相关信息，确认企业不存在不得抽样的情形。遇有下列情况之一且能提供有效证明的，不得抽样： </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（1）被抽查企业无监督抽查通知书或者相关文件复印件所列产品的；</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（2）有充分证据证明拟抽查的产品是不用于销售的；</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（3）产品不涉及强制性标准要求，仅按双方约定的技术要求加工生产，且未执行任何标准的；</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（4）有充分证据证明拟抽查的产品为企业用于出口，并且出口合同对产品质量另有规定的；</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（5）产品或者标签、包装、说明书标有“试制”、“处理”或者“样品”等字样的；</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（6）企业提供上级市场监管部门6个月内该种产品的监督抽查抽样单或者合格检验报告的。</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.3样品处置</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检验样品及备用样品应分别封样，抽取的样品密封包装后加贴封条封样。包装的方式应能防止样品在运送过程中损坏或被污染，封样的方式应能有效防止未经授权的拆封。</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封样单上应有被抽查企业和抽样技术人员的签名，注明抽样日期，并确认封样单牢固。</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.4抽样单</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应按有关规定填写抽样单，并记录被抽查产品及企业相关信息。同时记录被抽查企业上一年度生产的产品销售总额，以万元计；若企业上一年度未生产，则记录本年度实际销售额，并加以注明。</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.5其他要求</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可对抽样的关键过程留下影像资料。在进入企业、取样、双方签字确认等环节时，影像资料要能清晰记录企业名称、营业执照名称、被抽样的产品、抽样状态、抽样人员和企业陪同人员等。</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.6样品获取方式</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rPr>
        <w:t>监督抽查所需的样品要在受检单位以购买方式获取。</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检验要求</w:t>
      </w:r>
    </w:p>
    <w:p>
      <w:pPr>
        <w:adjustRightInd/>
        <w:snapToGrid/>
        <w:spacing w:line="594" w:lineRule="exact"/>
        <w:ind w:firstLine="560" w:firstLineChars="200"/>
        <w:rPr>
          <w:rFonts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.1检验项目</w:t>
      </w:r>
    </w:p>
    <w:p>
      <w:pPr>
        <w:widowControl/>
        <w:spacing w:line="594" w:lineRule="exact"/>
        <w:ind w:firstLine="420" w:firstLineChars="200"/>
        <w:jc w:val="center"/>
        <w:rPr>
          <w:rFonts w:hint="eastAsia" w:ascii="仿宋_GB2312" w:hAnsi="Calibri" w:eastAsia="仿宋_GB2312"/>
          <w:color w:val="000000"/>
          <w:sz w:val="28"/>
          <w:szCs w:val="28"/>
        </w:rPr>
      </w:pPr>
      <w:r>
        <w:rPr>
          <w:rFonts w:hint="eastAsia" w:ascii="宋体" w:hAnsi="宋体" w:eastAsia="宋体" w:cs="宋体"/>
          <w:color w:val="000000"/>
          <w:sz w:val="21"/>
          <w:szCs w:val="21"/>
        </w:rPr>
        <w:t>表2 修磨用钹形砂轮检验项目</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1825"/>
        <w:gridCol w:w="2871"/>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39" w:type="dxa"/>
            <w:tcBorders>
              <w:bottom w:val="nil"/>
            </w:tcBorders>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序号</w:t>
            </w:r>
          </w:p>
        </w:tc>
        <w:tc>
          <w:tcPr>
            <w:tcW w:w="1700" w:type="dxa"/>
            <w:tcBorders>
              <w:bottom w:val="nil"/>
            </w:tcBorders>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检验项目</w:t>
            </w:r>
          </w:p>
        </w:tc>
        <w:tc>
          <w:tcPr>
            <w:tcW w:w="2675" w:type="dxa"/>
            <w:tcBorders>
              <w:bottom w:val="nil"/>
            </w:tcBorders>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highlight w:val="none"/>
              </w:rPr>
              <w:t>依据标准</w:t>
            </w:r>
          </w:p>
        </w:tc>
        <w:tc>
          <w:tcPr>
            <w:tcW w:w="2126" w:type="dxa"/>
            <w:tcBorders>
              <w:bottom w:val="nil"/>
            </w:tcBorders>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检 测 方 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39"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1</w:t>
            </w:r>
          </w:p>
        </w:tc>
        <w:tc>
          <w:tcPr>
            <w:tcW w:w="1700"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孔径</w:t>
            </w:r>
          </w:p>
        </w:tc>
        <w:tc>
          <w:tcPr>
            <w:tcW w:w="2675"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JB/T 3715-2016</w:t>
            </w:r>
          </w:p>
        </w:tc>
        <w:tc>
          <w:tcPr>
            <w:tcW w:w="2126"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JB/T 7992-2017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39"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2</w:t>
            </w:r>
          </w:p>
        </w:tc>
        <w:tc>
          <w:tcPr>
            <w:tcW w:w="1700"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不平衡量</w:t>
            </w:r>
          </w:p>
        </w:tc>
        <w:tc>
          <w:tcPr>
            <w:tcW w:w="2675"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JB/T 3715-2016</w:t>
            </w:r>
          </w:p>
        </w:tc>
        <w:tc>
          <w:tcPr>
            <w:tcW w:w="2126"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GB/T 2492-2017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39"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3</w:t>
            </w:r>
          </w:p>
        </w:tc>
        <w:tc>
          <w:tcPr>
            <w:tcW w:w="1700"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回转强度</w:t>
            </w:r>
          </w:p>
        </w:tc>
        <w:tc>
          <w:tcPr>
            <w:tcW w:w="2675"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GB 2494-2014</w:t>
            </w:r>
          </w:p>
        </w:tc>
        <w:tc>
          <w:tcPr>
            <w:tcW w:w="2126" w:type="dxa"/>
            <w:noWrap/>
            <w:vAlign w:val="center"/>
          </w:tcPr>
          <w:p>
            <w:pPr>
              <w:snapToGrid w:val="0"/>
              <w:spacing w:line="240" w:lineRule="auto"/>
              <w:jc w:val="center"/>
              <w:rPr>
                <w:rFonts w:hint="eastAsia" w:ascii="宋体" w:hAnsi="宋体" w:cs="宋体"/>
                <w:color w:val="000000"/>
                <w:szCs w:val="21"/>
              </w:rPr>
            </w:pPr>
            <w:r>
              <w:rPr>
                <w:rFonts w:hint="eastAsia" w:ascii="宋体" w:hAnsi="宋体" w:cs="宋体"/>
                <w:color w:val="000000"/>
                <w:szCs w:val="21"/>
              </w:rPr>
              <w:t>GB/T 2493-2013</w:t>
            </w:r>
          </w:p>
        </w:tc>
      </w:tr>
    </w:tbl>
    <w:p>
      <w:pPr>
        <w:widowControl/>
        <w:spacing w:line="594" w:lineRule="exact"/>
        <w:ind w:firstLine="420" w:firstLineChars="200"/>
        <w:jc w:val="center"/>
        <w:rPr>
          <w:rFonts w:hint="eastAsia" w:ascii="宋体" w:hAnsi="宋体" w:eastAsia="宋体" w:cs="宋体"/>
          <w:color w:val="000000"/>
          <w:sz w:val="21"/>
          <w:szCs w:val="21"/>
        </w:rPr>
      </w:pPr>
    </w:p>
    <w:p>
      <w:pPr>
        <w:widowControl/>
        <w:spacing w:line="594" w:lineRule="exact"/>
        <w:ind w:firstLine="420" w:firstLineChars="20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表3 纤维增强树脂切割砂轮检验项目</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2"/>
        <w:gridCol w:w="1815"/>
        <w:gridCol w:w="2842"/>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82" w:type="dxa"/>
            <w:tcBorders>
              <w:bottom w:val="nil"/>
            </w:tcBorders>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序号</w:t>
            </w:r>
          </w:p>
        </w:tc>
        <w:tc>
          <w:tcPr>
            <w:tcW w:w="1700" w:type="dxa"/>
            <w:tcBorders>
              <w:bottom w:val="nil"/>
            </w:tcBorders>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检验项目</w:t>
            </w:r>
          </w:p>
        </w:tc>
        <w:tc>
          <w:tcPr>
            <w:tcW w:w="2662" w:type="dxa"/>
            <w:tcBorders>
              <w:bottom w:val="nil"/>
            </w:tcBorders>
            <w:noWrap/>
            <w:vAlign w:val="center"/>
          </w:tcPr>
          <w:p>
            <w:pPr>
              <w:spacing w:line="240" w:lineRule="auto"/>
              <w:jc w:val="center"/>
              <w:rPr>
                <w:rFonts w:ascii="宋体" w:hAnsi="宋体" w:cs="宋体"/>
                <w:color w:val="000000"/>
                <w:szCs w:val="21"/>
              </w:rPr>
            </w:pPr>
            <w:r>
              <w:rPr>
                <w:rFonts w:hint="eastAsia" w:ascii="宋体" w:hAnsi="宋体" w:cs="宋体"/>
                <w:color w:val="000000"/>
                <w:szCs w:val="21"/>
                <w:highlight w:val="none"/>
              </w:rPr>
              <w:t>依据标准</w:t>
            </w:r>
          </w:p>
        </w:tc>
        <w:tc>
          <w:tcPr>
            <w:tcW w:w="2138" w:type="dxa"/>
            <w:tcBorders>
              <w:bottom w:val="nil"/>
            </w:tcBorders>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检 测 方 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82"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1</w:t>
            </w:r>
          </w:p>
        </w:tc>
        <w:tc>
          <w:tcPr>
            <w:tcW w:w="1700"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孔径</w:t>
            </w:r>
          </w:p>
        </w:tc>
        <w:tc>
          <w:tcPr>
            <w:tcW w:w="2662"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JB/T 4175-2016</w:t>
            </w:r>
          </w:p>
        </w:tc>
        <w:tc>
          <w:tcPr>
            <w:tcW w:w="2138"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JB/T 7992-2017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82"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2</w:t>
            </w:r>
          </w:p>
        </w:tc>
        <w:tc>
          <w:tcPr>
            <w:tcW w:w="1700"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不平衡量</w:t>
            </w:r>
          </w:p>
        </w:tc>
        <w:tc>
          <w:tcPr>
            <w:tcW w:w="2662"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JB/T 4175-2016</w:t>
            </w:r>
          </w:p>
        </w:tc>
        <w:tc>
          <w:tcPr>
            <w:tcW w:w="2138"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GB/T 2492-2017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482"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3</w:t>
            </w:r>
          </w:p>
        </w:tc>
        <w:tc>
          <w:tcPr>
            <w:tcW w:w="1700"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回转强度</w:t>
            </w:r>
          </w:p>
        </w:tc>
        <w:tc>
          <w:tcPr>
            <w:tcW w:w="2662"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GB 2494-2014</w:t>
            </w:r>
          </w:p>
        </w:tc>
        <w:tc>
          <w:tcPr>
            <w:tcW w:w="2138" w:type="dxa"/>
            <w:noWrap/>
            <w:vAlign w:val="center"/>
          </w:tcPr>
          <w:p>
            <w:pPr>
              <w:spacing w:line="240" w:lineRule="auto"/>
              <w:jc w:val="center"/>
              <w:rPr>
                <w:rFonts w:ascii="宋体" w:hAnsi="宋体" w:cs="宋体"/>
                <w:color w:val="000000"/>
                <w:szCs w:val="21"/>
              </w:rPr>
            </w:pPr>
            <w:r>
              <w:rPr>
                <w:rFonts w:hint="eastAsia" w:ascii="宋体" w:hAnsi="宋体" w:cs="宋体"/>
                <w:color w:val="000000"/>
                <w:szCs w:val="21"/>
              </w:rPr>
              <w:t>GB/T 2493-2013</w:t>
            </w:r>
          </w:p>
        </w:tc>
      </w:tr>
    </w:tbl>
    <w:p>
      <w:pPr>
        <w:widowControl/>
        <w:spacing w:line="594" w:lineRule="exact"/>
        <w:ind w:firstLine="420" w:firstLineChars="200"/>
        <w:jc w:val="center"/>
        <w:rPr>
          <w:rFonts w:hint="eastAsia" w:ascii="仿宋_GB2312" w:hAnsi="Calibri" w:eastAsia="仿宋_GB2312"/>
          <w:color w:val="000000"/>
          <w:sz w:val="28"/>
          <w:szCs w:val="28"/>
          <w:highlight w:val="none"/>
        </w:rPr>
      </w:pPr>
      <w:r>
        <w:rPr>
          <w:rFonts w:hint="eastAsia" w:ascii="宋体" w:hAnsi="宋体" w:eastAsia="宋体" w:cs="宋体"/>
          <w:color w:val="000000"/>
          <w:sz w:val="21"/>
          <w:szCs w:val="21"/>
        </w:rPr>
        <w:t xml:space="preserve">表4 </w:t>
      </w:r>
      <w:r>
        <w:rPr>
          <w:rFonts w:hint="eastAsia" w:ascii="宋体" w:hAnsi="宋体" w:eastAsia="宋体" w:cs="宋体"/>
          <w:color w:val="000000"/>
          <w:sz w:val="21"/>
          <w:szCs w:val="21"/>
          <w:highlight w:val="none"/>
          <w:lang w:val="en-US" w:eastAsia="zh-CN"/>
        </w:rPr>
        <w:t>执行GB/T 2485-2016标准</w:t>
      </w:r>
      <w:r>
        <w:rPr>
          <w:rFonts w:hint="eastAsia" w:ascii="宋体" w:hAnsi="宋体" w:eastAsia="宋体" w:cs="宋体"/>
          <w:color w:val="000000"/>
          <w:sz w:val="21"/>
          <w:szCs w:val="21"/>
          <w:highlight w:val="none"/>
        </w:rPr>
        <w:t>砂轮检验项目</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1799"/>
        <w:gridCol w:w="2540"/>
        <w:gridCol w:w="2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532" w:type="dxa"/>
            <w:tcBorders>
              <w:bottom w:val="nil"/>
            </w:tcBorders>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1633" w:type="dxa"/>
            <w:tcBorders>
              <w:bottom w:val="nil"/>
            </w:tcBorders>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检验项目</w:t>
            </w:r>
          </w:p>
        </w:tc>
        <w:tc>
          <w:tcPr>
            <w:tcW w:w="2305" w:type="dxa"/>
            <w:tcBorders>
              <w:bottom w:val="nil"/>
            </w:tcBorders>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依据标准</w:t>
            </w:r>
          </w:p>
        </w:tc>
        <w:tc>
          <w:tcPr>
            <w:tcW w:w="2264" w:type="dxa"/>
            <w:tcBorders>
              <w:bottom w:val="nil"/>
            </w:tcBorders>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检 测 方 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532"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1633"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硬度</w:t>
            </w:r>
          </w:p>
        </w:tc>
        <w:tc>
          <w:tcPr>
            <w:tcW w:w="2305"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GB/T</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2485-2016</w:t>
            </w:r>
          </w:p>
        </w:tc>
        <w:tc>
          <w:tcPr>
            <w:tcW w:w="2264"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GB/T 2490-2018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532"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1633"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孔径</w:t>
            </w:r>
          </w:p>
        </w:tc>
        <w:tc>
          <w:tcPr>
            <w:tcW w:w="2305"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GB/T</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2485-2016</w:t>
            </w:r>
          </w:p>
        </w:tc>
        <w:tc>
          <w:tcPr>
            <w:tcW w:w="2264"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JB/T 7992-2017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532"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3</w:t>
            </w:r>
          </w:p>
        </w:tc>
        <w:tc>
          <w:tcPr>
            <w:tcW w:w="1633"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不平衡量</w:t>
            </w:r>
          </w:p>
        </w:tc>
        <w:tc>
          <w:tcPr>
            <w:tcW w:w="2305"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GB/T</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2485-2016</w:t>
            </w:r>
          </w:p>
        </w:tc>
        <w:tc>
          <w:tcPr>
            <w:tcW w:w="2264"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GB/T 2492-2017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532"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4</w:t>
            </w:r>
          </w:p>
        </w:tc>
        <w:tc>
          <w:tcPr>
            <w:tcW w:w="1633"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回转强度</w:t>
            </w:r>
          </w:p>
        </w:tc>
        <w:tc>
          <w:tcPr>
            <w:tcW w:w="2305"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GB 2494-2014</w:t>
            </w:r>
          </w:p>
        </w:tc>
        <w:tc>
          <w:tcPr>
            <w:tcW w:w="2264" w:type="dxa"/>
            <w:noWrap/>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GB/T 2493-2013</w:t>
            </w:r>
          </w:p>
        </w:tc>
      </w:tr>
    </w:tbl>
    <w:p>
      <w:pPr>
        <w:widowControl/>
        <w:adjustRightInd/>
        <w:snapToGrid/>
        <w:spacing w:line="594"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表5 螺栓紧固砂轮检验项目</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798"/>
        <w:gridCol w:w="2516"/>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692" w:type="dxa"/>
            <w:vAlign w:val="center"/>
          </w:tcPr>
          <w:p>
            <w:pPr>
              <w:spacing w:line="240" w:lineRule="auto"/>
              <w:jc w:val="center"/>
              <w:textAlignment w:val="center"/>
              <w:rPr>
                <w:szCs w:val="21"/>
                <w:highlight w:val="none"/>
              </w:rPr>
            </w:pPr>
            <w:r>
              <w:rPr>
                <w:highlight w:val="none"/>
              </w:rPr>
              <w:t>序号</w:t>
            </w:r>
          </w:p>
        </w:tc>
        <w:tc>
          <w:tcPr>
            <w:tcW w:w="1798" w:type="dxa"/>
            <w:vAlign w:val="center"/>
          </w:tcPr>
          <w:p>
            <w:pPr>
              <w:spacing w:line="240" w:lineRule="auto"/>
              <w:jc w:val="center"/>
              <w:textAlignment w:val="center"/>
              <w:rPr>
                <w:szCs w:val="21"/>
                <w:highlight w:val="none"/>
              </w:rPr>
            </w:pPr>
            <w:r>
              <w:rPr>
                <w:highlight w:val="none"/>
              </w:rPr>
              <w:t>检验项目</w:t>
            </w:r>
          </w:p>
        </w:tc>
        <w:tc>
          <w:tcPr>
            <w:tcW w:w="2516" w:type="dxa"/>
            <w:vAlign w:val="center"/>
          </w:tcPr>
          <w:p>
            <w:pPr>
              <w:spacing w:line="240" w:lineRule="auto"/>
              <w:jc w:val="center"/>
              <w:rPr>
                <w:szCs w:val="21"/>
                <w:highlight w:val="none"/>
              </w:rPr>
            </w:pPr>
            <w:r>
              <w:rPr>
                <w:rFonts w:hint="eastAsia" w:ascii="宋体" w:hAnsi="宋体" w:cs="宋体"/>
                <w:color w:val="000000"/>
                <w:szCs w:val="21"/>
                <w:highlight w:val="none"/>
              </w:rPr>
              <w:t>依据标准</w:t>
            </w:r>
          </w:p>
        </w:tc>
        <w:tc>
          <w:tcPr>
            <w:tcW w:w="2516" w:type="dxa"/>
            <w:vAlign w:val="center"/>
          </w:tcPr>
          <w:p>
            <w:pPr>
              <w:spacing w:line="240" w:lineRule="auto"/>
              <w:jc w:val="center"/>
              <w:textAlignment w:val="center"/>
              <w:rPr>
                <w:szCs w:val="21"/>
                <w:highlight w:val="none"/>
              </w:rPr>
            </w:pPr>
            <w:r>
              <w:rPr>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692"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1</w:t>
            </w:r>
          </w:p>
        </w:tc>
        <w:tc>
          <w:tcPr>
            <w:tcW w:w="1798"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硬度</w:t>
            </w:r>
          </w:p>
        </w:tc>
        <w:tc>
          <w:tcPr>
            <w:tcW w:w="2516"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JB/T 7983-2013</w:t>
            </w:r>
          </w:p>
        </w:tc>
        <w:tc>
          <w:tcPr>
            <w:tcW w:w="2516"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GB/T 2490-2018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692"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2</w:t>
            </w:r>
          </w:p>
        </w:tc>
        <w:tc>
          <w:tcPr>
            <w:tcW w:w="1798"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孔径</w:t>
            </w:r>
          </w:p>
        </w:tc>
        <w:tc>
          <w:tcPr>
            <w:tcW w:w="2516"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JB/T 7983-2013</w:t>
            </w:r>
          </w:p>
        </w:tc>
        <w:tc>
          <w:tcPr>
            <w:tcW w:w="2516" w:type="dxa"/>
            <w:vAlign w:val="center"/>
          </w:tcPr>
          <w:p>
            <w:pPr>
              <w:spacing w:line="240" w:lineRule="auto"/>
              <w:jc w:val="center"/>
              <w:rPr>
                <w:rFonts w:ascii="宋体" w:hAnsi="宋体" w:cs="宋体"/>
                <w:color w:val="000000"/>
                <w:szCs w:val="21"/>
              </w:rPr>
            </w:pPr>
            <w:r>
              <w:rPr>
                <w:rFonts w:hint="eastAsia" w:ascii="宋体" w:hAnsi="宋体" w:cs="宋体"/>
                <w:color w:val="000000"/>
                <w:szCs w:val="21"/>
              </w:rPr>
              <w:t>JB/T 7992-2017</w:t>
            </w:r>
          </w:p>
        </w:tc>
      </w:tr>
    </w:tbl>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lang w:eastAsia="zh-CN"/>
        </w:rPr>
        <w:t>7</w:t>
      </w:r>
      <w:r>
        <w:rPr>
          <w:rFonts w:hint="eastAsia" w:ascii="仿宋_GB2312" w:eastAsia="仿宋_GB2312"/>
          <w:sz w:val="28"/>
          <w:szCs w:val="28"/>
        </w:rPr>
        <w:t>.2检验应注意的问题</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rPr>
        <w:t>若被检产品明示的质量要求高于本细则中检验项目依据的标准要求时，应按被检产品明示的质量要求判定。</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rPr>
        <w:t>若被检产品明示的质量要求低于本细则中检验项目依据的强制性标准要求时，应按照强制性标准要求判定。</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rPr>
        <w:t>若被检产品明示的质量要求低于或包含本细则中检验项目依据的推荐性标准要求时，应以被检产品明示的质量要求判定。</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rPr>
        <w:t>若被检产品明示的质量要求缺少本细则中检验项目依据的强制性标准要求时，应按照强制性标准要求判定。</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rPr>
        <w:t>若被检产品明示的质量要求缺少本细则中检验项目依据的推荐性标准要求时，该项目不参与判定，但应在检验报告备注中进行说明。</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lang w:eastAsia="zh-CN"/>
        </w:rPr>
        <w:t>8</w:t>
      </w:r>
      <w:r>
        <w:rPr>
          <w:rFonts w:hint="eastAsia" w:ascii="仿宋_GB2312" w:eastAsia="仿宋_GB2312"/>
          <w:sz w:val="28"/>
          <w:szCs w:val="28"/>
        </w:rPr>
        <w:t>判定原则</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rPr>
        <w:t>经检验，检验项目全部合格，判定为被抽查产品</w:t>
      </w:r>
      <w:r>
        <w:rPr>
          <w:rFonts w:hint="eastAsia" w:ascii="仿宋_GB2312" w:eastAsia="仿宋_GB2312"/>
          <w:sz w:val="28"/>
          <w:szCs w:val="28"/>
          <w:highlight w:val="none"/>
          <w:lang w:val="en-US" w:eastAsia="zh-CN"/>
        </w:rPr>
        <w:t>所检项目未发现不</w:t>
      </w:r>
      <w:r>
        <w:rPr>
          <w:rFonts w:hint="eastAsia" w:ascii="仿宋_GB2312" w:eastAsia="仿宋_GB2312"/>
          <w:sz w:val="28"/>
          <w:szCs w:val="28"/>
          <w:highlight w:val="none"/>
        </w:rPr>
        <w:t>合格；检验项目中任一项或一项以上不合格，判定</w:t>
      </w:r>
      <w:r>
        <w:rPr>
          <w:rFonts w:hint="eastAsia" w:ascii="仿宋_GB2312" w:eastAsia="仿宋_GB2312"/>
          <w:sz w:val="28"/>
          <w:szCs w:val="28"/>
        </w:rPr>
        <w:t>为被抽查产品不合格。</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lang w:eastAsia="zh-CN"/>
        </w:rPr>
        <w:t>9</w:t>
      </w:r>
      <w:r>
        <w:rPr>
          <w:rFonts w:hint="eastAsia" w:ascii="仿宋_GB2312" w:eastAsia="仿宋_GB2312"/>
          <w:sz w:val="28"/>
          <w:szCs w:val="28"/>
        </w:rPr>
        <w:t>异议处理</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rPr>
        <w:t>对被判定为不合格企业进行异议处理时，按以下方式进行：</w:t>
      </w:r>
    </w:p>
    <w:p>
      <w:pPr>
        <w:widowControl/>
        <w:adjustRightInd/>
        <w:snapToGrid/>
        <w:spacing w:line="594" w:lineRule="exact"/>
        <w:ind w:firstLine="560" w:firstLineChars="200"/>
        <w:jc w:val="left"/>
        <w:rPr>
          <w:rFonts w:hint="eastAsia" w:ascii="仿宋_GB2312" w:eastAsia="仿宋_GB2312"/>
          <w:sz w:val="28"/>
          <w:szCs w:val="28"/>
        </w:rPr>
      </w:pPr>
      <w:r>
        <w:rPr>
          <w:rFonts w:hint="eastAsia" w:ascii="仿宋_GB2312" w:eastAsia="仿宋_GB2312"/>
          <w:sz w:val="28"/>
          <w:szCs w:val="28"/>
          <w:lang w:eastAsia="zh-CN"/>
        </w:rPr>
        <w:t>9</w:t>
      </w:r>
      <w:r>
        <w:rPr>
          <w:rFonts w:hint="eastAsia" w:ascii="仿宋_GB2312" w:eastAsia="仿宋_GB2312"/>
          <w:sz w:val="28"/>
          <w:szCs w:val="28"/>
        </w:rPr>
        <w:t>.1核查不合格项目相关证据，能够以记录（纸质记录或电子记录或影像记录）或与不合格项目相关联的其它质量数据等检验证据证明。</w:t>
      </w:r>
    </w:p>
    <w:p>
      <w:pPr>
        <w:widowControl/>
        <w:adjustRightInd/>
        <w:snapToGrid/>
        <w:spacing w:line="594" w:lineRule="exact"/>
        <w:ind w:firstLine="560" w:firstLineChars="200"/>
        <w:jc w:val="left"/>
        <w:rPr>
          <w:rFonts w:ascii="仿宋_GB2312" w:eastAsia="仿宋_GB2312"/>
          <w:sz w:val="28"/>
          <w:szCs w:val="28"/>
        </w:rPr>
      </w:pPr>
      <w:r>
        <w:rPr>
          <w:rFonts w:hint="eastAsia" w:ascii="仿宋_GB2312" w:eastAsia="仿宋_GB2312"/>
          <w:sz w:val="28"/>
          <w:szCs w:val="28"/>
          <w:lang w:eastAsia="zh-CN"/>
        </w:rPr>
        <w:t>9</w:t>
      </w:r>
      <w:r>
        <w:rPr>
          <w:rFonts w:hint="eastAsia" w:ascii="仿宋_GB2312" w:eastAsia="仿宋_GB2312"/>
          <w:sz w:val="28"/>
          <w:szCs w:val="28"/>
        </w:rPr>
        <w:t>.2对需要复检并具备检验条件的，处理企业异议的市场监督管理部门或者指定检验机构应当按原监督抽查细则对留存的样品或抽取的备用样品组织复检，复检项目如有仲裁法需用仲裁法进行复检，并出具检验报告。复检结论为最终结论。</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汉鼎简书宋二">
    <w:altName w:val="微软雅黑"/>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mNjU2NzFiOWViN2I1Y2Q1ZTA1MjBjZjc0MmJhNmEifQ=="/>
  </w:docVars>
  <w:rsids>
    <w:rsidRoot w:val="00B32679"/>
    <w:rsid w:val="00014F35"/>
    <w:rsid w:val="000204C4"/>
    <w:rsid w:val="00046414"/>
    <w:rsid w:val="00053EFC"/>
    <w:rsid w:val="000623B5"/>
    <w:rsid w:val="000930C6"/>
    <w:rsid w:val="000A7648"/>
    <w:rsid w:val="000C40CF"/>
    <w:rsid w:val="000E4826"/>
    <w:rsid w:val="000F79E9"/>
    <w:rsid w:val="000F7DB4"/>
    <w:rsid w:val="001300B3"/>
    <w:rsid w:val="00130529"/>
    <w:rsid w:val="00141995"/>
    <w:rsid w:val="00190AE8"/>
    <w:rsid w:val="001A2372"/>
    <w:rsid w:val="001B6E21"/>
    <w:rsid w:val="001C3E50"/>
    <w:rsid w:val="001C6932"/>
    <w:rsid w:val="001D4CF7"/>
    <w:rsid w:val="001F0EEF"/>
    <w:rsid w:val="001F1C54"/>
    <w:rsid w:val="001F445B"/>
    <w:rsid w:val="002776F4"/>
    <w:rsid w:val="002B49FB"/>
    <w:rsid w:val="002B783E"/>
    <w:rsid w:val="002E70FD"/>
    <w:rsid w:val="003076DF"/>
    <w:rsid w:val="00341A24"/>
    <w:rsid w:val="00345DF4"/>
    <w:rsid w:val="003626D0"/>
    <w:rsid w:val="00373FB4"/>
    <w:rsid w:val="0037771F"/>
    <w:rsid w:val="003812B8"/>
    <w:rsid w:val="00387151"/>
    <w:rsid w:val="003901CA"/>
    <w:rsid w:val="0039235A"/>
    <w:rsid w:val="00396E4A"/>
    <w:rsid w:val="00397AD9"/>
    <w:rsid w:val="003A5FDA"/>
    <w:rsid w:val="003A773D"/>
    <w:rsid w:val="003B64F6"/>
    <w:rsid w:val="003C2030"/>
    <w:rsid w:val="003F6E0B"/>
    <w:rsid w:val="00413A29"/>
    <w:rsid w:val="0041721D"/>
    <w:rsid w:val="00422D25"/>
    <w:rsid w:val="00431DF0"/>
    <w:rsid w:val="00435B96"/>
    <w:rsid w:val="0048725B"/>
    <w:rsid w:val="004C6996"/>
    <w:rsid w:val="004D363B"/>
    <w:rsid w:val="004E0A2B"/>
    <w:rsid w:val="00500F8C"/>
    <w:rsid w:val="005017AC"/>
    <w:rsid w:val="00517D56"/>
    <w:rsid w:val="00522D22"/>
    <w:rsid w:val="0055450C"/>
    <w:rsid w:val="00561759"/>
    <w:rsid w:val="00584B4C"/>
    <w:rsid w:val="00591CFA"/>
    <w:rsid w:val="005D21DE"/>
    <w:rsid w:val="00601AE5"/>
    <w:rsid w:val="00602822"/>
    <w:rsid w:val="006109C5"/>
    <w:rsid w:val="00642116"/>
    <w:rsid w:val="0064672C"/>
    <w:rsid w:val="0067546D"/>
    <w:rsid w:val="00676455"/>
    <w:rsid w:val="00694E7B"/>
    <w:rsid w:val="006D44E0"/>
    <w:rsid w:val="006D67D2"/>
    <w:rsid w:val="006E0EB3"/>
    <w:rsid w:val="006E49E5"/>
    <w:rsid w:val="007024A4"/>
    <w:rsid w:val="0071325A"/>
    <w:rsid w:val="00725A28"/>
    <w:rsid w:val="007425B8"/>
    <w:rsid w:val="00780717"/>
    <w:rsid w:val="00784475"/>
    <w:rsid w:val="007920FB"/>
    <w:rsid w:val="0083253B"/>
    <w:rsid w:val="0083269E"/>
    <w:rsid w:val="00862CA8"/>
    <w:rsid w:val="008741C9"/>
    <w:rsid w:val="00885EF2"/>
    <w:rsid w:val="008B29A9"/>
    <w:rsid w:val="008C6985"/>
    <w:rsid w:val="008D1136"/>
    <w:rsid w:val="00904983"/>
    <w:rsid w:val="00907571"/>
    <w:rsid w:val="009741E2"/>
    <w:rsid w:val="00985542"/>
    <w:rsid w:val="009A2784"/>
    <w:rsid w:val="009B19BD"/>
    <w:rsid w:val="009B65CD"/>
    <w:rsid w:val="009C070A"/>
    <w:rsid w:val="009D01CC"/>
    <w:rsid w:val="009D4E50"/>
    <w:rsid w:val="00A66407"/>
    <w:rsid w:val="00AA1224"/>
    <w:rsid w:val="00AE3359"/>
    <w:rsid w:val="00AE7967"/>
    <w:rsid w:val="00B03A40"/>
    <w:rsid w:val="00B043A5"/>
    <w:rsid w:val="00B20DCF"/>
    <w:rsid w:val="00B32679"/>
    <w:rsid w:val="00B70C44"/>
    <w:rsid w:val="00B71B29"/>
    <w:rsid w:val="00B738C7"/>
    <w:rsid w:val="00B813C6"/>
    <w:rsid w:val="00B864DB"/>
    <w:rsid w:val="00BB3727"/>
    <w:rsid w:val="00BB6052"/>
    <w:rsid w:val="00BC5EBE"/>
    <w:rsid w:val="00C00962"/>
    <w:rsid w:val="00C023B0"/>
    <w:rsid w:val="00C471EE"/>
    <w:rsid w:val="00C80094"/>
    <w:rsid w:val="00CE33AA"/>
    <w:rsid w:val="00D21591"/>
    <w:rsid w:val="00D5315E"/>
    <w:rsid w:val="00D71625"/>
    <w:rsid w:val="00DB17A3"/>
    <w:rsid w:val="00DB51A6"/>
    <w:rsid w:val="00E0683A"/>
    <w:rsid w:val="00E11DB4"/>
    <w:rsid w:val="00E24F62"/>
    <w:rsid w:val="00E25CB8"/>
    <w:rsid w:val="00E4383B"/>
    <w:rsid w:val="00E57036"/>
    <w:rsid w:val="00E67A5D"/>
    <w:rsid w:val="00E84E68"/>
    <w:rsid w:val="00EC0A1C"/>
    <w:rsid w:val="00EC5562"/>
    <w:rsid w:val="00ED32BF"/>
    <w:rsid w:val="00EE637B"/>
    <w:rsid w:val="00F04F3B"/>
    <w:rsid w:val="00F15A10"/>
    <w:rsid w:val="00F15D77"/>
    <w:rsid w:val="00F33E4B"/>
    <w:rsid w:val="00F35E82"/>
    <w:rsid w:val="00F363AD"/>
    <w:rsid w:val="00F54A74"/>
    <w:rsid w:val="00F6554B"/>
    <w:rsid w:val="00F67C53"/>
    <w:rsid w:val="00F7631B"/>
    <w:rsid w:val="00FA62AA"/>
    <w:rsid w:val="00FB0D1C"/>
    <w:rsid w:val="00FE3786"/>
    <w:rsid w:val="088564A0"/>
    <w:rsid w:val="08E56A5A"/>
    <w:rsid w:val="0AB71035"/>
    <w:rsid w:val="0AED38A7"/>
    <w:rsid w:val="0B320C7C"/>
    <w:rsid w:val="0BE43E48"/>
    <w:rsid w:val="0C2D058B"/>
    <w:rsid w:val="159333C9"/>
    <w:rsid w:val="15B2753D"/>
    <w:rsid w:val="169C772D"/>
    <w:rsid w:val="1A0966DD"/>
    <w:rsid w:val="1BEC4D61"/>
    <w:rsid w:val="1BEE45FD"/>
    <w:rsid w:val="2016763C"/>
    <w:rsid w:val="260C33FC"/>
    <w:rsid w:val="2672231C"/>
    <w:rsid w:val="27254AE4"/>
    <w:rsid w:val="29DC6C27"/>
    <w:rsid w:val="2B187BCD"/>
    <w:rsid w:val="2CE57BF4"/>
    <w:rsid w:val="2E0732E1"/>
    <w:rsid w:val="31785BEA"/>
    <w:rsid w:val="32133A85"/>
    <w:rsid w:val="32B81AF7"/>
    <w:rsid w:val="32CB5189"/>
    <w:rsid w:val="34D50630"/>
    <w:rsid w:val="36C47FC5"/>
    <w:rsid w:val="3776605E"/>
    <w:rsid w:val="3AF222BB"/>
    <w:rsid w:val="3D3752DC"/>
    <w:rsid w:val="3E84025E"/>
    <w:rsid w:val="421D4B5F"/>
    <w:rsid w:val="438503D8"/>
    <w:rsid w:val="4662298C"/>
    <w:rsid w:val="469B5C13"/>
    <w:rsid w:val="4767677E"/>
    <w:rsid w:val="497F21AB"/>
    <w:rsid w:val="4B741AE0"/>
    <w:rsid w:val="4B9E533D"/>
    <w:rsid w:val="4C1B2975"/>
    <w:rsid w:val="4DF9301E"/>
    <w:rsid w:val="4E6F2C8C"/>
    <w:rsid w:val="4EF26E95"/>
    <w:rsid w:val="4F8C7A5C"/>
    <w:rsid w:val="51F20371"/>
    <w:rsid w:val="54164D4F"/>
    <w:rsid w:val="563B689E"/>
    <w:rsid w:val="5A12478E"/>
    <w:rsid w:val="5A4D2E3C"/>
    <w:rsid w:val="5A8B1222"/>
    <w:rsid w:val="5CDC3F7B"/>
    <w:rsid w:val="61DC6670"/>
    <w:rsid w:val="629801E1"/>
    <w:rsid w:val="63A73C16"/>
    <w:rsid w:val="647C44FB"/>
    <w:rsid w:val="66DE511F"/>
    <w:rsid w:val="67540AF3"/>
    <w:rsid w:val="6EDF174A"/>
    <w:rsid w:val="6F7D7958"/>
    <w:rsid w:val="703539CC"/>
    <w:rsid w:val="7167497D"/>
    <w:rsid w:val="75AB244F"/>
    <w:rsid w:val="76D5692E"/>
    <w:rsid w:val="797E4BE3"/>
    <w:rsid w:val="7A9F4E9E"/>
    <w:rsid w:val="7AF34F43"/>
    <w:rsid w:val="7BA97571"/>
    <w:rsid w:val="7DED58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Date"/>
    <w:basedOn w:val="1"/>
    <w:next w:val="1"/>
    <w:link w:val="16"/>
    <w:semiHidden/>
    <w:unhideWhenUsed/>
    <w:qFormat/>
    <w:uiPriority w:val="99"/>
    <w:pPr>
      <w:ind w:left="100" w:leftChars="2500"/>
    </w:pPr>
  </w:style>
  <w:style w:type="paragraph" w:styleId="4">
    <w:name w:val="Balloon Text"/>
    <w:basedOn w:val="1"/>
    <w:link w:val="12"/>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semiHidden/>
    <w:qFormat/>
    <w:uiPriority w:val="99"/>
    <w:rPr>
      <w:rFonts w:ascii="Calibri" w:hAnsi="Calibri" w:eastAsia="宋体" w:cs="Times New Roman"/>
      <w:sz w:val="18"/>
      <w:szCs w:val="18"/>
    </w:rPr>
  </w:style>
  <w:style w:type="paragraph" w:customStyle="1" w:styleId="13">
    <w:name w:val="肥料正文"/>
    <w:basedOn w:val="1"/>
    <w:qFormat/>
    <w:uiPriority w:val="0"/>
    <w:pPr>
      <w:adjustRightInd w:val="0"/>
      <w:snapToGrid w:val="0"/>
      <w:spacing w:line="316" w:lineRule="auto"/>
      <w:ind w:firstLine="200" w:firstLineChars="200"/>
    </w:pPr>
    <w:rPr>
      <w:rFonts w:ascii="Times New Roman" w:hAnsi="Times New Roman" w:eastAsia="汉鼎简书宋二"/>
      <w:spacing w:val="2"/>
      <w:kern w:val="0"/>
      <w:sz w:val="22"/>
      <w:szCs w:val="24"/>
    </w:rPr>
  </w:style>
  <w:style w:type="character" w:customStyle="1" w:styleId="14">
    <w:name w:val="页眉 Char"/>
    <w:basedOn w:val="10"/>
    <w:link w:val="6"/>
    <w:qFormat/>
    <w:uiPriority w:val="99"/>
    <w:rPr>
      <w:rFonts w:ascii="Calibri" w:hAnsi="Calibri" w:eastAsia="宋体" w:cs="Times New Roman"/>
      <w:sz w:val="18"/>
      <w:szCs w:val="18"/>
    </w:rPr>
  </w:style>
  <w:style w:type="character" w:customStyle="1" w:styleId="15">
    <w:name w:val="页脚 Char"/>
    <w:basedOn w:val="10"/>
    <w:link w:val="5"/>
    <w:qFormat/>
    <w:uiPriority w:val="99"/>
    <w:rPr>
      <w:rFonts w:ascii="Calibri" w:hAnsi="Calibri" w:eastAsia="宋体" w:cs="Times New Roman"/>
      <w:sz w:val="18"/>
      <w:szCs w:val="18"/>
    </w:rPr>
  </w:style>
  <w:style w:type="character" w:customStyle="1" w:styleId="16">
    <w:name w:val="日期 Char"/>
    <w:basedOn w:val="10"/>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2228</Words>
  <Characters>2689</Characters>
  <Lines>21</Lines>
  <Paragraphs>6</Paragraphs>
  <TotalTime>35</TotalTime>
  <ScaleCrop>false</ScaleCrop>
  <LinksUpToDate>false</LinksUpToDate>
  <CharactersWithSpaces>2764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2019-12-18T05:00:00Z</dcterms:created>
  <dc:creator>jiangdw</dc:creator>
  <cp:lastModifiedBy>Administrator</cp:lastModifiedBy>
  <dcterms:modified xsi:type="dcterms:W3CDTF">2023-07-07T07:17:34Z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0CB2926A548849F08B0607A295FB4F1B_13</vt:lpwstr>
  </property>
</Properties>
</file>