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hAnsi="宋体" w:eastAsia="仿宋_GB2312" w:cs="黑体"/>
          <w:b/>
          <w:spacing w:val="20"/>
          <w:w w:val="105"/>
          <w:sz w:val="36"/>
          <w:szCs w:val="36"/>
        </w:rPr>
      </w:pPr>
      <w:r>
        <w:rPr>
          <w:rFonts w:hint="eastAsia" w:ascii="仿宋_GB2312" w:hAnsi="宋体" w:eastAsia="仿宋_GB2312" w:cs="黑体"/>
          <w:b/>
          <w:spacing w:val="20"/>
          <w:w w:val="105"/>
          <w:sz w:val="36"/>
          <w:szCs w:val="36"/>
        </w:rPr>
        <w:t>辽宁省消防应急灯具产品质量</w:t>
      </w:r>
    </w:p>
    <w:p>
      <w:pPr>
        <w:jc w:val="center"/>
        <w:rPr>
          <w:rFonts w:ascii="仿宋_GB2312" w:hAnsi="宋体" w:eastAsia="仿宋_GB2312" w:cs="黑体"/>
          <w:b/>
          <w:spacing w:val="20"/>
          <w:w w:val="105"/>
          <w:sz w:val="36"/>
          <w:szCs w:val="36"/>
        </w:rPr>
      </w:pPr>
      <w:r>
        <w:rPr>
          <w:rFonts w:hint="eastAsia" w:ascii="仿宋_GB2312" w:hAnsi="宋体" w:eastAsia="仿宋_GB2312" w:cs="黑体"/>
          <w:b/>
          <w:spacing w:val="20"/>
          <w:w w:val="105"/>
          <w:sz w:val="36"/>
          <w:szCs w:val="36"/>
        </w:rPr>
        <w:t>监督抽查实施细则</w:t>
      </w:r>
    </w:p>
    <w:p>
      <w:pPr>
        <w:jc w:val="center"/>
        <w:rPr>
          <w:rFonts w:ascii="仿宋_GB2312" w:hAnsi="宋体" w:eastAsia="仿宋_GB2312"/>
          <w:color w:val="FF0000"/>
          <w:sz w:val="24"/>
          <w:szCs w:val="24"/>
        </w:rPr>
      </w:pPr>
    </w:p>
    <w:p>
      <w:pPr>
        <w:spacing w:before="100" w:beforeAutospacing="1" w:after="100" w:afterAutospacing="1"/>
        <w:contextualSpacing/>
        <w:jc w:val="left"/>
        <w:rPr>
          <w:rFonts w:ascii="黑体" w:hAnsi="黑体" w:eastAsia="黑体"/>
          <w:sz w:val="28"/>
          <w:szCs w:val="28"/>
        </w:rPr>
      </w:pPr>
      <w:r>
        <w:rPr>
          <w:rFonts w:hint="eastAsia" w:ascii="黑体" w:hAnsi="黑体" w:eastAsia="黑体"/>
          <w:sz w:val="28"/>
          <w:szCs w:val="28"/>
        </w:rPr>
        <w:t>1适用范围</w:t>
      </w:r>
    </w:p>
    <w:p>
      <w:pPr>
        <w:spacing w:before="100" w:beforeAutospacing="1" w:after="100" w:afterAutospacing="1"/>
        <w:ind w:firstLine="560" w:firstLineChars="200"/>
        <w:contextualSpacing/>
        <w:rPr>
          <w:rFonts w:ascii="仿宋_GB2312" w:hAnsi="Times New Roman" w:eastAsia="仿宋_GB2312" w:cs="Sim Sun"/>
          <w:kern w:val="0"/>
          <w:sz w:val="28"/>
          <w:szCs w:val="28"/>
        </w:rPr>
      </w:pPr>
      <w:r>
        <w:rPr>
          <w:rFonts w:hint="eastAsia" w:ascii="仿宋_GB2312" w:hAnsi="宋体" w:eastAsia="仿宋_GB2312"/>
          <w:sz w:val="28"/>
          <w:szCs w:val="28"/>
        </w:rPr>
        <w:t>本细则适用于辽宁省消防应急灯具产品质量省级监督抽查，针对特殊情况的专项抽查、辽宁省内县级及以上市场监督管理</w:t>
      </w:r>
      <w:r>
        <w:rPr>
          <w:rFonts w:hint="eastAsia" w:ascii="仿宋_GB2312" w:hAnsi="Times New Roman" w:eastAsia="仿宋_GB2312" w:cs="Sim Sun"/>
          <w:kern w:val="0"/>
          <w:sz w:val="28"/>
          <w:szCs w:val="28"/>
        </w:rPr>
        <w:t>部门组织的地方监督抽查可参照执行。监督抽查产品范围包括</w:t>
      </w:r>
      <w:r>
        <w:rPr>
          <w:rFonts w:hint="eastAsia" w:ascii="仿宋_GB2312" w:hAnsi="宋体" w:eastAsia="仿宋_GB2312"/>
          <w:sz w:val="28"/>
          <w:szCs w:val="28"/>
        </w:rPr>
        <w:t>消防应急灯具</w:t>
      </w:r>
      <w:r>
        <w:rPr>
          <w:rFonts w:hint="eastAsia" w:ascii="仿宋_GB2312" w:eastAsia="仿宋_GB2312"/>
          <w:sz w:val="28"/>
          <w:szCs w:val="28"/>
        </w:rPr>
        <w:t>。</w:t>
      </w:r>
      <w:r>
        <w:rPr>
          <w:rFonts w:hint="eastAsia" w:ascii="仿宋_GB2312" w:hAnsi="Times New Roman" w:eastAsia="仿宋_GB2312" w:cs="Sim Sun"/>
          <w:kern w:val="0"/>
          <w:sz w:val="28"/>
          <w:szCs w:val="28"/>
        </w:rPr>
        <w:t>本细则内容包括产品分类、术语和定义、企业产品生产规模划分、检验依据、抽样、检验要求、判定原则、异议处理。</w:t>
      </w:r>
    </w:p>
    <w:p>
      <w:pPr>
        <w:spacing w:before="100" w:beforeAutospacing="1" w:after="100" w:afterAutospacing="1"/>
        <w:contextualSpacing/>
        <w:jc w:val="left"/>
        <w:rPr>
          <w:rFonts w:ascii="黑体" w:hAnsi="黑体" w:eastAsia="黑体"/>
          <w:sz w:val="28"/>
          <w:szCs w:val="28"/>
        </w:rPr>
      </w:pPr>
      <w:r>
        <w:rPr>
          <w:rFonts w:hint="eastAsia" w:ascii="黑体" w:hAnsi="黑体" w:eastAsia="黑体"/>
          <w:sz w:val="28"/>
          <w:szCs w:val="28"/>
        </w:rPr>
        <w:t>2 产品分类、术语和定义</w:t>
      </w:r>
    </w:p>
    <w:p>
      <w:pPr>
        <w:spacing w:before="100" w:beforeAutospacing="1" w:after="100" w:afterAutospacing="1"/>
        <w:contextualSpacing/>
        <w:jc w:val="left"/>
        <w:rPr>
          <w:rFonts w:ascii="仿宋_GB2312" w:hAnsi="Times New Roman" w:eastAsia="仿宋_GB2312" w:cs="Sim Sun"/>
          <w:kern w:val="0"/>
          <w:sz w:val="28"/>
          <w:szCs w:val="28"/>
        </w:rPr>
      </w:pPr>
      <w:r>
        <w:rPr>
          <w:rFonts w:hint="eastAsia" w:ascii="仿宋_GB2312" w:hAnsi="Times New Roman" w:eastAsia="仿宋_GB2312" w:cs="Sim Sun"/>
          <w:kern w:val="0"/>
          <w:sz w:val="28"/>
          <w:szCs w:val="28"/>
        </w:rPr>
        <w:t>2.1 产品分类及代码，见表1。</w:t>
      </w:r>
    </w:p>
    <w:p>
      <w:pPr>
        <w:spacing w:before="100" w:beforeAutospacing="1" w:after="100" w:afterAutospacing="1"/>
        <w:contextualSpacing/>
        <w:jc w:val="center"/>
        <w:rPr>
          <w:rFonts w:ascii="仿宋_GB2312" w:hAnsi="Times New Roman" w:eastAsia="仿宋_GB2312" w:cs="Sim Sun"/>
          <w:kern w:val="0"/>
          <w:sz w:val="28"/>
          <w:szCs w:val="28"/>
        </w:rPr>
      </w:pPr>
      <w:r>
        <w:rPr>
          <w:rFonts w:hint="eastAsia" w:ascii="仿宋_GB2312" w:hAnsi="Times New Roman" w:eastAsia="仿宋_GB2312" w:cs="Sim Sun"/>
          <w:kern w:val="0"/>
          <w:sz w:val="28"/>
          <w:szCs w:val="28"/>
        </w:rPr>
        <w:t>表1 产品分类及代码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360" w:lineRule="auto"/>
              <w:contextualSpacing/>
              <w:jc w:val="center"/>
              <w:rPr>
                <w:rFonts w:ascii="仿宋_GB2312" w:hAnsi="Times New Roman" w:eastAsia="仿宋_GB2312" w:cs="Sim Sun"/>
                <w:b/>
                <w:kern w:val="0"/>
                <w:sz w:val="24"/>
                <w:szCs w:val="24"/>
              </w:rPr>
            </w:pPr>
            <w:r>
              <w:rPr>
                <w:rFonts w:hint="eastAsia" w:ascii="仿宋_GB2312" w:hAnsi="Times New Roman" w:eastAsia="仿宋_GB2312" w:cs="Sim Sun"/>
                <w:b/>
                <w:kern w:val="0"/>
                <w:sz w:val="24"/>
                <w:szCs w:val="24"/>
              </w:rPr>
              <w:t>产品分类</w:t>
            </w:r>
          </w:p>
        </w:tc>
        <w:tc>
          <w:tcPr>
            <w:tcW w:w="213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360" w:lineRule="auto"/>
              <w:contextualSpacing/>
              <w:jc w:val="center"/>
              <w:rPr>
                <w:rFonts w:ascii="仿宋_GB2312" w:hAnsi="Times New Roman" w:eastAsia="仿宋_GB2312" w:cs="Sim Sun"/>
                <w:kern w:val="0"/>
                <w:sz w:val="24"/>
                <w:szCs w:val="24"/>
              </w:rPr>
            </w:pPr>
            <w:r>
              <w:rPr>
                <w:rFonts w:hint="eastAsia" w:ascii="仿宋_GB2312" w:hAnsi="Times New Roman" w:eastAsia="仿宋_GB2312" w:cs="Sim Sun"/>
                <w:kern w:val="0"/>
                <w:sz w:val="24"/>
                <w:szCs w:val="24"/>
              </w:rPr>
              <w:t>一级分类</w:t>
            </w:r>
          </w:p>
        </w:tc>
        <w:tc>
          <w:tcPr>
            <w:tcW w:w="213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360" w:lineRule="auto"/>
              <w:contextualSpacing/>
              <w:jc w:val="center"/>
              <w:rPr>
                <w:rFonts w:ascii="仿宋_GB2312" w:hAnsi="Times New Roman" w:eastAsia="仿宋_GB2312" w:cs="Sim Sun"/>
                <w:kern w:val="0"/>
                <w:sz w:val="24"/>
                <w:szCs w:val="24"/>
              </w:rPr>
            </w:pPr>
            <w:r>
              <w:rPr>
                <w:rFonts w:hint="eastAsia" w:ascii="仿宋_GB2312" w:hAnsi="Times New Roman" w:eastAsia="仿宋_GB2312" w:cs="Sim Sun"/>
                <w:kern w:val="0"/>
                <w:sz w:val="24"/>
                <w:szCs w:val="24"/>
              </w:rPr>
              <w:t>二级分类</w:t>
            </w:r>
          </w:p>
        </w:tc>
        <w:tc>
          <w:tcPr>
            <w:tcW w:w="213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360" w:lineRule="auto"/>
              <w:contextualSpacing/>
              <w:jc w:val="center"/>
              <w:rPr>
                <w:rFonts w:ascii="仿宋_GB2312" w:hAnsi="Times New Roman" w:eastAsia="仿宋_GB2312" w:cs="Sim Sun"/>
                <w:kern w:val="0"/>
                <w:sz w:val="24"/>
                <w:szCs w:val="24"/>
              </w:rPr>
            </w:pPr>
            <w:r>
              <w:rPr>
                <w:rFonts w:hint="eastAsia" w:ascii="仿宋_GB2312" w:hAnsi="Times New Roman" w:eastAsia="仿宋_GB2312" w:cs="Sim Sun"/>
                <w:kern w:val="0"/>
                <w:sz w:val="24"/>
                <w:szCs w:val="24"/>
              </w:rPr>
              <w:t>三类分类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360" w:lineRule="auto"/>
              <w:contextualSpacing/>
              <w:jc w:val="center"/>
              <w:rPr>
                <w:rFonts w:ascii="仿宋_GB2312" w:hAnsi="Times New Roman" w:eastAsia="仿宋_GB2312" w:cs="Sim Sun"/>
                <w:b/>
                <w:kern w:val="0"/>
                <w:sz w:val="24"/>
                <w:szCs w:val="24"/>
              </w:rPr>
            </w:pPr>
            <w:r>
              <w:rPr>
                <w:rFonts w:hint="eastAsia" w:ascii="仿宋_GB2312" w:hAnsi="Times New Roman" w:eastAsia="仿宋_GB2312" w:cs="Sim Sun"/>
                <w:b/>
                <w:kern w:val="0"/>
                <w:sz w:val="24"/>
                <w:szCs w:val="24"/>
              </w:rPr>
              <w:t>分类代码</w:t>
            </w:r>
          </w:p>
        </w:tc>
        <w:tc>
          <w:tcPr>
            <w:tcW w:w="213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360" w:lineRule="auto"/>
              <w:contextualSpacing/>
              <w:jc w:val="center"/>
              <w:rPr>
                <w:rFonts w:ascii="仿宋_GB2312" w:hAnsi="Times New Roman" w:eastAsia="仿宋_GB2312" w:cs="Sim Sun"/>
                <w:kern w:val="0"/>
                <w:sz w:val="24"/>
                <w:szCs w:val="24"/>
              </w:rPr>
            </w:pPr>
            <w:r>
              <w:rPr>
                <w:rFonts w:hint="eastAsia" w:ascii="仿宋_GB2312" w:hAnsi="Times New Roman" w:eastAsia="仿宋_GB2312" w:cs="Sim Sun"/>
                <w:kern w:val="0"/>
                <w:sz w:val="24"/>
                <w:szCs w:val="24"/>
              </w:rPr>
              <w:t>6</w:t>
            </w:r>
          </w:p>
        </w:tc>
        <w:tc>
          <w:tcPr>
            <w:tcW w:w="213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360" w:lineRule="auto"/>
              <w:contextualSpacing/>
              <w:jc w:val="center"/>
              <w:rPr>
                <w:rFonts w:ascii="仿宋_GB2312" w:hAnsi="Times New Roman" w:eastAsia="仿宋_GB2312" w:cs="Sim Sun"/>
                <w:kern w:val="0"/>
                <w:sz w:val="24"/>
                <w:szCs w:val="24"/>
              </w:rPr>
            </w:pPr>
            <w:r>
              <w:rPr>
                <w:rFonts w:hint="eastAsia" w:ascii="仿宋_GB2312" w:hAnsi="Times New Roman" w:eastAsia="仿宋_GB2312" w:cs="Sim Sun"/>
                <w:kern w:val="0"/>
                <w:sz w:val="24"/>
                <w:szCs w:val="24"/>
              </w:rPr>
              <w:t>607</w:t>
            </w:r>
          </w:p>
        </w:tc>
        <w:tc>
          <w:tcPr>
            <w:tcW w:w="213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360" w:lineRule="auto"/>
              <w:contextualSpacing/>
              <w:jc w:val="center"/>
              <w:rPr>
                <w:rFonts w:ascii="仿宋_GB2312" w:hAnsi="Times New Roman" w:eastAsia="仿宋_GB2312" w:cs="Sim Sun"/>
                <w:kern w:val="0"/>
                <w:sz w:val="24"/>
                <w:szCs w:val="24"/>
              </w:rPr>
            </w:pPr>
            <w:r>
              <w:rPr>
                <w:rFonts w:hint="eastAsia" w:ascii="仿宋_GB2312" w:hAnsi="Times New Roman" w:eastAsia="仿宋_GB2312" w:cs="Sim Sun"/>
                <w:kern w:val="0"/>
                <w:sz w:val="24"/>
                <w:szCs w:val="24"/>
              </w:rPr>
              <w:t>607.1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360" w:lineRule="auto"/>
              <w:contextualSpacing/>
              <w:jc w:val="center"/>
              <w:rPr>
                <w:rFonts w:ascii="仿宋_GB2312" w:hAnsi="Times New Roman" w:eastAsia="仿宋_GB2312" w:cs="Sim Sun"/>
                <w:b/>
                <w:kern w:val="0"/>
                <w:sz w:val="24"/>
                <w:szCs w:val="24"/>
              </w:rPr>
            </w:pPr>
            <w:r>
              <w:rPr>
                <w:rFonts w:hint="eastAsia" w:ascii="仿宋_GB2312" w:hAnsi="Times New Roman" w:eastAsia="仿宋_GB2312" w:cs="Sim Sun"/>
                <w:b/>
                <w:kern w:val="0"/>
                <w:sz w:val="24"/>
                <w:szCs w:val="24"/>
              </w:rPr>
              <w:t>分类名称</w:t>
            </w:r>
          </w:p>
        </w:tc>
        <w:tc>
          <w:tcPr>
            <w:tcW w:w="213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360" w:lineRule="auto"/>
              <w:contextualSpacing/>
              <w:jc w:val="center"/>
              <w:rPr>
                <w:rFonts w:ascii="仿宋_GB2312" w:hAnsi="Times New Roman" w:eastAsia="仿宋_GB2312" w:cs="Sim Sun"/>
                <w:kern w:val="0"/>
                <w:sz w:val="24"/>
                <w:szCs w:val="24"/>
              </w:rPr>
            </w:pPr>
            <w:r>
              <w:rPr>
                <w:rFonts w:hint="eastAsia" w:ascii="仿宋_GB2312" w:hAnsi="Times New Roman" w:eastAsia="仿宋_GB2312" w:cs="Sim Sun"/>
                <w:kern w:val="0"/>
                <w:sz w:val="24"/>
                <w:szCs w:val="24"/>
              </w:rPr>
              <w:t>机械及安防</w:t>
            </w:r>
          </w:p>
        </w:tc>
        <w:tc>
          <w:tcPr>
            <w:tcW w:w="213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360" w:lineRule="auto"/>
              <w:contextualSpacing/>
              <w:jc w:val="center"/>
              <w:rPr>
                <w:rFonts w:ascii="仿宋_GB2312" w:hAnsi="Times New Roman" w:eastAsia="仿宋_GB2312" w:cs="Sim Sun"/>
                <w:kern w:val="0"/>
                <w:sz w:val="24"/>
                <w:szCs w:val="24"/>
              </w:rPr>
            </w:pPr>
            <w:r>
              <w:rPr>
                <w:rFonts w:hint="eastAsia" w:ascii="仿宋_GB2312" w:hAnsi="Times New Roman" w:eastAsia="仿宋_GB2312" w:cs="Sim Sun"/>
                <w:kern w:val="0"/>
                <w:sz w:val="24"/>
                <w:szCs w:val="24"/>
              </w:rPr>
              <w:t>消防器材</w:t>
            </w:r>
          </w:p>
        </w:tc>
        <w:tc>
          <w:tcPr>
            <w:tcW w:w="2131"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360" w:lineRule="auto"/>
              <w:contextualSpacing/>
              <w:jc w:val="center"/>
              <w:rPr>
                <w:rFonts w:ascii="仿宋_GB2312" w:hAnsi="Times New Roman" w:eastAsia="仿宋_GB2312" w:cs="Sim Sun"/>
                <w:kern w:val="0"/>
                <w:sz w:val="24"/>
                <w:szCs w:val="24"/>
              </w:rPr>
            </w:pPr>
            <w:r>
              <w:rPr>
                <w:rFonts w:hint="eastAsia" w:ascii="仿宋_GB2312" w:hAnsi="Times New Roman" w:eastAsia="仿宋_GB2312" w:cs="Sim Sun"/>
                <w:kern w:val="0"/>
                <w:sz w:val="24"/>
                <w:szCs w:val="24"/>
              </w:rPr>
              <w:t>消防应急灯具</w:t>
            </w:r>
          </w:p>
        </w:tc>
      </w:tr>
    </w:tbl>
    <w:p>
      <w:pPr>
        <w:spacing w:before="100" w:beforeAutospacing="1" w:after="100" w:afterAutospacing="1"/>
        <w:contextualSpacing/>
        <w:jc w:val="left"/>
        <w:rPr>
          <w:rFonts w:ascii="仿宋_GB2312" w:hAnsi="Times New Roman" w:eastAsia="仿宋_GB2312" w:cs="Sim Sun"/>
          <w:kern w:val="0"/>
          <w:sz w:val="28"/>
          <w:szCs w:val="28"/>
        </w:rPr>
      </w:pPr>
      <w:r>
        <w:rPr>
          <w:rFonts w:hint="eastAsia" w:ascii="仿宋_GB2312" w:hAnsi="Times New Roman" w:eastAsia="仿宋_GB2312" w:cs="Sim Sun"/>
          <w:kern w:val="0"/>
          <w:sz w:val="28"/>
          <w:szCs w:val="28"/>
        </w:rPr>
        <w:t>2.2产品种类</w:t>
      </w:r>
    </w:p>
    <w:p>
      <w:pPr>
        <w:spacing w:before="100" w:beforeAutospacing="1" w:after="100" w:afterAutospacing="1"/>
        <w:ind w:firstLine="560" w:firstLineChars="200"/>
        <w:contextualSpacing/>
        <w:jc w:val="left"/>
        <w:rPr>
          <w:rFonts w:ascii="仿宋_GB2312" w:hAnsi="Times New Roman" w:eastAsia="仿宋_GB2312" w:cs="Sim Sun"/>
          <w:kern w:val="0"/>
          <w:sz w:val="28"/>
          <w:szCs w:val="28"/>
        </w:rPr>
      </w:pPr>
      <w:r>
        <w:rPr>
          <w:rFonts w:hint="eastAsia" w:ascii="仿宋_GB2312" w:hAnsi="宋体" w:eastAsia="仿宋_GB2312"/>
          <w:sz w:val="28"/>
          <w:szCs w:val="28"/>
        </w:rPr>
        <w:t>消防应急灯具</w:t>
      </w:r>
      <w:r>
        <w:rPr>
          <w:rFonts w:hint="eastAsia" w:ascii="仿宋_GB2312" w:hAnsi="Times New Roman" w:eastAsia="仿宋_GB2312" w:cs="Sim Sun"/>
          <w:kern w:val="0"/>
          <w:sz w:val="28"/>
          <w:szCs w:val="28"/>
        </w:rPr>
        <w:t>可按下述进行分类：</w:t>
      </w:r>
    </w:p>
    <w:p>
      <w:pPr>
        <w:spacing w:before="100" w:beforeAutospacing="1" w:after="100" w:afterAutospacing="1"/>
        <w:ind w:firstLine="560" w:firstLineChars="200"/>
        <w:contextualSpacing/>
        <w:jc w:val="left"/>
        <w:rPr>
          <w:rFonts w:ascii="仿宋_GB2312" w:hAnsi="Times New Roman" w:eastAsia="仿宋_GB2312" w:cs="Sim Sun"/>
          <w:kern w:val="0"/>
          <w:sz w:val="28"/>
          <w:szCs w:val="28"/>
        </w:rPr>
      </w:pPr>
      <w:r>
        <w:rPr>
          <w:rFonts w:hint="eastAsia" w:ascii="仿宋_GB2312" w:hAnsi="Times New Roman" w:eastAsia="仿宋_GB2312" w:cs="Sim Sun"/>
          <w:kern w:val="0"/>
          <w:sz w:val="28"/>
          <w:szCs w:val="28"/>
        </w:rPr>
        <w:t>1）按用途分为，有：消防应急照明灯具、消防应急标志灯具、消防应急照明标志复合灯具。</w:t>
      </w:r>
    </w:p>
    <w:p>
      <w:pPr>
        <w:spacing w:before="100" w:beforeAutospacing="1" w:after="100" w:afterAutospacing="1"/>
        <w:ind w:firstLine="560" w:firstLineChars="200"/>
        <w:contextualSpacing/>
        <w:jc w:val="left"/>
        <w:rPr>
          <w:rFonts w:ascii="仿宋_GB2312" w:hAnsi="Times New Roman" w:eastAsia="仿宋_GB2312" w:cs="Sim Sun"/>
          <w:kern w:val="0"/>
          <w:sz w:val="28"/>
          <w:szCs w:val="28"/>
        </w:rPr>
      </w:pPr>
      <w:r>
        <w:rPr>
          <w:rFonts w:hint="eastAsia" w:ascii="仿宋_GB2312" w:hAnsi="Times New Roman" w:eastAsia="仿宋_GB2312" w:cs="Sim Sun"/>
          <w:kern w:val="0"/>
          <w:sz w:val="28"/>
          <w:szCs w:val="28"/>
        </w:rPr>
        <w:t>2）按适用系统类型进行分类，有集中控制型；非集中控制型。</w:t>
      </w:r>
    </w:p>
    <w:p>
      <w:pPr>
        <w:spacing w:before="100" w:beforeAutospacing="1" w:after="100" w:afterAutospacing="1"/>
        <w:contextualSpacing/>
        <w:jc w:val="left"/>
        <w:rPr>
          <w:rFonts w:ascii="仿宋_GB2312" w:hAnsi="Times New Roman" w:eastAsia="仿宋_GB2312" w:cs="Sim Sun"/>
          <w:kern w:val="0"/>
          <w:sz w:val="28"/>
          <w:szCs w:val="28"/>
        </w:rPr>
      </w:pPr>
      <w:r>
        <w:rPr>
          <w:rFonts w:hint="eastAsia" w:ascii="仿宋_GB2312" w:hAnsi="Times New Roman" w:eastAsia="仿宋_GB2312" w:cs="Sim Sun"/>
          <w:kern w:val="0"/>
          <w:sz w:val="28"/>
          <w:szCs w:val="28"/>
        </w:rPr>
        <w:t>2.3术语和定义</w:t>
      </w:r>
    </w:p>
    <w:p>
      <w:pPr>
        <w:spacing w:line="360" w:lineRule="auto"/>
        <w:ind w:firstLine="560" w:firstLineChars="200"/>
        <w:rPr>
          <w:rFonts w:ascii="仿宋" w:hAnsi="仿宋" w:eastAsia="仿宋"/>
          <w:sz w:val="28"/>
          <w:szCs w:val="28"/>
        </w:rPr>
      </w:pPr>
      <w:r>
        <w:rPr>
          <w:rFonts w:hint="eastAsia" w:ascii="仿宋" w:hAnsi="仿宋" w:eastAsia="仿宋"/>
          <w:sz w:val="28"/>
          <w:szCs w:val="28"/>
        </w:rPr>
        <w:t>本细则中所使用的术语和定义同相关引用标准。</w:t>
      </w:r>
    </w:p>
    <w:p>
      <w:pPr>
        <w:spacing w:before="100" w:beforeAutospacing="1" w:after="100" w:afterAutospacing="1"/>
        <w:contextualSpacing/>
        <w:jc w:val="left"/>
        <w:rPr>
          <w:rFonts w:ascii="黑体" w:hAnsi="黑体" w:eastAsia="黑体"/>
          <w:sz w:val="28"/>
          <w:szCs w:val="28"/>
        </w:rPr>
      </w:pPr>
      <w:r>
        <w:rPr>
          <w:rFonts w:hint="eastAsia" w:ascii="黑体" w:hAnsi="黑体" w:eastAsia="黑体"/>
          <w:sz w:val="28"/>
          <w:szCs w:val="28"/>
        </w:rPr>
        <w:t>3 企业产品生产规模划分</w:t>
      </w:r>
    </w:p>
    <w:p>
      <w:pPr>
        <w:spacing w:before="100" w:beforeAutospacing="1" w:after="100" w:afterAutospacing="1"/>
        <w:ind w:firstLine="560" w:firstLineChars="200"/>
        <w:contextualSpacing/>
        <w:jc w:val="left"/>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spacing w:before="100" w:beforeAutospacing="1" w:after="100" w:afterAutospacing="1"/>
        <w:contextualSpacing/>
        <w:jc w:val="left"/>
        <w:rPr>
          <w:rFonts w:ascii="黑体" w:hAnsi="黑体" w:eastAsia="黑体"/>
          <w:sz w:val="28"/>
          <w:szCs w:val="28"/>
        </w:rPr>
      </w:pPr>
      <w:r>
        <w:rPr>
          <w:rFonts w:hint="eastAsia" w:ascii="黑体" w:hAnsi="黑体" w:eastAsia="黑体"/>
          <w:sz w:val="28"/>
          <w:szCs w:val="28"/>
        </w:rPr>
        <w:t>4 检验依据</w:t>
      </w:r>
    </w:p>
    <w:p>
      <w:pPr>
        <w:spacing w:before="100" w:beforeAutospacing="1" w:after="100" w:afterAutospacing="1"/>
        <w:ind w:firstLine="560" w:firstLineChars="200"/>
        <w:contextualSpacing/>
        <w:jc w:val="left"/>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snapToGrid w:val="0"/>
        <w:spacing w:line="360" w:lineRule="auto"/>
        <w:ind w:firstLine="557" w:firstLineChars="199"/>
        <w:rPr>
          <w:rFonts w:ascii="仿宋_GB2312" w:hAnsi="仿宋_GB2312" w:eastAsia="仿宋_GB2312" w:cs="仿宋_GB2312"/>
          <w:color w:val="000000"/>
          <w:kern w:val="0"/>
          <w:sz w:val="32"/>
          <w:szCs w:val="32"/>
          <w:shd w:val="clear" w:color="auto" w:fill="FFFFFF"/>
        </w:rPr>
      </w:pPr>
      <w:r>
        <w:rPr>
          <w:rFonts w:hint="eastAsia" w:ascii="仿宋_GB2312" w:hAnsi="宋体" w:eastAsia="仿宋_GB2312"/>
          <w:sz w:val="28"/>
          <w:szCs w:val="28"/>
        </w:rPr>
        <w:t>GB 17945-2010《消防应急照明和疏散指示系统》</w:t>
      </w:r>
    </w:p>
    <w:p>
      <w:pPr>
        <w:spacing w:before="100" w:beforeAutospacing="1" w:after="100" w:afterAutospacing="1"/>
        <w:ind w:firstLine="560" w:firstLineChars="200"/>
        <w:contextualSpacing/>
        <w:jc w:val="left"/>
        <w:rPr>
          <w:rFonts w:ascii="仿宋_GB2312" w:hAnsi="宋体" w:eastAsia="仿宋_GB2312"/>
          <w:sz w:val="28"/>
          <w:szCs w:val="28"/>
        </w:rPr>
      </w:pPr>
      <w:r>
        <w:rPr>
          <w:rFonts w:hint="eastAsia" w:ascii="仿宋_GB2312" w:hAnsi="宋体" w:eastAsia="仿宋_GB2312"/>
          <w:sz w:val="28"/>
          <w:szCs w:val="28"/>
        </w:rPr>
        <w:t>相关的法律法规、部门规章和规范</w:t>
      </w:r>
    </w:p>
    <w:p>
      <w:pPr>
        <w:spacing w:before="100" w:beforeAutospacing="1" w:after="100" w:afterAutospacing="1"/>
        <w:ind w:firstLine="560" w:firstLineChars="200"/>
        <w:contextualSpacing/>
        <w:jc w:val="left"/>
        <w:rPr>
          <w:rFonts w:ascii="仿宋_GB2312" w:hAnsi="宋体" w:eastAsia="仿宋_GB2312"/>
          <w:sz w:val="28"/>
          <w:szCs w:val="28"/>
        </w:rPr>
      </w:pPr>
      <w:r>
        <w:rPr>
          <w:rFonts w:hint="eastAsia" w:ascii="仿宋_GB2312" w:hAnsi="宋体" w:eastAsia="仿宋_GB2312"/>
          <w:sz w:val="28"/>
          <w:szCs w:val="28"/>
        </w:rPr>
        <w:t>经公示现行有效的企业标准、团体标准和地方标准及产品明示质量要求</w:t>
      </w:r>
    </w:p>
    <w:p>
      <w:pPr>
        <w:spacing w:before="100" w:beforeAutospacing="1" w:after="100" w:afterAutospacing="1"/>
        <w:contextualSpacing/>
        <w:jc w:val="left"/>
        <w:rPr>
          <w:rFonts w:ascii="黑体" w:hAnsi="黑体" w:eastAsia="黑体"/>
          <w:sz w:val="28"/>
          <w:szCs w:val="28"/>
        </w:rPr>
      </w:pPr>
      <w:r>
        <w:rPr>
          <w:rFonts w:hint="eastAsia" w:ascii="黑体" w:hAnsi="黑体" w:eastAsia="黑体"/>
          <w:sz w:val="28"/>
          <w:szCs w:val="28"/>
        </w:rPr>
        <w:t>5 抽样</w:t>
      </w:r>
    </w:p>
    <w:p>
      <w:pPr>
        <w:spacing w:before="100" w:beforeAutospacing="1" w:after="100" w:afterAutospacing="1"/>
        <w:contextualSpacing/>
        <w:jc w:val="left"/>
        <w:rPr>
          <w:rFonts w:ascii="仿宋_GB2312" w:hAnsi="宋体" w:eastAsia="仿宋_GB2312"/>
          <w:sz w:val="28"/>
          <w:szCs w:val="28"/>
        </w:rPr>
      </w:pPr>
      <w:r>
        <w:rPr>
          <w:rFonts w:hint="eastAsia" w:ascii="仿宋_GB2312" w:hAnsi="宋体" w:eastAsia="仿宋_GB2312"/>
          <w:sz w:val="28"/>
          <w:szCs w:val="28"/>
        </w:rPr>
        <w:t>5.1 抽样型号规格</w:t>
      </w:r>
    </w:p>
    <w:p>
      <w:pPr>
        <w:spacing w:before="100" w:beforeAutospacing="1" w:after="100" w:afterAutospacing="1"/>
        <w:ind w:firstLine="560" w:firstLineChars="200"/>
        <w:contextualSpacing/>
        <w:jc w:val="left"/>
        <w:rPr>
          <w:rFonts w:ascii="仿宋_GB2312" w:hAnsi="宋体" w:eastAsia="仿宋_GB2312"/>
          <w:sz w:val="28"/>
          <w:szCs w:val="28"/>
        </w:rPr>
      </w:pPr>
      <w:r>
        <w:rPr>
          <w:rFonts w:hint="eastAsia" w:ascii="仿宋_GB2312" w:hAnsi="宋体" w:eastAsia="仿宋_GB2312"/>
          <w:sz w:val="28"/>
          <w:szCs w:val="28"/>
        </w:rPr>
        <w:t>抽取样品应为同一型号规格、同一批次的产品。优先抽取企业产量较大的产品。</w:t>
      </w:r>
    </w:p>
    <w:p>
      <w:pPr>
        <w:spacing w:before="100" w:beforeAutospacing="1" w:after="100" w:afterAutospacing="1"/>
        <w:contextualSpacing/>
        <w:jc w:val="left"/>
        <w:rPr>
          <w:rFonts w:ascii="仿宋_GB2312" w:hAnsi="宋体" w:eastAsia="仿宋_GB2312"/>
          <w:sz w:val="28"/>
          <w:szCs w:val="28"/>
        </w:rPr>
      </w:pPr>
      <w:r>
        <w:rPr>
          <w:rFonts w:hint="eastAsia" w:ascii="仿宋_GB2312" w:hAnsi="宋体" w:eastAsia="仿宋_GB2312"/>
          <w:sz w:val="28"/>
          <w:szCs w:val="28"/>
        </w:rPr>
        <w:t>5.2 抽样方法、基数及数量</w:t>
      </w:r>
    </w:p>
    <w:p>
      <w:pPr>
        <w:spacing w:before="100" w:beforeAutospacing="1" w:after="100" w:afterAutospacing="1"/>
        <w:contextualSpacing/>
        <w:jc w:val="left"/>
        <w:rPr>
          <w:rFonts w:ascii="仿宋_GB2312" w:hAnsi="宋体" w:eastAsia="仿宋_GB2312"/>
          <w:sz w:val="28"/>
          <w:szCs w:val="28"/>
        </w:rPr>
      </w:pPr>
      <w:r>
        <w:rPr>
          <w:rFonts w:hint="eastAsia" w:ascii="仿宋_GB2312" w:hAnsi="宋体" w:eastAsia="仿宋_GB2312"/>
          <w:sz w:val="28"/>
          <w:szCs w:val="28"/>
        </w:rPr>
        <w:t>5.2.1抽样方法</w:t>
      </w:r>
    </w:p>
    <w:p>
      <w:pPr>
        <w:spacing w:before="100" w:beforeAutospacing="1" w:after="100" w:afterAutospacing="1"/>
        <w:ind w:firstLine="560" w:firstLineChars="200"/>
        <w:contextualSpacing/>
        <w:jc w:val="left"/>
        <w:rPr>
          <w:rFonts w:ascii="仿宋_GB2312" w:hAnsi="宋体" w:eastAsia="仿宋_GB2312"/>
          <w:sz w:val="28"/>
          <w:szCs w:val="28"/>
        </w:rPr>
      </w:pPr>
      <w:r>
        <w:rPr>
          <w:rFonts w:hint="eastAsia" w:ascii="仿宋_GB2312" w:hAnsi="宋体" w:eastAsia="仿宋_GB2312"/>
          <w:sz w:val="28"/>
          <w:szCs w:val="28"/>
        </w:rPr>
        <w:t>在企业成品仓库内或者市场待销产品中随机抽取近期生产的同一规格型号、同一批次，并有产品质量检验合格证明或者以其他形式表明合格的产品。</w:t>
      </w:r>
    </w:p>
    <w:p>
      <w:pPr>
        <w:widowControl/>
        <w:adjustRightInd w:val="0"/>
        <w:snapToGrid w:val="0"/>
        <w:spacing w:line="360" w:lineRule="auto"/>
        <w:ind w:left="122" w:leftChars="58" w:firstLine="420" w:firstLineChars="150"/>
        <w:jc w:val="left"/>
        <w:rPr>
          <w:rFonts w:ascii="仿宋_GB2312" w:eastAsia="仿宋_GB2312"/>
          <w:sz w:val="28"/>
          <w:szCs w:val="28"/>
        </w:rPr>
      </w:pPr>
      <w:r>
        <w:rPr>
          <w:rFonts w:hint="eastAsia" w:ascii="仿宋_GB2312" w:eastAsia="仿宋_GB2312"/>
          <w:sz w:val="28"/>
          <w:szCs w:val="28"/>
        </w:rPr>
        <w:t>随机抽取方法和程序参照GB/T 10111-2008《随机数的产生及其在产品质量抽样检验中的应用程序》中5.2条款中的骰子法。</w:t>
      </w:r>
    </w:p>
    <w:p>
      <w:pPr>
        <w:spacing w:before="100" w:beforeAutospacing="1" w:after="100" w:afterAutospacing="1"/>
        <w:contextualSpacing/>
        <w:jc w:val="left"/>
        <w:rPr>
          <w:rFonts w:ascii="仿宋_GB2312" w:hAnsi="宋体" w:eastAsia="仿宋_GB2312"/>
          <w:sz w:val="28"/>
          <w:szCs w:val="28"/>
        </w:rPr>
      </w:pPr>
      <w:r>
        <w:rPr>
          <w:rFonts w:hint="eastAsia" w:ascii="仿宋_GB2312" w:hAnsi="宋体" w:eastAsia="仿宋_GB2312"/>
          <w:sz w:val="28"/>
          <w:szCs w:val="28"/>
        </w:rPr>
        <w:t>5.2.2抽样基数</w:t>
      </w:r>
    </w:p>
    <w:p>
      <w:pPr>
        <w:spacing w:before="100" w:beforeAutospacing="1" w:after="100" w:afterAutospacing="1"/>
        <w:ind w:firstLine="560" w:firstLineChars="200"/>
        <w:contextualSpacing/>
        <w:jc w:val="left"/>
        <w:rPr>
          <w:rFonts w:ascii="仿宋_GB2312" w:hAnsi="宋体" w:eastAsia="仿宋_GB2312"/>
          <w:sz w:val="28"/>
          <w:szCs w:val="28"/>
        </w:rPr>
      </w:pPr>
      <w:r>
        <w:rPr>
          <w:rFonts w:hint="eastAsia" w:ascii="仿宋_GB2312" w:hAnsi="宋体" w:eastAsia="仿宋_GB2312"/>
          <w:sz w:val="28"/>
          <w:szCs w:val="28"/>
        </w:rPr>
        <w:t>在生产企业或市场待销产品抽样时，抽样基数满足抽样数量即可。</w:t>
      </w:r>
    </w:p>
    <w:p>
      <w:pPr>
        <w:spacing w:before="100" w:beforeAutospacing="1" w:after="100" w:afterAutospacing="1"/>
        <w:contextualSpacing/>
        <w:jc w:val="left"/>
        <w:rPr>
          <w:rFonts w:ascii="仿宋_GB2312" w:hAnsi="宋体" w:eastAsia="仿宋_GB2312"/>
          <w:sz w:val="28"/>
          <w:szCs w:val="28"/>
        </w:rPr>
      </w:pPr>
      <w:r>
        <w:rPr>
          <w:rFonts w:hint="eastAsia" w:ascii="仿宋_GB2312" w:hAnsi="宋体" w:eastAsia="仿宋_GB2312"/>
          <w:sz w:val="28"/>
          <w:szCs w:val="28"/>
        </w:rPr>
        <w:t>5.2.3 抽样数量</w:t>
      </w:r>
    </w:p>
    <w:p>
      <w:pPr>
        <w:spacing w:before="100" w:beforeAutospacing="1" w:after="100" w:afterAutospacing="1"/>
        <w:ind w:firstLine="560" w:firstLineChars="200"/>
        <w:contextualSpacing/>
        <w:jc w:val="left"/>
        <w:rPr>
          <w:rFonts w:ascii="仿宋_GB2312" w:hAnsi="宋体" w:eastAsia="仿宋_GB2312"/>
          <w:sz w:val="28"/>
          <w:szCs w:val="28"/>
        </w:rPr>
      </w:pPr>
      <w:r>
        <w:rPr>
          <w:rFonts w:hint="eastAsia" w:ascii="仿宋_GB2312" w:hAnsi="宋体" w:eastAsia="仿宋_GB2312"/>
          <w:sz w:val="28"/>
          <w:szCs w:val="28"/>
        </w:rPr>
        <w:t>在确认的消防应急灯具产品中随机抽取样品4台，其中2台作为检验样品，2台作为备用样品。</w:t>
      </w:r>
    </w:p>
    <w:p>
      <w:pPr>
        <w:spacing w:before="100" w:beforeAutospacing="1" w:after="100" w:afterAutospacing="1"/>
        <w:contextualSpacing/>
        <w:jc w:val="left"/>
        <w:rPr>
          <w:rFonts w:ascii="仿宋_GB2312" w:hAnsi="宋体" w:eastAsia="仿宋_GB2312"/>
          <w:sz w:val="28"/>
          <w:szCs w:val="28"/>
        </w:rPr>
      </w:pPr>
      <w:r>
        <w:rPr>
          <w:rFonts w:hint="eastAsia" w:ascii="仿宋_GB2312" w:hAnsi="宋体" w:eastAsia="仿宋_GB2312"/>
          <w:sz w:val="28"/>
          <w:szCs w:val="28"/>
        </w:rPr>
        <w:t>5.3 样品处置</w:t>
      </w:r>
    </w:p>
    <w:p>
      <w:pPr>
        <w:spacing w:before="100" w:beforeAutospacing="1" w:after="100" w:afterAutospacing="1"/>
        <w:contextualSpacing/>
        <w:jc w:val="left"/>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spacing w:before="100" w:beforeAutospacing="1" w:after="100" w:afterAutospacing="1"/>
        <w:contextualSpacing/>
        <w:jc w:val="left"/>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spacing w:before="100" w:beforeAutospacing="1" w:after="100" w:afterAutospacing="1"/>
        <w:contextualSpacing/>
        <w:jc w:val="left"/>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spacing w:before="100" w:beforeAutospacing="1" w:after="100" w:afterAutospacing="1"/>
        <w:contextualSpacing/>
        <w:jc w:val="left"/>
        <w:rPr>
          <w:rFonts w:ascii="仿宋_GB2312" w:hAnsi="宋体" w:eastAsia="仿宋_GB2312"/>
          <w:sz w:val="28"/>
          <w:szCs w:val="28"/>
        </w:rPr>
      </w:pPr>
      <w:r>
        <w:rPr>
          <w:rFonts w:hint="eastAsia" w:ascii="仿宋_GB2312" w:hAnsi="宋体" w:eastAsia="仿宋_GB2312"/>
          <w:sz w:val="28"/>
          <w:szCs w:val="28"/>
        </w:rPr>
        <w:t>5.4 抽样单</w:t>
      </w:r>
    </w:p>
    <w:p>
      <w:pPr>
        <w:spacing w:before="100" w:beforeAutospacing="1" w:after="100" w:afterAutospacing="1"/>
        <w:ind w:firstLine="560" w:firstLineChars="200"/>
        <w:contextualSpacing/>
        <w:jc w:val="left"/>
        <w:rPr>
          <w:rFonts w:ascii="仿宋_GB2312" w:hAnsi="宋体" w:eastAsia="仿宋_GB2312"/>
          <w:sz w:val="28"/>
          <w:szCs w:val="28"/>
        </w:rPr>
      </w:pPr>
      <w:r>
        <w:rPr>
          <w:rFonts w:hint="eastAsia" w:ascii="仿宋_GB2312" w:hAnsi="宋体" w:eastAsia="仿宋_GB2312"/>
          <w:sz w:val="28"/>
          <w:szCs w:val="28"/>
        </w:rPr>
        <w:t>应按有关规定填写抽样单，并记录被抽查产品及企业相关信息。同时记录被抽查企业上一年度生产的手提式干粉灭火器产品销售总额，以万元计；若企业上一年度未生产，则记录本年度实际产量与销售额，并加以注明。对于产品检验所需的样品技术参数等信息，需要被抽企业提供的，应在抽样现场获取，并经企业确认。</w:t>
      </w:r>
    </w:p>
    <w:p>
      <w:pPr>
        <w:spacing w:before="100" w:beforeAutospacing="1" w:after="100" w:afterAutospacing="1"/>
        <w:contextualSpacing/>
        <w:jc w:val="left"/>
        <w:rPr>
          <w:rFonts w:ascii="仿宋_GB2312" w:hAnsi="宋体" w:eastAsia="仿宋_GB2312"/>
          <w:sz w:val="28"/>
          <w:szCs w:val="28"/>
        </w:rPr>
      </w:pPr>
      <w:r>
        <w:rPr>
          <w:rFonts w:hint="eastAsia" w:ascii="仿宋_GB2312" w:hAnsi="宋体" w:eastAsia="仿宋_GB2312"/>
          <w:sz w:val="28"/>
          <w:szCs w:val="28"/>
        </w:rPr>
        <w:t>5.5</w:t>
      </w:r>
      <w:r>
        <w:rPr>
          <w:rFonts w:hint="eastAsia" w:ascii="仿宋_GB2312" w:hAnsi="仿宋" w:eastAsia="仿宋_GB2312"/>
          <w:sz w:val="28"/>
          <w:szCs w:val="28"/>
        </w:rPr>
        <w:t>样品获取方式</w:t>
      </w:r>
    </w:p>
    <w:p>
      <w:pPr>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监督抽查所需的样品要在受检单位以购买方式获取。</w:t>
      </w:r>
    </w:p>
    <w:p>
      <w:pPr>
        <w:spacing w:before="100" w:beforeAutospacing="1" w:after="100" w:afterAutospacing="1"/>
        <w:contextualSpacing/>
        <w:jc w:val="left"/>
        <w:rPr>
          <w:rFonts w:ascii="仿宋_GB2312" w:hAnsi="宋体" w:eastAsia="仿宋_GB2312"/>
          <w:sz w:val="28"/>
          <w:szCs w:val="28"/>
        </w:rPr>
      </w:pPr>
      <w:r>
        <w:rPr>
          <w:rFonts w:hint="eastAsia" w:ascii="仿宋_GB2312" w:hAnsi="宋体" w:eastAsia="仿宋_GB2312"/>
          <w:sz w:val="28"/>
          <w:szCs w:val="28"/>
        </w:rPr>
        <w:t>5.6抽样注意事项</w:t>
      </w:r>
    </w:p>
    <w:p>
      <w:pPr>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 xml:space="preserve">抽样时，抽样人员应当认真核实营业执照等被抽查企业的相关信息，确认企业不存在不得抽样的情形。遇有下列情况之一且能提供有效证明的，不得抽样： </w:t>
      </w:r>
    </w:p>
    <w:p>
      <w:pPr>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（1）被抽查企业无监督抽查通知书或者相关文件复印件所列产品的；</w:t>
      </w:r>
    </w:p>
    <w:p>
      <w:pPr>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（2）有充分证据证明拟抽查的产品是不用于销售的；</w:t>
      </w:r>
    </w:p>
    <w:p>
      <w:pPr>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（3）产品不涉及强制性标准要求，仅按双方约定的技术要求加工生产，且未执行任何标准的；</w:t>
      </w:r>
    </w:p>
    <w:p>
      <w:pPr>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（4）有充分证据证明拟抽查的产品为企业用于出口，并且出口合同对产品质量另有规定的；</w:t>
      </w:r>
    </w:p>
    <w:p>
      <w:pPr>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（5）产品或者标签、包装、说明书标有“试制”、“处理”或者“样品”等字样的；</w:t>
      </w:r>
    </w:p>
    <w:p>
      <w:pPr>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（6）企业提供上级市场监管部门6个月内该种产品的监督抽查抽样单或者合格检验报告的。</w:t>
      </w:r>
    </w:p>
    <w:p>
      <w:pPr>
        <w:spacing w:before="100" w:beforeAutospacing="1" w:after="100" w:afterAutospacing="1"/>
        <w:contextualSpacing/>
        <w:jc w:val="left"/>
        <w:rPr>
          <w:rFonts w:ascii="黑体" w:hAnsi="黑体" w:eastAsia="黑体"/>
          <w:sz w:val="28"/>
          <w:szCs w:val="28"/>
        </w:rPr>
      </w:pPr>
      <w:r>
        <w:rPr>
          <w:rFonts w:hint="eastAsia" w:ascii="黑体" w:hAnsi="黑体" w:eastAsia="黑体"/>
          <w:sz w:val="28"/>
          <w:szCs w:val="28"/>
        </w:rPr>
        <w:t>6 检验要求</w:t>
      </w:r>
    </w:p>
    <w:p>
      <w:pPr>
        <w:spacing w:before="100" w:beforeAutospacing="1" w:after="100" w:afterAutospacing="1"/>
        <w:contextualSpacing/>
        <w:jc w:val="left"/>
        <w:rPr>
          <w:rFonts w:ascii="仿宋_GB2312" w:hAnsi="宋体" w:eastAsia="仿宋_GB2312"/>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left"/>
        <w:rPr>
          <w:rFonts w:ascii="仿宋_GB2312" w:hAnsi="宋体" w:eastAsia="仿宋_GB2312"/>
          <w:sz w:val="28"/>
          <w:szCs w:val="28"/>
        </w:rPr>
      </w:pPr>
      <w:r>
        <w:rPr>
          <w:rFonts w:hint="eastAsia" w:ascii="仿宋_GB2312" w:hAnsi="宋体" w:eastAsia="仿宋_GB2312"/>
          <w:sz w:val="28"/>
          <w:szCs w:val="28"/>
        </w:rPr>
        <w:t xml:space="preserve">    检验项目见表2</w:t>
      </w:r>
    </w:p>
    <w:p>
      <w:pPr>
        <w:spacing w:before="100" w:beforeAutospacing="1" w:after="100" w:afterAutospacing="1"/>
        <w:contextualSpacing/>
        <w:jc w:val="center"/>
        <w:rPr>
          <w:rFonts w:ascii="仿宋_GB2312" w:hAnsi="宋体" w:eastAsia="仿宋_GB2312"/>
          <w:b/>
          <w:sz w:val="28"/>
          <w:szCs w:val="28"/>
        </w:rPr>
      </w:pPr>
      <w:r>
        <w:rPr>
          <w:rFonts w:hint="eastAsia" w:ascii="仿宋_GB2312" w:hAnsi="宋体" w:eastAsia="仿宋_GB2312"/>
          <w:b/>
          <w:sz w:val="28"/>
          <w:szCs w:val="28"/>
        </w:rPr>
        <w:t>表2  消防应急灯具产品检验项目</w:t>
      </w:r>
    </w:p>
    <w:tbl>
      <w:tblPr>
        <w:tblStyle w:val="4"/>
        <w:tblW w:w="8290" w:type="dxa"/>
        <w:tblInd w:w="1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4578"/>
        <w:gridCol w:w="2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35" w:type="dxa"/>
            <w:vAlign w:val="center"/>
          </w:tcPr>
          <w:p>
            <w:pPr>
              <w:adjustRightInd w:val="0"/>
              <w:snapToGrid w:val="0"/>
              <w:jc w:val="center"/>
              <w:rPr>
                <w:rFonts w:ascii="仿宋_GB2312" w:hAnsi="仿宋_GB2312" w:eastAsia="仿宋_GB2312" w:cs="仿宋_GB2312"/>
                <w:b/>
                <w:sz w:val="28"/>
                <w:szCs w:val="28"/>
              </w:rPr>
            </w:pPr>
            <w:r>
              <w:rPr>
                <w:rFonts w:hint="eastAsia" w:ascii="仿宋_GB2312" w:hAnsi="仿宋_GB2312" w:eastAsia="仿宋_GB2312" w:cs="仿宋_GB2312"/>
                <w:b/>
                <w:sz w:val="28"/>
                <w:szCs w:val="28"/>
              </w:rPr>
              <w:t>序号</w:t>
            </w:r>
          </w:p>
        </w:tc>
        <w:tc>
          <w:tcPr>
            <w:tcW w:w="4515" w:type="dxa"/>
            <w:vAlign w:val="center"/>
          </w:tcPr>
          <w:p>
            <w:pPr>
              <w:adjustRightInd w:val="0"/>
              <w:snapToGrid w:val="0"/>
              <w:jc w:val="center"/>
              <w:rPr>
                <w:rFonts w:ascii="仿宋_GB2312" w:hAnsi="仿宋_GB2312" w:eastAsia="仿宋_GB2312" w:cs="仿宋_GB2312"/>
                <w:b/>
                <w:sz w:val="28"/>
                <w:szCs w:val="28"/>
              </w:rPr>
            </w:pPr>
            <w:r>
              <w:rPr>
                <w:rFonts w:hint="eastAsia" w:ascii="仿宋_GB2312" w:hAnsi="仿宋_GB2312" w:eastAsia="仿宋_GB2312" w:cs="仿宋_GB2312"/>
                <w:b/>
                <w:sz w:val="28"/>
                <w:szCs w:val="28"/>
              </w:rPr>
              <w:t>检验项目</w:t>
            </w:r>
          </w:p>
        </w:tc>
        <w:tc>
          <w:tcPr>
            <w:tcW w:w="2626" w:type="dxa"/>
            <w:vAlign w:val="center"/>
          </w:tcPr>
          <w:p>
            <w:pPr>
              <w:adjustRightInd w:val="0"/>
              <w:snapToGrid w:val="0"/>
              <w:jc w:val="center"/>
              <w:rPr>
                <w:rFonts w:ascii="仿宋_GB2312" w:hAnsi="仿宋_GB2312" w:eastAsia="仿宋_GB2312" w:cs="仿宋_GB2312"/>
                <w:b/>
                <w:sz w:val="28"/>
                <w:szCs w:val="28"/>
              </w:rPr>
            </w:pPr>
            <w:r>
              <w:rPr>
                <w:rFonts w:hint="eastAsia" w:ascii="仿宋_GB2312" w:hAnsi="仿宋_GB2312" w:eastAsia="仿宋_GB2312" w:cs="仿宋_GB2312"/>
                <w:b/>
                <w:sz w:val="28"/>
                <w:szCs w:val="2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35" w:type="dxa"/>
            <w:vAlign w:val="center"/>
          </w:tcPr>
          <w:p>
            <w:pPr>
              <w:jc w:val="center"/>
              <w:rPr>
                <w:rFonts w:ascii="仿宋_GB2312" w:hAnsi="仿宋_GB2312" w:eastAsia="仿宋_GB2312" w:cs="仿宋_GB2312"/>
                <w:sz w:val="28"/>
                <w:szCs w:val="28"/>
              </w:rPr>
            </w:pPr>
            <w:r>
              <w:rPr>
                <w:rFonts w:ascii="仿宋_GB2312" w:hAnsi="仿宋_GB2312" w:eastAsia="仿宋_GB2312" w:cs="仿宋_GB2312"/>
                <w:sz w:val="28"/>
                <w:szCs w:val="28"/>
              </w:rPr>
              <w:t>1</w:t>
            </w:r>
          </w:p>
        </w:tc>
        <w:tc>
          <w:tcPr>
            <w:tcW w:w="4515" w:type="dxa"/>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基本功能试验</w:t>
            </w:r>
          </w:p>
        </w:tc>
        <w:tc>
          <w:tcPr>
            <w:tcW w:w="2626" w:type="dxa"/>
            <w:vAlign w:val="center"/>
          </w:tcPr>
          <w:p>
            <w:pPr>
              <w:jc w:val="center"/>
              <w:rPr>
                <w:rFonts w:ascii="仿宋_GB2312" w:hAnsi="仿宋_GB2312" w:eastAsia="仿宋_GB2312" w:cs="仿宋_GB2312"/>
                <w:sz w:val="28"/>
                <w:szCs w:val="28"/>
              </w:rPr>
            </w:pPr>
            <w:r>
              <w:rPr>
                <w:rFonts w:ascii="仿宋_GB2312" w:hAnsi="仿宋_GB2312" w:eastAsia="仿宋_GB2312" w:cs="仿宋_GB2312"/>
                <w:sz w:val="28"/>
                <w:szCs w:val="28"/>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35" w:type="dxa"/>
            <w:vAlign w:val="center"/>
          </w:tcPr>
          <w:p>
            <w:pPr>
              <w:jc w:val="center"/>
              <w:rPr>
                <w:rFonts w:ascii="仿宋_GB2312" w:hAnsi="仿宋_GB2312" w:eastAsia="仿宋_GB2312" w:cs="仿宋_GB2312"/>
                <w:sz w:val="28"/>
                <w:szCs w:val="28"/>
              </w:rPr>
            </w:pPr>
            <w:r>
              <w:rPr>
                <w:rFonts w:ascii="仿宋_GB2312" w:hAnsi="仿宋_GB2312" w:eastAsia="仿宋_GB2312" w:cs="仿宋_GB2312"/>
                <w:sz w:val="28"/>
                <w:szCs w:val="28"/>
              </w:rPr>
              <w:t>2</w:t>
            </w:r>
          </w:p>
        </w:tc>
        <w:tc>
          <w:tcPr>
            <w:tcW w:w="4515" w:type="dxa"/>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电压波动性能</w:t>
            </w:r>
          </w:p>
        </w:tc>
        <w:tc>
          <w:tcPr>
            <w:tcW w:w="2626" w:type="dxa"/>
            <w:vAlign w:val="center"/>
          </w:tcPr>
          <w:p>
            <w:pPr>
              <w:jc w:val="center"/>
              <w:rPr>
                <w:rFonts w:ascii="仿宋_GB2312" w:hAnsi="仿宋_GB2312" w:eastAsia="仿宋_GB2312" w:cs="仿宋_GB2312"/>
                <w:sz w:val="28"/>
                <w:szCs w:val="28"/>
              </w:rPr>
            </w:pPr>
            <w:r>
              <w:rPr>
                <w:rFonts w:ascii="仿宋_GB2312" w:hAnsi="仿宋_GB2312" w:eastAsia="仿宋_GB2312" w:cs="仿宋_GB2312"/>
                <w:sz w:val="28"/>
                <w:szCs w:val="28"/>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35" w:type="dxa"/>
            <w:vAlign w:val="center"/>
          </w:tcPr>
          <w:p>
            <w:pPr>
              <w:jc w:val="center"/>
              <w:rPr>
                <w:rFonts w:ascii="仿宋_GB2312" w:hAnsi="仿宋_GB2312" w:eastAsia="仿宋_GB2312" w:cs="仿宋_GB2312"/>
                <w:sz w:val="28"/>
                <w:szCs w:val="28"/>
              </w:rPr>
            </w:pPr>
            <w:r>
              <w:rPr>
                <w:rFonts w:ascii="仿宋_GB2312" w:hAnsi="仿宋_GB2312" w:eastAsia="仿宋_GB2312" w:cs="仿宋_GB2312"/>
                <w:sz w:val="28"/>
                <w:szCs w:val="28"/>
              </w:rPr>
              <w:t>3</w:t>
            </w:r>
          </w:p>
        </w:tc>
        <w:tc>
          <w:tcPr>
            <w:tcW w:w="4515" w:type="dxa"/>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转换电压</w:t>
            </w:r>
          </w:p>
        </w:tc>
        <w:tc>
          <w:tcPr>
            <w:tcW w:w="2626" w:type="dxa"/>
            <w:vAlign w:val="center"/>
          </w:tcPr>
          <w:p>
            <w:pPr>
              <w:jc w:val="center"/>
              <w:rPr>
                <w:rFonts w:ascii="仿宋_GB2312" w:hAnsi="仿宋_GB2312" w:eastAsia="仿宋_GB2312" w:cs="仿宋_GB2312"/>
                <w:sz w:val="28"/>
                <w:szCs w:val="28"/>
              </w:rPr>
            </w:pPr>
            <w:r>
              <w:rPr>
                <w:rFonts w:ascii="仿宋_GB2312" w:hAnsi="仿宋_GB2312" w:eastAsia="仿宋_GB2312" w:cs="仿宋_GB2312"/>
                <w:sz w:val="28"/>
                <w:szCs w:val="28"/>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35" w:type="dxa"/>
            <w:vAlign w:val="center"/>
          </w:tcPr>
          <w:p>
            <w:pPr>
              <w:jc w:val="center"/>
              <w:rPr>
                <w:rFonts w:ascii="仿宋_GB2312" w:hAnsi="仿宋_GB2312" w:eastAsia="仿宋_GB2312" w:cs="仿宋_GB2312"/>
                <w:sz w:val="28"/>
                <w:szCs w:val="28"/>
              </w:rPr>
            </w:pPr>
            <w:r>
              <w:rPr>
                <w:rFonts w:ascii="仿宋_GB2312" w:hAnsi="仿宋_GB2312" w:eastAsia="仿宋_GB2312" w:cs="仿宋_GB2312"/>
                <w:sz w:val="28"/>
                <w:szCs w:val="28"/>
              </w:rPr>
              <w:t>4</w:t>
            </w:r>
          </w:p>
        </w:tc>
        <w:tc>
          <w:tcPr>
            <w:tcW w:w="4515"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重复转换</w:t>
            </w:r>
          </w:p>
        </w:tc>
        <w:tc>
          <w:tcPr>
            <w:tcW w:w="2626" w:type="dxa"/>
            <w:vAlign w:val="center"/>
          </w:tcPr>
          <w:p>
            <w:pPr>
              <w:jc w:val="center"/>
              <w:rPr>
                <w:rFonts w:ascii="仿宋_GB2312" w:hAnsi="仿宋_GB2312" w:eastAsia="仿宋_GB2312" w:cs="仿宋_GB2312"/>
                <w:sz w:val="28"/>
                <w:szCs w:val="28"/>
              </w:rPr>
            </w:pPr>
            <w:r>
              <w:rPr>
                <w:rFonts w:ascii="仿宋_GB2312" w:hAnsi="仿宋_GB2312" w:eastAsia="仿宋_GB2312" w:cs="仿宋_GB2312"/>
                <w:sz w:val="28"/>
                <w:szCs w:val="28"/>
              </w:rPr>
              <w:t>GB 17945-2010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35"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5</w:t>
            </w:r>
          </w:p>
        </w:tc>
        <w:tc>
          <w:tcPr>
            <w:tcW w:w="4515"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color w:val="000000" w:themeColor="text1"/>
                <w:sz w:val="28"/>
                <w:szCs w:val="28"/>
              </w:rPr>
              <w:t>充、放电耐久性能</w:t>
            </w:r>
          </w:p>
        </w:tc>
        <w:tc>
          <w:tcPr>
            <w:tcW w:w="2626" w:type="dxa"/>
            <w:vAlign w:val="center"/>
          </w:tcPr>
          <w:p>
            <w:pPr>
              <w:jc w:val="center"/>
              <w:rPr>
                <w:rFonts w:ascii="仿宋_GB2312" w:hAnsi="仿宋_GB2312" w:eastAsia="仿宋_GB2312" w:cs="仿宋_GB2312"/>
                <w:sz w:val="28"/>
                <w:szCs w:val="28"/>
              </w:rPr>
            </w:pPr>
            <w:r>
              <w:rPr>
                <w:rFonts w:ascii="仿宋_GB2312" w:hAnsi="仿宋_GB2312" w:eastAsia="仿宋_GB2312" w:cs="仿宋_GB2312"/>
                <w:sz w:val="28"/>
                <w:szCs w:val="28"/>
              </w:rPr>
              <w:t>GB 17945-2010</w:t>
            </w:r>
          </w:p>
        </w:tc>
      </w:tr>
    </w:tbl>
    <w:p>
      <w:pPr>
        <w:spacing w:before="100" w:beforeAutospacing="1" w:after="100" w:afterAutospacing="1"/>
        <w:contextualSpacing/>
        <w:jc w:val="left"/>
        <w:rPr>
          <w:rFonts w:ascii="仿宋_GB2312" w:hAnsi="宋体" w:eastAsia="仿宋_GB2312"/>
          <w:sz w:val="28"/>
          <w:szCs w:val="28"/>
        </w:rPr>
      </w:pPr>
      <w:r>
        <w:rPr>
          <w:rFonts w:hint="eastAsia" w:ascii="仿宋_GB2312" w:hAnsi="宋体" w:eastAsia="仿宋_GB2312"/>
          <w:sz w:val="28"/>
          <w:szCs w:val="28"/>
        </w:rPr>
        <w:t>6.2 检验应注意的问题</w:t>
      </w:r>
    </w:p>
    <w:p>
      <w:pPr>
        <w:spacing w:before="100" w:beforeAutospacing="1" w:after="100" w:afterAutospacing="1"/>
        <w:ind w:firstLine="560" w:firstLineChars="200"/>
        <w:contextualSpacing/>
        <w:jc w:val="left"/>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spacing w:before="100" w:beforeAutospacing="1" w:after="100" w:afterAutospacing="1"/>
        <w:ind w:firstLine="560" w:firstLineChars="200"/>
        <w:contextualSpacing/>
        <w:jc w:val="left"/>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spacing w:before="100" w:beforeAutospacing="1" w:after="100" w:afterAutospacing="1"/>
        <w:ind w:firstLine="560" w:firstLineChars="200"/>
        <w:contextualSpacing/>
        <w:jc w:val="left"/>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spacing w:before="100" w:beforeAutospacing="1" w:after="100" w:afterAutospacing="1"/>
        <w:ind w:firstLine="560" w:firstLineChars="200"/>
        <w:contextualSpacing/>
        <w:jc w:val="left"/>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spacing w:before="100" w:beforeAutospacing="1" w:after="100" w:afterAutospacing="1"/>
        <w:contextualSpacing/>
        <w:jc w:val="left"/>
        <w:rPr>
          <w:rFonts w:ascii="黑体" w:hAnsi="黑体" w:eastAsia="黑体"/>
          <w:sz w:val="28"/>
          <w:szCs w:val="28"/>
        </w:rPr>
      </w:pPr>
      <w:r>
        <w:rPr>
          <w:rFonts w:hint="eastAsia" w:ascii="黑体" w:hAnsi="黑体" w:eastAsia="黑体"/>
          <w:sz w:val="28"/>
          <w:szCs w:val="28"/>
        </w:rPr>
        <w:t>7 判定原则</w:t>
      </w:r>
    </w:p>
    <w:p>
      <w:pPr>
        <w:spacing w:line="360" w:lineRule="auto"/>
        <w:ind w:firstLine="560" w:firstLineChars="200"/>
        <w:rPr>
          <w:rFonts w:ascii="仿宋_GB2312" w:hAnsi="仿宋"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spacing w:before="100" w:beforeAutospacing="1" w:after="100" w:afterAutospacing="1"/>
        <w:contextualSpacing/>
        <w:jc w:val="left"/>
        <w:rPr>
          <w:rFonts w:ascii="黑体" w:hAnsi="黑体" w:eastAsia="黑体"/>
          <w:sz w:val="28"/>
          <w:szCs w:val="28"/>
        </w:rPr>
      </w:pPr>
      <w:r>
        <w:rPr>
          <w:rFonts w:hint="eastAsia" w:ascii="黑体" w:hAnsi="黑体" w:eastAsia="黑体"/>
          <w:sz w:val="28"/>
          <w:szCs w:val="28"/>
        </w:rPr>
        <w:t>8 异议处理</w:t>
      </w:r>
    </w:p>
    <w:p>
      <w:pPr>
        <w:spacing w:before="100" w:beforeAutospacing="1" w:after="100" w:afterAutospacing="1"/>
        <w:ind w:firstLine="560" w:firstLineChars="200"/>
        <w:contextualSpacing/>
        <w:jc w:val="left"/>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spacing w:before="100" w:beforeAutospacing="1" w:after="100" w:afterAutospacing="1"/>
        <w:contextualSpacing/>
        <w:jc w:val="left"/>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spacing w:before="100" w:beforeAutospacing="1" w:after="100" w:afterAutospacing="1"/>
        <w:contextualSpacing/>
        <w:jc w:val="left"/>
        <w:rPr>
          <w:rFonts w:ascii="仿宋_GB2312" w:hAnsi="宋体" w:eastAsia="仿宋_GB2312"/>
          <w:color w:val="FF0000"/>
          <w:sz w:val="28"/>
          <w:szCs w:val="28"/>
        </w:rPr>
      </w:pPr>
      <w:r>
        <w:rPr>
          <w:rFonts w:hint="eastAsia" w:ascii="仿宋_GB2312" w:hAnsi="宋体" w:eastAsia="仿宋_GB2312"/>
          <w:sz w:val="28"/>
          <w:szCs w:val="28"/>
        </w:rPr>
        <w:t>8.2 对需要复检并具备检验条件的，处理企业异议的</w:t>
      </w:r>
      <w:r>
        <w:rPr>
          <w:rFonts w:hint="eastAsia" w:ascii="仿宋_GB2312" w:eastAsia="仿宋_GB2312"/>
          <w:sz w:val="28"/>
          <w:szCs w:val="28"/>
        </w:rPr>
        <w:t>市场监督</w:t>
      </w:r>
      <w:r>
        <w:rPr>
          <w:rFonts w:hint="eastAsia" w:ascii="仿宋_GB2312" w:hAnsi="宋体" w:eastAsia="仿宋_GB2312"/>
          <w:sz w:val="28"/>
          <w:szCs w:val="28"/>
        </w:rPr>
        <w:t>部门或者指定检验机构应当按原监督抽查</w:t>
      </w:r>
      <w:r>
        <w:rPr>
          <w:rFonts w:hint="eastAsia" w:ascii="仿宋_GB2312" w:hAnsi="宋体" w:eastAsia="仿宋_GB2312"/>
          <w:sz w:val="28"/>
          <w:szCs w:val="28"/>
          <w:lang w:eastAsia="zh-CN"/>
        </w:rPr>
        <w:t>实施</w:t>
      </w:r>
      <w:bookmarkStart w:id="0" w:name="_GoBack"/>
      <w:bookmarkEnd w:id="0"/>
      <w:r>
        <w:rPr>
          <w:rFonts w:hint="eastAsia" w:ascii="仿宋_GB2312" w:hAnsi="宋体" w:eastAsia="仿宋_GB2312"/>
          <w:sz w:val="28"/>
          <w:szCs w:val="28"/>
        </w:rPr>
        <w:t>细则对留存的样品或抽取的备用样品组织复检，</w:t>
      </w:r>
      <w:r>
        <w:rPr>
          <w:rFonts w:hint="eastAsia" w:ascii="仿宋_GB2312" w:eastAsia="仿宋_GB2312"/>
          <w:sz w:val="28"/>
          <w:szCs w:val="28"/>
        </w:rPr>
        <w:t>复检项目如有仲裁法需用仲裁法进行复检，</w:t>
      </w:r>
      <w:r>
        <w:rPr>
          <w:rFonts w:hint="eastAsia" w:ascii="仿宋_GB2312" w:hAnsi="宋体" w:eastAsia="仿宋_GB2312"/>
          <w:sz w:val="28"/>
          <w:szCs w:val="28"/>
        </w:rPr>
        <w:t>并出具检验报告。复检结论为最终结论。</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Sim Sun">
    <w:altName w:val="宋体"/>
    <w:panose1 w:val="00000000000000000000"/>
    <w:charset w:val="86"/>
    <w:family w:val="swiss"/>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UzMGUwZjQzNmU5NGU3YzMwMmYxYWYyNzllYWRiZWQifQ=="/>
  </w:docVars>
  <w:rsids>
    <w:rsidRoot w:val="00ED17A4"/>
    <w:rsid w:val="000B3688"/>
    <w:rsid w:val="00137A14"/>
    <w:rsid w:val="001F0471"/>
    <w:rsid w:val="0023054C"/>
    <w:rsid w:val="002D5C82"/>
    <w:rsid w:val="00306B86"/>
    <w:rsid w:val="00354872"/>
    <w:rsid w:val="003A0A4F"/>
    <w:rsid w:val="003D5C3F"/>
    <w:rsid w:val="004037DF"/>
    <w:rsid w:val="00473F47"/>
    <w:rsid w:val="004A57D4"/>
    <w:rsid w:val="004A6B42"/>
    <w:rsid w:val="004B2036"/>
    <w:rsid w:val="004F3E65"/>
    <w:rsid w:val="00512565"/>
    <w:rsid w:val="00541242"/>
    <w:rsid w:val="005A5903"/>
    <w:rsid w:val="005C0DA4"/>
    <w:rsid w:val="005C5FF2"/>
    <w:rsid w:val="005D7406"/>
    <w:rsid w:val="006252FC"/>
    <w:rsid w:val="00630600"/>
    <w:rsid w:val="00656B06"/>
    <w:rsid w:val="00673958"/>
    <w:rsid w:val="006A6077"/>
    <w:rsid w:val="006C5591"/>
    <w:rsid w:val="007D10B7"/>
    <w:rsid w:val="00800354"/>
    <w:rsid w:val="00885CDB"/>
    <w:rsid w:val="008D61A5"/>
    <w:rsid w:val="008F7275"/>
    <w:rsid w:val="00925A70"/>
    <w:rsid w:val="00946FB2"/>
    <w:rsid w:val="009624F2"/>
    <w:rsid w:val="00A0137D"/>
    <w:rsid w:val="00B76969"/>
    <w:rsid w:val="00B85F31"/>
    <w:rsid w:val="00B90EF6"/>
    <w:rsid w:val="00BA0E25"/>
    <w:rsid w:val="00BA6A58"/>
    <w:rsid w:val="00C75839"/>
    <w:rsid w:val="00CC3447"/>
    <w:rsid w:val="00DA76AE"/>
    <w:rsid w:val="00E25E31"/>
    <w:rsid w:val="00EB0B2B"/>
    <w:rsid w:val="00ED17A4"/>
    <w:rsid w:val="00EF30B8"/>
    <w:rsid w:val="00F9294E"/>
    <w:rsid w:val="00FA172B"/>
    <w:rsid w:val="00FA37BE"/>
    <w:rsid w:val="00FF4973"/>
    <w:rsid w:val="2492026E"/>
    <w:rsid w:val="3F6F1A65"/>
    <w:rsid w:val="703FD654"/>
    <w:rsid w:val="DEBD81D0"/>
    <w:rsid w:val="EFD7D2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rFonts w:ascii="Calibri" w:hAnsi="Calibri" w:eastAsia="宋体" w:cs="Times New Roman"/>
      <w:sz w:val="18"/>
      <w:szCs w:val="18"/>
    </w:rPr>
  </w:style>
  <w:style w:type="character" w:customStyle="1" w:styleId="8">
    <w:name w:val="页脚 Char"/>
    <w:basedOn w:val="6"/>
    <w:link w:val="2"/>
    <w:qFormat/>
    <w:uiPriority w:val="99"/>
    <w:rPr>
      <w:rFonts w:ascii="Calibri" w:hAnsi="Calibri"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5</Pages>
  <Words>335</Words>
  <Characters>1913</Characters>
  <Lines>15</Lines>
  <Paragraphs>4</Paragraphs>
  <TotalTime>33</TotalTime>
  <ScaleCrop>false</ScaleCrop>
  <LinksUpToDate>false</LinksUpToDate>
  <CharactersWithSpaces>2244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2021-06-05T02:32:00Z</dcterms:created>
  <dc:creator>侯烨</dc:creator>
  <cp:lastModifiedBy>冷峻</cp:lastModifiedBy>
  <cp:lastPrinted>2021-06-05T02:15:00Z</cp:lastPrinted>
  <dcterms:modified xsi:type="dcterms:W3CDTF">2023-07-06T07:22:26Z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53A3B54831994949B1FA563DF60AD033_12</vt:lpwstr>
  </property>
</Properties>
</file>