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147E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0"/>
        <w:jc w:val="both"/>
        <w:outlineLvl w:val="9"/>
        <w:rPr>
          <w:rFonts w:hint="eastAsia" w:ascii="黑体" w:hAnsi="黑体" w:eastAsia="黑体" w:cs="黑体"/>
          <w:bCs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pacing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spacing w:val="0"/>
          <w:sz w:val="32"/>
          <w:szCs w:val="32"/>
          <w:lang w:val="en-US" w:eastAsia="zh-CN"/>
        </w:rPr>
        <w:t>3</w:t>
      </w:r>
    </w:p>
    <w:p w14:paraId="5126831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0"/>
        <w:jc w:val="center"/>
        <w:outlineLvl w:val="9"/>
        <w:rPr>
          <w:rFonts w:hint="eastAsia" w:ascii="方正小标宋简体" w:hAnsi="方正小标宋简体" w:eastAsia="方正小标宋简体" w:cs="方正小标宋简体"/>
          <w:bCs/>
          <w:spacing w:val="0"/>
          <w:sz w:val="36"/>
          <w:szCs w:val="36"/>
        </w:rPr>
      </w:pPr>
      <w:bookmarkStart w:id="0" w:name="_GoBack"/>
      <w:r>
        <w:rPr>
          <w:rStyle w:val="5"/>
          <w:rFonts w:hint="eastAsia" w:ascii="方正小标宋简体" w:hAnsi="方正小标宋简体" w:eastAsia="方正小标宋简体" w:cs="方正小标宋简体"/>
          <w:snapToGrid w:val="0"/>
          <w:color w:val="000000"/>
          <w:sz w:val="36"/>
          <w:szCs w:val="36"/>
          <w:u w:val="none"/>
          <w:lang w:val="en-US" w:eastAsia="zh-CN" w:bidi="ar"/>
        </w:rPr>
        <w:t>市（州）《生猪屠宰质量管理规范》实施情况摸排及工作计划表</w:t>
      </w:r>
    </w:p>
    <w:bookmarkEnd w:id="0"/>
    <w:tbl>
      <w:tblPr>
        <w:tblStyle w:val="3"/>
        <w:tblW w:w="150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942"/>
        <w:gridCol w:w="1050"/>
        <w:gridCol w:w="1243"/>
        <w:gridCol w:w="1286"/>
        <w:gridCol w:w="1886"/>
        <w:gridCol w:w="1810"/>
        <w:gridCol w:w="2006"/>
        <w:gridCol w:w="1329"/>
        <w:gridCol w:w="1362"/>
        <w:gridCol w:w="1446"/>
      </w:tblGrid>
      <w:tr w14:paraId="6A798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092" w:hRule="atLeast"/>
          <w:jc w:val="center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ED5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323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</w:t>
            </w:r>
          </w:p>
          <w:p w14:paraId="1E5111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EDD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所在地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461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设计产能（万头）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689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年屠宰量（万头）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47C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是否申请检查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（是/否，</w:t>
            </w:r>
            <w:r>
              <w:rPr>
                <w:rStyle w:val="6"/>
                <w:rFonts w:hint="default" w:ascii="Times New Roman" w:hAnsi="Times New Roman" w:cs="Times New Roman"/>
                <w:bCs w:val="0"/>
                <w:snapToGrid w:val="0"/>
                <w:color w:val="000000"/>
                <w:lang w:val="en-US" w:eastAsia="zh-CN" w:bidi="ar"/>
              </w:rPr>
              <w:t xml:space="preserve">   </w:t>
            </w:r>
            <w:r>
              <w:rPr>
                <w:rStyle w:val="7"/>
                <w:rFonts w:hint="default" w:ascii="Times New Roman" w:hAnsi="Times New Roman" w:cs="Times New Roman"/>
                <w:bCs w:val="0"/>
                <w:snapToGrid w:val="0"/>
                <w:color w:val="000000"/>
                <w:lang w:val="en-US" w:eastAsia="zh-CN" w:bidi="ar"/>
              </w:rPr>
              <w:t>）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2EE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主要问题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FFF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企业拟申请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检查时间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ACD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判定类型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6AA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建议批次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F6F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D516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531" w:hRule="atLeast"/>
          <w:jc w:val="center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F10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7EA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定点屠宰证全称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FE7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XX县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34C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企业设计年生猪屠宰产能。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791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2023年全年生猪屠宰总数。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A1A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企业根据自查评估情况，确定是否申请检查。若不申请，注明企业下步计划，如到期停业、计划迁建或新建等。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DBD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根据企业自查，对比《规范》要求，简要描述在布局设计、人员管理、设施设备、制度建设等方面存在的问题。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DA1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企业预计在202X年X月前，能够完成问题整改，提交自查报告。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D52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基本符合要求；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2.通过技改能够符合要求；</w:t>
            </w:r>
          </w:p>
          <w:p w14:paraId="6C9C20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3.不符合要求且不愿意技改；4.其他类型，请说明。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A19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市级农业农村部门根据产能规模、整改难度、肉品供给等情况，综合考量确定建议该企业申报的批次。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F48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特别说明的情况。</w:t>
            </w:r>
          </w:p>
        </w:tc>
      </w:tr>
      <w:tr w14:paraId="7E5B4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6" w:hRule="atLeast"/>
          <w:jc w:val="center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50B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AE37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2E64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4208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6EC4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4A7E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D980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BFC6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E30A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40AB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24A3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A10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6" w:hRule="atLeast"/>
          <w:jc w:val="center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0AC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……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D78F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5961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AE5A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E274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ABDA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A3DF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FF27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765D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4597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D864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DE5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232" w:hRule="atLeast"/>
          <w:jc w:val="center"/>
        </w:trPr>
        <w:tc>
          <w:tcPr>
            <w:tcW w:w="150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36B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2" w:firstLineChars="200"/>
              <w:jc w:val="both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注：现场检查计划分四批次进行，第一批次（2024年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月）、第二批次（2024年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—12月）、第三批次（2025年1—6月）、第四批次（2025年7—12月），市（州）农业农村主管部门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综合考虑，大致按照20%、30%、30%、20%比例推荐、分配辖区检查企业，确保工作有序开展。</w:t>
            </w:r>
          </w:p>
        </w:tc>
      </w:tr>
    </w:tbl>
    <w:p w14:paraId="5AA80FF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0"/>
        <w:jc w:val="both"/>
        <w:outlineLvl w:val="9"/>
        <w:rPr>
          <w:rFonts w:hint="eastAsia" w:ascii="仿宋" w:hAnsi="仿宋" w:eastAsia="仿宋" w:cs="仿宋"/>
          <w:bCs/>
          <w:spacing w:val="0"/>
          <w:sz w:val="32"/>
          <w:szCs w:val="32"/>
        </w:rPr>
      </w:pPr>
    </w:p>
    <w:p w14:paraId="1FEF4A1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0"/>
        <w:jc w:val="both"/>
        <w:outlineLvl w:val="9"/>
        <w:rPr>
          <w:rFonts w:hint="eastAsia" w:ascii="仿宋" w:hAnsi="仿宋" w:eastAsia="仿宋" w:cs="仿宋"/>
          <w:bCs/>
          <w:spacing w:val="0"/>
          <w:sz w:val="32"/>
          <w:szCs w:val="32"/>
        </w:rPr>
        <w:sectPr>
          <w:pgSz w:w="16838" w:h="11906" w:orient="landscape"/>
          <w:pgMar w:top="1644" w:right="1701" w:bottom="1644" w:left="1417" w:header="170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rtlGutter w:val="0"/>
          <w:docGrid w:type="lines" w:linePitch="506" w:charSpace="0"/>
        </w:sectPr>
      </w:pPr>
    </w:p>
    <w:p w14:paraId="1FB126E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5E9D267"/>
    <w:rsid w:val="F5E9D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方正小标宋_GBK" w:hAnsi="仿宋" w:eastAsia="方正小标宋_GBK" w:cs="仿宋"/>
      <w:bCs/>
      <w:kern w:val="32"/>
      <w:sz w:val="36"/>
      <w:szCs w:val="36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qFormat/>
    <w:uiPriority w:val="0"/>
    <w:pPr>
      <w:ind w:firstLine="420"/>
      <w:textAlignment w:val="baseline"/>
    </w:pPr>
  </w:style>
  <w:style w:type="character" w:customStyle="1" w:styleId="5">
    <w:name w:val="font31"/>
    <w:basedOn w:val="4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6">
    <w:name w:val="font41"/>
    <w:basedOn w:val="4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single"/>
    </w:rPr>
  </w:style>
  <w:style w:type="character" w:customStyle="1" w:styleId="7">
    <w:name w:val="font11"/>
    <w:basedOn w:val="4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2026-06-26T17:58:00Z</dcterms:created>
  <dc:creator>dandelion</dc:creator>
  <cp:lastModifiedBy>dandelion</cp:lastModifiedBy>
  <dcterms:modified xsi:type="dcterms:W3CDTF">2026-06-26T17:58:36Z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1347255C7DC54D2E324D3E6AEB134133_41</vt:lpwstr>
  </property>
</Properties>
</file>