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46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/>
        <w:jc w:val="both"/>
        <w:outlineLvl w:val="9"/>
        <w:rPr>
          <w:rFonts w:hint="eastAsia" w:ascii="黑体" w:hAnsi="黑体" w:eastAsia="黑体" w:cs="黑体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b w:val="0"/>
          <w:bCs w:val="0"/>
          <w:snapToGrid/>
          <w:spacing w:val="0"/>
          <w:sz w:val="32"/>
          <w:szCs w:val="32"/>
        </w:rPr>
        <w:t>件</w:t>
      </w:r>
      <w:r>
        <w:rPr>
          <w:rFonts w:hint="eastAsia" w:ascii="黑体" w:hAnsi="黑体" w:eastAsia="黑体" w:cs="黑体"/>
          <w:b w:val="0"/>
          <w:bCs w:val="0"/>
          <w:snapToGrid/>
          <w:spacing w:val="0"/>
          <w:sz w:val="32"/>
          <w:szCs w:val="32"/>
          <w:lang w:val="en-US" w:eastAsia="zh-CN"/>
        </w:rPr>
        <w:t>1</w:t>
      </w:r>
    </w:p>
    <w:p w14:paraId="24079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/>
        <w:jc w:val="both"/>
        <w:outlineLvl w:val="9"/>
        <w:rPr>
          <w:rFonts w:hint="eastAsia" w:ascii="仿宋" w:hAnsi="仿宋" w:eastAsia="仿宋" w:cs="仿宋"/>
          <w:b/>
          <w:bCs/>
          <w:snapToGrid/>
          <w:spacing w:val="0"/>
          <w:sz w:val="32"/>
          <w:szCs w:val="32"/>
        </w:rPr>
      </w:pPr>
    </w:p>
    <w:p w14:paraId="65682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0"/>
          <w:sz w:val="44"/>
          <w:szCs w:val="44"/>
        </w:rPr>
        <w:t>生猪屠宰质量管理规范检查标准</w:t>
      </w:r>
    </w:p>
    <w:bookmarkEnd w:id="0"/>
    <w:p w14:paraId="4DF97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/>
        <w:jc w:val="both"/>
        <w:outlineLvl w:val="9"/>
        <w:rPr>
          <w:rFonts w:hint="eastAsia" w:ascii="仿宋" w:hAnsi="仿宋" w:eastAsia="仿宋" w:cs="仿宋"/>
          <w:snapToGrid/>
          <w:spacing w:val="0"/>
          <w:sz w:val="32"/>
          <w:szCs w:val="32"/>
        </w:rPr>
      </w:pPr>
    </w:p>
    <w:p w14:paraId="7299A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1.制定依据</w:t>
      </w:r>
    </w:p>
    <w:p w14:paraId="25945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outlineLvl w:val="9"/>
        <w:rPr>
          <w:rFonts w:hint="eastAsia" w:ascii="仿宋" w:hAns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eastAsia" w:asci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  <w:t>根据《生猪屠宰质量管理规范》等制定本标准。</w:t>
      </w:r>
    </w:p>
    <w:p w14:paraId="64BF9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2.检查项目</w:t>
      </w:r>
    </w:p>
    <w:p w14:paraId="6E484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outlineLvl w:val="9"/>
        <w:rPr>
          <w:rFonts w:hint="eastAsia" w:ascii="仿宋" w:hAns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>检查项目共160项，其中重点项目34项（条款序号后标注“*”），一般项目126项。检查项目表见附录1。项目分布（重点项/一般项）：机构与人员14项（4/10），厂房与设施设备52项（9/43），宰前管理14项（5/9），屠宰过程管理27项（6/21），检验检疫19项（5/14），产品出厂管理13项（2/11），追溯与召回6项（1/5），委托管理8项（2/6），质量监督与记录管理7项（0/7）。</w:t>
      </w:r>
    </w:p>
    <w:p w14:paraId="5BBC5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3.检查方法</w:t>
      </w:r>
    </w:p>
    <w:p w14:paraId="34338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outlineLvl w:val="9"/>
        <w:rPr>
          <w:rFonts w:hint="eastAsia" w:ascii="仿宋" w:hAns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>根据检查项目，采取查看文件、记录、图纸等资料，实地查看、现场提问等方式进行检查。</w:t>
      </w:r>
    </w:p>
    <w:p w14:paraId="4C396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4.检查结果</w:t>
      </w:r>
    </w:p>
    <w:p w14:paraId="02AD5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napToGrid/>
          <w:color w:val="auto"/>
          <w:spacing w:val="0"/>
          <w:sz w:val="32"/>
          <w:szCs w:val="32"/>
          <w:lang w:val="en-US" w:eastAsia="zh-CN" w:bidi="ar-SA"/>
        </w:rPr>
        <w:t>每项检查结果分为“N”“Y-”“Y”三档（不涉及为“/”），项目得分80分以上的，判定为符合要求，检查结果标为“Y”；项目得分60—80分的，判定为基本符合要求，检查</w:t>
      </w:r>
      <w:r>
        <w:rPr>
          <w:rFonts w:hint="eastAsia" w:ascii="仿宋" w:hAns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  <w:t>结果标为“Y-”；项目得分60分以下的，判定为不符合要求，检查结果标为“N”。汇总检查结果时，重点项目的“Y-”不折合“N”；一般项目的3个“Y-”折合为1个“N”，不足3个“Y-”的折合为1个“N”。</w:t>
      </w:r>
    </w:p>
    <w:p w14:paraId="254FD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5.检查结论</w:t>
      </w:r>
    </w:p>
    <w:p w14:paraId="59979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outlineLvl w:val="9"/>
        <w:rPr>
          <w:rFonts w:hint="eastAsia" w:ascii="仿宋" w:hAnsi="仿宋" w:eastAsia="仿宋" w:cs="仿宋"/>
          <w:snapToGrid/>
          <w:spacing w:val="0"/>
          <w:sz w:val="32"/>
          <w:szCs w:val="32"/>
        </w:rPr>
      </w:pPr>
      <w:r>
        <w:rPr>
          <w:rFonts w:hint="eastAsia" w:asci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snapToGrid/>
          <w:color w:val="000000"/>
          <w:spacing w:val="0"/>
          <w:sz w:val="32"/>
          <w:szCs w:val="32"/>
          <w:lang w:val="en-US" w:eastAsia="zh-CN" w:bidi="ar-SA"/>
        </w:rPr>
        <w:t>通过分别计算重点项目不符合项数、重点项目基本符合项数和一般项目不符合项数作出最终检查结论。</w:t>
      </w:r>
    </w:p>
    <w:tbl>
      <w:tblPr>
        <w:tblStyle w:val="6"/>
        <w:tblW w:w="87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808"/>
        <w:gridCol w:w="1947"/>
        <w:gridCol w:w="3201"/>
      </w:tblGrid>
      <w:tr w14:paraId="304CC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3621" w:type="dxa"/>
            <w:gridSpan w:val="2"/>
            <w:vAlign w:val="center"/>
          </w:tcPr>
          <w:p w14:paraId="299901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</w:rPr>
              <w:t>重点项目</w:t>
            </w:r>
          </w:p>
        </w:tc>
        <w:tc>
          <w:tcPr>
            <w:tcW w:w="1947" w:type="dxa"/>
            <w:vMerge w:val="restart"/>
            <w:tcBorders>
              <w:bottom w:val="nil"/>
            </w:tcBorders>
            <w:vAlign w:val="center"/>
          </w:tcPr>
          <w:p w14:paraId="37E50D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</w:rPr>
              <w:t>一般项目</w:t>
            </w:r>
          </w:p>
          <w:p w14:paraId="7946DB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不符合项数</w:t>
            </w:r>
          </w:p>
          <w:p w14:paraId="3D452D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spacing w:val="4"/>
              </w:rPr>
              <w:t>折合后总数</w:t>
            </w:r>
            <w:r>
              <w:rPr>
                <w:rFonts w:hint="eastAsia" w:ascii="Times New Roman" w:hAnsi="Times New Roman" w:cs="Times New Roman"/>
                <w:b/>
                <w:bCs/>
                <w:spacing w:val="4"/>
                <w:lang w:eastAsia="zh-CN"/>
              </w:rPr>
              <w:t>）</w:t>
            </w:r>
          </w:p>
        </w:tc>
        <w:tc>
          <w:tcPr>
            <w:tcW w:w="3201" w:type="dxa"/>
            <w:vMerge w:val="restart"/>
            <w:tcBorders>
              <w:bottom w:val="nil"/>
            </w:tcBorders>
            <w:vAlign w:val="center"/>
          </w:tcPr>
          <w:p w14:paraId="58A188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  <w:p w14:paraId="68BA7D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  <w:p w14:paraId="66DF3E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1"/>
              </w:rPr>
              <w:t>结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spacing w:val="-11"/>
              </w:rPr>
              <w:t>论</w:t>
            </w:r>
          </w:p>
        </w:tc>
      </w:tr>
      <w:tr w14:paraId="2F7B6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813" w:type="dxa"/>
            <w:vAlign w:val="center"/>
          </w:tcPr>
          <w:p w14:paraId="556F9E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</w:rPr>
              <w:t>不符合项数</w:t>
            </w:r>
          </w:p>
        </w:tc>
        <w:tc>
          <w:tcPr>
            <w:tcW w:w="1808" w:type="dxa"/>
            <w:vAlign w:val="center"/>
          </w:tcPr>
          <w:p w14:paraId="0517D88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5"/>
              </w:rPr>
              <w:t>基本符合项数</w:t>
            </w:r>
          </w:p>
        </w:tc>
        <w:tc>
          <w:tcPr>
            <w:tcW w:w="1947" w:type="dxa"/>
            <w:vMerge w:val="continue"/>
            <w:tcBorders>
              <w:top w:val="nil"/>
            </w:tcBorders>
            <w:vAlign w:val="center"/>
          </w:tcPr>
          <w:p w14:paraId="28F82A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201" w:type="dxa"/>
            <w:vMerge w:val="continue"/>
            <w:tcBorders>
              <w:top w:val="nil"/>
            </w:tcBorders>
            <w:vAlign w:val="center"/>
          </w:tcPr>
          <w:p w14:paraId="5B64AF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2314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1813" w:type="dxa"/>
            <w:vAlign w:val="center"/>
          </w:tcPr>
          <w:p w14:paraId="0D5DDC1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1808" w:type="dxa"/>
            <w:vAlign w:val="center"/>
          </w:tcPr>
          <w:p w14:paraId="02D542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东文宋体" w:hAnsi="东文宋体" w:eastAsia="东文宋体" w:cs="东文宋体"/>
                <w:spacing w:val="-10"/>
              </w:rPr>
              <w:t>≤</w:t>
            </w:r>
            <w:r>
              <w:rPr>
                <w:rFonts w:hint="default"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947" w:type="dxa"/>
            <w:vAlign w:val="center"/>
          </w:tcPr>
          <w:p w14:paraId="6BFCA7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东文宋体" w:hAnsi="东文宋体" w:eastAsia="东文宋体" w:cs="东文宋体"/>
                <w:spacing w:val="-10"/>
              </w:rPr>
              <w:t>≤</w:t>
            </w:r>
            <w:r>
              <w:rPr>
                <w:rFonts w:hint="default" w:ascii="Times New Roman" w:hAnsi="Times New Roman" w:cs="Times New Roman"/>
                <w:spacing w:val="-8"/>
              </w:rPr>
              <w:t>15</w:t>
            </w:r>
          </w:p>
        </w:tc>
        <w:tc>
          <w:tcPr>
            <w:tcW w:w="3201" w:type="dxa"/>
            <w:vAlign w:val="center"/>
          </w:tcPr>
          <w:p w14:paraId="50FEEA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firstLine="49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符合《生猪屠宰质量管理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"/>
              </w:rPr>
              <w:t>规范》要求</w:t>
            </w:r>
          </w:p>
        </w:tc>
      </w:tr>
      <w:tr w14:paraId="09C96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13" w:type="dxa"/>
            <w:vAlign w:val="center"/>
          </w:tcPr>
          <w:p w14:paraId="1290F2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东文宋体" w:hAnsi="东文宋体" w:eastAsia="东文宋体" w:cs="东文宋体"/>
                <w:spacing w:val="-12"/>
              </w:rPr>
              <w:t>≥</w:t>
            </w:r>
            <w:r>
              <w:rPr>
                <w:rFonts w:hint="default" w:ascii="Times New Roman" w:hAnsi="Times New Roman" w:cs="Times New Roman"/>
                <w:spacing w:val="-12"/>
              </w:rPr>
              <w:t>1</w:t>
            </w:r>
          </w:p>
        </w:tc>
        <w:tc>
          <w:tcPr>
            <w:tcW w:w="1808" w:type="dxa"/>
            <w:vAlign w:val="center"/>
          </w:tcPr>
          <w:p w14:paraId="4D557D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1947" w:type="dxa"/>
            <w:vAlign w:val="center"/>
          </w:tcPr>
          <w:p w14:paraId="64D5B7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3201" w:type="dxa"/>
            <w:vMerge w:val="restart"/>
            <w:tcBorders>
              <w:bottom w:val="nil"/>
            </w:tcBorders>
            <w:vAlign w:val="center"/>
          </w:tcPr>
          <w:p w14:paraId="10FF91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11"/>
              </w:rPr>
              <w:t>不符合《生猪屠宰质量管</w:t>
            </w:r>
          </w:p>
          <w:p w14:paraId="399119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理规范》要求</w:t>
            </w:r>
          </w:p>
        </w:tc>
      </w:tr>
      <w:tr w14:paraId="7204F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813" w:type="dxa"/>
            <w:vAlign w:val="center"/>
          </w:tcPr>
          <w:p w14:paraId="6C8810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1808" w:type="dxa"/>
            <w:vAlign w:val="center"/>
          </w:tcPr>
          <w:p w14:paraId="68E911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东文宋体" w:hAnsi="东文宋体" w:eastAsia="东文宋体" w:cs="东文宋体"/>
                <w:spacing w:val="-12"/>
              </w:rPr>
              <w:t>≥</w:t>
            </w:r>
            <w:r>
              <w:rPr>
                <w:rFonts w:hint="default" w:ascii="Times New Roman" w:hAnsi="Times New Roman" w:cs="Times New Roman"/>
                <w:spacing w:val="-12"/>
              </w:rPr>
              <w:t>4</w:t>
            </w:r>
          </w:p>
        </w:tc>
        <w:tc>
          <w:tcPr>
            <w:tcW w:w="1947" w:type="dxa"/>
            <w:vAlign w:val="center"/>
          </w:tcPr>
          <w:p w14:paraId="7854D8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3201" w:type="dxa"/>
            <w:vMerge w:val="continue"/>
            <w:tcBorders>
              <w:top w:val="nil"/>
              <w:bottom w:val="nil"/>
            </w:tcBorders>
            <w:vAlign w:val="center"/>
          </w:tcPr>
          <w:p w14:paraId="145E5C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5399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813" w:type="dxa"/>
            <w:vAlign w:val="center"/>
          </w:tcPr>
          <w:p w14:paraId="4F602A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1808" w:type="dxa"/>
            <w:vAlign w:val="center"/>
          </w:tcPr>
          <w:p w14:paraId="10596A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/</w:t>
            </w:r>
          </w:p>
        </w:tc>
        <w:tc>
          <w:tcPr>
            <w:tcW w:w="1947" w:type="dxa"/>
            <w:vAlign w:val="center"/>
          </w:tcPr>
          <w:p w14:paraId="70286D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pacing w:val="-8"/>
              </w:rPr>
              <w:t>≥</w:t>
            </w:r>
            <w:r>
              <w:rPr>
                <w:rFonts w:hint="default" w:ascii="Times New Roman" w:hAnsi="Times New Roman" w:cs="Times New Roman"/>
                <w:spacing w:val="-8"/>
              </w:rPr>
              <w:t>16</w:t>
            </w:r>
          </w:p>
        </w:tc>
        <w:tc>
          <w:tcPr>
            <w:tcW w:w="3201" w:type="dxa"/>
            <w:vMerge w:val="continue"/>
            <w:tcBorders>
              <w:top w:val="nil"/>
            </w:tcBorders>
            <w:vAlign w:val="center"/>
          </w:tcPr>
          <w:p w14:paraId="38421C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79E2D0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</w:pPr>
      <w:r>
        <w:rPr>
          <w:rFonts w:hint="eastAsia" w:ascii="仿宋" w:hAnsi="仿宋" w:eastAsia="仿宋" w:cs="仿宋"/>
          <w:bCs/>
          <w:snapToGrid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 w:val="0"/>
          <w:snapToGrid/>
          <w:spacing w:val="0"/>
          <w:sz w:val="32"/>
          <w:szCs w:val="32"/>
        </w:rPr>
        <w:t>6.有关要求</w:t>
      </w:r>
    </w:p>
    <w:p w14:paraId="23633B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/>
        <w:jc w:val="both"/>
        <w:outlineLvl w:val="9"/>
        <w:rPr>
          <w:rFonts w:hint="eastAsia" w:ascii="仿宋" w:hAnsi="仿宋" w:eastAsia="仿宋" w:cs="仿宋"/>
          <w:bCs/>
          <w:snapToGrid/>
          <w:sz w:val="32"/>
          <w:szCs w:val="32"/>
        </w:rPr>
      </w:pPr>
      <w:r>
        <w:rPr>
          <w:rFonts w:hint="eastAsia" w:ascii="仿宋" w:hAnsi="仿宋" w:eastAsia="仿宋" w:cs="仿宋"/>
          <w:bCs/>
          <w:snapToGrid/>
          <w:color w:val="auto"/>
          <w:sz w:val="32"/>
          <w:szCs w:val="21"/>
          <w:lang w:val="en-US" w:eastAsia="zh-CN" w:bidi="ar-SA"/>
        </w:rPr>
        <w:t xml:space="preserve">    生猪定点屠宰厂（场）应严格执行《生猪屠宰质量管理规范》要求，坚持诚实守信，禁止任何虚假、欺骗行为。如在检查中发现生猪定点屠宰厂（场）存在虚假、欺骗行为的，则不再继续进行现场检查，检查结论为“不符合《生猪屠宰质量管理规范》要求”。检查组应保留相关虚假、欺骗行为的证据。</w:t>
      </w:r>
    </w:p>
    <w:p w14:paraId="0DD894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B74C6"/>
    <w:rsid w:val="1FFB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小标宋_GBK" w:hAnsi="仿宋" w:eastAsia="方正小标宋_GBK" w:cs="仿宋"/>
      <w:bCs/>
      <w:kern w:val="32"/>
      <w:sz w:val="36"/>
      <w:szCs w:val="36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/>
      <w:textAlignment w:val="baseline"/>
    </w:p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2026-06-26T17:56:00Z</dcterms:created>
  <dc:creator>dandelion</dc:creator>
  <cp:lastModifiedBy>dandelion</cp:lastModifiedBy>
  <dcterms:modified xsi:type="dcterms:W3CDTF">2026-06-26T17:56:27Z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DCE9285B05388AFFB74C3E6AB404778B_41</vt:lpwstr>
  </property>
</Properties>
</file>