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ind w:left="0" w:leftChars="0" w:firstLine="641"/>
        <w:textAlignment w:val="auto"/>
        <w:rPr>
          <w:rFonts w:ascii="方正仿宋_GBK"/>
          <w:b w:val="0"/>
          <w:bCs w:val="0"/>
          <w:color w:val="000000"/>
          <w:szCs w:val="32"/>
        </w:rPr>
      </w:pPr>
      <w:bookmarkStart w:id="4" w:name="_GoBack"/>
      <w:bookmarkEnd w:id="4"/>
      <w:bookmarkStart w:id="0" w:name="OLE_LINK2"/>
      <w:bookmarkStart w:id="1" w:name="OLE_LINK4"/>
      <w:bookmarkStart w:id="2" w:name="_Hlk532328877"/>
    </w:p>
    <w:p>
      <w:pPr>
        <w:keepNext w:val="0"/>
        <w:keepLines w:val="0"/>
        <w:pageBreakBefore w:val="0"/>
        <w:widowControl w:val="0"/>
        <w:kinsoku/>
        <w:wordWrap/>
        <w:overflowPunct/>
        <w:topLinePunct w:val="0"/>
        <w:autoSpaceDE/>
        <w:autoSpaceDN/>
        <w:bidi w:val="0"/>
        <w:adjustRightInd/>
        <w:ind w:left="0" w:leftChars="0" w:firstLine="641"/>
        <w:textAlignment w:val="auto"/>
        <w:rPr>
          <w:rFonts w:ascii="方正仿宋_GBK"/>
          <w:b w:val="0"/>
          <w:bCs w:val="0"/>
          <w:color w:val="000000"/>
          <w:szCs w:val="32"/>
        </w:rPr>
      </w:pPr>
    </w:p>
    <w:p>
      <w:pPr>
        <w:keepNext w:val="0"/>
        <w:keepLines w:val="0"/>
        <w:pageBreakBefore w:val="0"/>
        <w:widowControl w:val="0"/>
        <w:kinsoku/>
        <w:wordWrap/>
        <w:overflowPunct/>
        <w:topLinePunct w:val="0"/>
        <w:autoSpaceDE/>
        <w:autoSpaceDN/>
        <w:bidi w:val="0"/>
        <w:adjustRightInd/>
        <w:ind w:left="0" w:leftChars="0" w:firstLine="641"/>
        <w:textAlignment w:val="auto"/>
        <w:rPr>
          <w:rFonts w:ascii="方正仿宋_GBK"/>
          <w:b w:val="0"/>
          <w:bCs w:val="0"/>
          <w:color w:val="000000"/>
          <w:szCs w:val="32"/>
        </w:rPr>
      </w:pPr>
    </w:p>
    <w:p>
      <w:pPr>
        <w:keepNext w:val="0"/>
        <w:keepLines w:val="0"/>
        <w:pageBreakBefore w:val="0"/>
        <w:widowControl w:val="0"/>
        <w:kinsoku/>
        <w:wordWrap/>
        <w:overflowPunct/>
        <w:topLinePunct w:val="0"/>
        <w:autoSpaceDE/>
        <w:autoSpaceDN/>
        <w:bidi w:val="0"/>
        <w:adjustRightInd/>
        <w:ind w:left="0" w:leftChars="0" w:firstLine="641"/>
        <w:textAlignment w:val="auto"/>
        <w:rPr>
          <w:rFonts w:ascii="方正仿宋_GBK"/>
          <w:b w:val="0"/>
          <w:bCs w:val="0"/>
          <w:color w:val="000000"/>
          <w:szCs w:val="32"/>
        </w:rPr>
      </w:pPr>
    </w:p>
    <w:p>
      <w:pPr>
        <w:keepNext w:val="0"/>
        <w:keepLines w:val="0"/>
        <w:pageBreakBefore w:val="0"/>
        <w:widowControl w:val="0"/>
        <w:kinsoku/>
        <w:wordWrap/>
        <w:overflowPunct/>
        <w:topLinePunct w:val="0"/>
        <w:autoSpaceDE/>
        <w:autoSpaceDN/>
        <w:bidi w:val="0"/>
        <w:adjustRightInd/>
        <w:ind w:left="0" w:leftChars="0" w:firstLine="641"/>
        <w:textAlignment w:val="auto"/>
        <w:rPr>
          <w:rFonts w:ascii="方正仿宋_GBK"/>
          <w:b w:val="0"/>
          <w:bCs w:val="0"/>
          <w:color w:val="000000"/>
          <w:szCs w:val="32"/>
        </w:rPr>
      </w:pPr>
    </w:p>
    <w:p>
      <w:pPr>
        <w:keepNext w:val="0"/>
        <w:keepLines w:val="0"/>
        <w:pageBreakBefore w:val="0"/>
        <w:widowControl w:val="0"/>
        <w:kinsoku/>
        <w:wordWrap/>
        <w:overflowPunct/>
        <w:topLinePunct w:val="0"/>
        <w:autoSpaceDE/>
        <w:autoSpaceDN/>
        <w:bidi w:val="0"/>
        <w:adjustRightInd/>
        <w:ind w:left="0" w:leftChars="0" w:firstLine="641"/>
        <w:textAlignment w:val="auto"/>
        <w:rPr>
          <w:rFonts w:ascii="方正仿宋_GBK"/>
          <w:b w:val="0"/>
          <w:bCs w:val="0"/>
          <w:color w:val="000000"/>
          <w:szCs w:val="32"/>
        </w:rPr>
      </w:pPr>
    </w:p>
    <w:p>
      <w:pPr>
        <w:keepNext w:val="0"/>
        <w:keepLines w:val="0"/>
        <w:pageBreakBefore w:val="0"/>
        <w:widowControl w:val="0"/>
        <w:kinsoku/>
        <w:wordWrap/>
        <w:overflowPunct/>
        <w:topLinePunct w:val="0"/>
        <w:autoSpaceDE/>
        <w:autoSpaceDN/>
        <w:bidi w:val="0"/>
        <w:adjustRightInd/>
        <w:snapToGrid w:val="0"/>
        <w:spacing w:after="173" w:afterLines="30"/>
        <w:ind w:left="0" w:leftChars="0" w:firstLine="641"/>
        <w:textAlignment w:val="auto"/>
        <w:rPr>
          <w:rFonts w:ascii="方正仿宋_GBK"/>
          <w:b w:val="0"/>
          <w:bCs w:val="0"/>
          <w:color w:val="000000"/>
          <w:szCs w:val="32"/>
        </w:rPr>
      </w:pPr>
    </w:p>
    <w:p>
      <w:pPr>
        <w:keepNext w:val="0"/>
        <w:keepLines w:val="0"/>
        <w:pageBreakBefore w:val="0"/>
        <w:widowControl w:val="0"/>
        <w:pBdr>
          <w:top w:val="none" w:color="auto" w:sz="0" w:space="1"/>
          <w:left w:val="none" w:color="auto" w:sz="0" w:space="4"/>
          <w:bottom w:val="none" w:color="FF0000" w:sz="0" w:space="1"/>
          <w:right w:val="none" w:color="auto" w:sz="0" w:space="4"/>
        </w:pBdr>
        <w:kinsoku/>
        <w:wordWrap/>
        <w:overflowPunct/>
        <w:topLinePunct w:val="0"/>
        <w:autoSpaceDE/>
        <w:autoSpaceDN/>
        <w:bidi w:val="0"/>
        <w:adjustRightInd/>
        <w:ind w:left="0" w:leftChars="0"/>
        <w:jc w:val="center"/>
        <w:textAlignment w:val="auto"/>
        <w:rPr>
          <w:rFonts w:ascii="方正仿宋_GBK"/>
          <w:b w:val="0"/>
          <w:bCs w:val="0"/>
          <w:color w:val="000000"/>
          <w:szCs w:val="32"/>
        </w:rPr>
      </w:pPr>
      <w:bookmarkStart w:id="3" w:name="OLE_LINK1"/>
      <w:r>
        <w:rPr>
          <w:rFonts w:hint="eastAsia" w:ascii="方正仿宋_GBK"/>
          <w:b w:val="0"/>
          <w:bCs w:val="0"/>
          <w:color w:val="000000"/>
          <w:szCs w:val="32"/>
        </w:rPr>
        <w:t>渝安办〔201</w:t>
      </w:r>
      <w:r>
        <w:rPr>
          <w:rFonts w:hint="eastAsia" w:ascii="方正仿宋_GBK"/>
          <w:b w:val="0"/>
          <w:bCs w:val="0"/>
          <w:color w:val="000000"/>
          <w:szCs w:val="32"/>
          <w:lang w:val="en-US" w:eastAsia="zh-CN"/>
        </w:rPr>
        <w:t>9</w:t>
      </w:r>
      <w:r>
        <w:rPr>
          <w:rFonts w:hint="eastAsia" w:ascii="方正仿宋_GBK"/>
          <w:b w:val="0"/>
          <w:bCs w:val="0"/>
          <w:color w:val="000000"/>
          <w:szCs w:val="32"/>
        </w:rPr>
        <w:t>〕</w:t>
      </w:r>
      <w:r>
        <w:rPr>
          <w:rFonts w:hint="eastAsia" w:ascii="方正仿宋_GBK"/>
          <w:b w:val="0"/>
          <w:bCs w:val="0"/>
          <w:color w:val="000000"/>
          <w:szCs w:val="32"/>
          <w:lang w:val="en-US" w:eastAsia="zh-CN"/>
        </w:rPr>
        <w:t>21</w:t>
      </w:r>
      <w:r>
        <w:rPr>
          <w:rFonts w:hint="eastAsia" w:ascii="方正仿宋_GBK"/>
          <w:b w:val="0"/>
          <w:bCs w:val="0"/>
          <w:color w:val="000000"/>
          <w:szCs w:val="32"/>
        </w:rPr>
        <w:t>号</w:t>
      </w:r>
    </w:p>
    <w:bookmarkEnd w:id="3"/>
    <w:p>
      <w:pPr>
        <w:keepNext w:val="0"/>
        <w:keepLines w:val="0"/>
        <w:pageBreakBefore w:val="0"/>
        <w:widowControl w:val="0"/>
        <w:kinsoku/>
        <w:wordWrap/>
        <w:overflowPunct/>
        <w:topLinePunct w:val="0"/>
        <w:autoSpaceDE/>
        <w:autoSpaceDN/>
        <w:bidi w:val="0"/>
        <w:adjustRightInd/>
        <w:ind w:left="0" w:leftChars="0"/>
        <w:textAlignment w:val="auto"/>
        <w:rPr>
          <w:rFonts w:hint="eastAsia" w:ascii="方正仿宋_GBK" w:hAnsi="方正仿宋_GBK" w:cs="方正仿宋_GBK"/>
          <w:b w:val="0"/>
          <w:bCs w:val="0"/>
          <w:kern w:val="0"/>
          <w:szCs w:val="32"/>
          <w:lang w:bidi="ar"/>
        </w:rPr>
      </w:pPr>
    </w:p>
    <w:p>
      <w:pPr>
        <w:keepNext w:val="0"/>
        <w:keepLines w:val="0"/>
        <w:pageBreakBefore w:val="0"/>
        <w:widowControl w:val="0"/>
        <w:kinsoku/>
        <w:wordWrap/>
        <w:overflowPunct/>
        <w:topLinePunct w:val="0"/>
        <w:autoSpaceDE/>
        <w:autoSpaceDN/>
        <w:bidi w:val="0"/>
        <w:adjustRightInd/>
        <w:ind w:left="0" w:leftChars="0"/>
        <w:textAlignment w:val="auto"/>
        <w:rPr>
          <w:rFonts w:hint="eastAsia" w:ascii="方正仿宋_GBK" w:hAnsi="方正仿宋_GBK" w:cs="方正仿宋_GBK"/>
          <w:b w:val="0"/>
          <w:bCs w:val="0"/>
          <w:kern w:val="0"/>
          <w:szCs w:val="32"/>
          <w:lang w:bidi="ar"/>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outlineLvl w:val="9"/>
        <w:rPr>
          <w:rFonts w:eastAsia="方正小标宋_GBK"/>
          <w:b w:val="0"/>
          <w:bCs w:val="0"/>
          <w:color w:val="000000"/>
          <w:sz w:val="44"/>
          <w:szCs w:val="44"/>
        </w:rPr>
      </w:pPr>
      <w:r>
        <w:rPr>
          <w:rFonts w:eastAsia="方正小标宋_GBK"/>
          <w:b w:val="0"/>
          <w:bCs w:val="0"/>
          <w:color w:val="000000"/>
          <w:sz w:val="44"/>
          <w:szCs w:val="44"/>
        </w:rPr>
        <w:t>重庆市人民政府安全生产委员会办公室</w:t>
      </w:r>
    </w:p>
    <w:p>
      <w:pPr>
        <w:snapToGrid w:val="0"/>
        <w:jc w:val="center"/>
        <w:rPr>
          <w:rFonts w:hint="eastAsia" w:ascii="方正小标宋_GBK" w:eastAsia="方正小标宋_GBK" w:cs="方正小标宋_GBK"/>
          <w:color w:val="000000"/>
          <w:sz w:val="44"/>
          <w:szCs w:val="44"/>
        </w:rPr>
      </w:pPr>
      <w:r>
        <w:rPr>
          <w:rFonts w:hint="eastAsia" w:ascii="方正小标宋_GBK" w:eastAsia="方正小标宋_GBK" w:cs="方正小标宋_GBK"/>
          <w:color w:val="000000"/>
          <w:sz w:val="44"/>
          <w:szCs w:val="44"/>
        </w:rPr>
        <w:t>关于进一步做好危险化学品重大危险源</w:t>
      </w:r>
      <w:bookmarkEnd w:id="0"/>
      <w:r>
        <w:rPr>
          <w:rFonts w:hint="eastAsia" w:ascii="方正小标宋_GBK" w:eastAsia="方正小标宋_GBK" w:cs="方正小标宋_GBK"/>
          <w:color w:val="000000"/>
          <w:sz w:val="44"/>
          <w:szCs w:val="44"/>
        </w:rPr>
        <w:t>安全</w:t>
      </w:r>
    </w:p>
    <w:p>
      <w:pPr>
        <w:snapToGrid w:val="0"/>
        <w:jc w:val="center"/>
        <w:rPr>
          <w:rFonts w:ascii="方正小标宋_GBK" w:eastAsia="方正小标宋_GBK" w:cs="方正小标宋_GBK"/>
          <w:color w:val="000000"/>
          <w:sz w:val="44"/>
          <w:szCs w:val="44"/>
        </w:rPr>
      </w:pPr>
      <w:r>
        <w:rPr>
          <w:rFonts w:hint="eastAsia" w:ascii="方正小标宋_GBK" w:eastAsia="方正小标宋_GBK" w:cs="方正小标宋_GBK"/>
          <w:color w:val="000000"/>
          <w:sz w:val="44"/>
          <w:szCs w:val="44"/>
        </w:rPr>
        <w:t>管理工作的通知</w:t>
      </w:r>
      <w:bookmarkEnd w:id="1"/>
    </w:p>
    <w:bookmarkEnd w:id="2"/>
    <w:p>
      <w:pPr>
        <w:jc w:val="center"/>
        <w:rPr>
          <w:rFonts w:ascii="方正仿宋_GBK" w:hAnsi="ˎ̥" w:cs="宋体"/>
          <w:color w:val="000000"/>
          <w:kern w:val="0"/>
          <w:szCs w:val="32"/>
        </w:rPr>
      </w:pPr>
    </w:p>
    <w:p>
      <w:pPr>
        <w:keepNext w:val="0"/>
        <w:keepLines w:val="0"/>
        <w:pageBreakBefore w:val="0"/>
        <w:widowControl w:val="0"/>
        <w:kinsoku/>
        <w:wordWrap/>
        <w:overflowPunct/>
        <w:topLinePunct w:val="0"/>
        <w:autoSpaceDE/>
        <w:autoSpaceDN/>
        <w:bidi w:val="0"/>
        <w:adjustRightInd/>
        <w:snapToGrid/>
        <w:spacing w:line="240" w:lineRule="auto"/>
        <w:ind w:right="0"/>
        <w:textAlignment w:val="auto"/>
        <w:outlineLvl w:val="9"/>
        <w:rPr>
          <w:rFonts w:ascii="方正仿宋_GBK" w:hAnsi="ˎ̥" w:cs="宋体"/>
          <w:color w:val="000000"/>
          <w:kern w:val="0"/>
          <w:szCs w:val="32"/>
        </w:rPr>
      </w:pPr>
      <w:r>
        <w:rPr>
          <w:rFonts w:hint="eastAsia" w:ascii="方正仿宋_GBK" w:hAnsi="ˎ̥" w:cs="宋体"/>
          <w:color w:val="000000"/>
          <w:kern w:val="0"/>
          <w:szCs w:val="32"/>
        </w:rPr>
        <w:t>各区县（自治县）人民政府安委会办公室，市政府安委会成员单位，有关单位：</w:t>
      </w: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textAlignment w:val="auto"/>
        <w:outlineLvl w:val="9"/>
        <w:rPr>
          <w:rFonts w:ascii="方正仿宋_GBK" w:hAnsi="方正仿宋_GBK" w:cs="方正仿宋_GBK"/>
          <w:color w:val="000000"/>
          <w:szCs w:val="32"/>
          <w:lang w:bidi="ar"/>
        </w:rPr>
      </w:pPr>
      <w:r>
        <w:rPr>
          <w:rFonts w:hint="eastAsia" w:ascii="方正仿宋_GBK" w:hAnsi="方正仿宋_GBK" w:cs="方正仿宋_GBK"/>
          <w:color w:val="000000"/>
          <w:szCs w:val="32"/>
          <w:lang w:bidi="ar"/>
        </w:rPr>
        <w:t>《危险化学品重大危险源</w:t>
      </w:r>
      <w:r>
        <w:rPr>
          <w:rFonts w:hint="eastAsia" w:ascii="方正仿宋_GBK" w:hAnsi="方正仿宋_GBK" w:cs="方正仿宋_GBK"/>
          <w:color w:val="000000"/>
          <w:szCs w:val="32"/>
        </w:rPr>
        <w:t>辨识</w:t>
      </w:r>
      <w:r>
        <w:rPr>
          <w:rFonts w:hint="eastAsia" w:ascii="方正仿宋_GBK" w:hAnsi="方正仿宋_GBK" w:cs="方正仿宋_GBK"/>
          <w:color w:val="000000"/>
          <w:szCs w:val="32"/>
          <w:lang w:bidi="ar"/>
        </w:rPr>
        <w:t>》（GB 18218-2018）标准已于2019年3月1日起实施。该标准对危险化学品重大危险源（以下简称重大危险源）原有辨识标准中单元划分、流程、分级指标、计算方法和校正系数有较大改动。为防止和减少危险化学品事故的发生，确保重大危险源安全监管工作的连续性，现就有关事项通知如下：</w:t>
      </w: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textAlignment w:val="auto"/>
        <w:outlineLvl w:val="9"/>
        <w:rPr>
          <w:rFonts w:ascii="方正黑体_GBK" w:eastAsia="方正黑体_GBK"/>
          <w:szCs w:val="32"/>
        </w:rPr>
      </w:pPr>
      <w:r>
        <w:rPr>
          <w:rFonts w:hint="eastAsia" w:ascii="方正黑体_GBK" w:eastAsia="方正黑体_GBK"/>
          <w:szCs w:val="32"/>
        </w:rPr>
        <w:t>一、高度重视重大危险源安全管理工作</w:t>
      </w: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textAlignment w:val="auto"/>
        <w:outlineLvl w:val="9"/>
        <w:rPr>
          <w:rFonts w:ascii="方正仿宋_GBK"/>
          <w:color w:val="000000"/>
          <w:szCs w:val="32"/>
        </w:rPr>
      </w:pPr>
      <w:r>
        <w:rPr>
          <w:rFonts w:hint="eastAsia" w:ascii="方正仿宋_GBK"/>
          <w:color w:val="000000"/>
          <w:szCs w:val="32"/>
        </w:rPr>
        <w:t>重大危险源固有风险高、发生事故后果严重，一直是危险化学品领域安全监管的重中之重。</w:t>
      </w:r>
      <w:r>
        <w:rPr>
          <w:rFonts w:hint="eastAsia" w:ascii="方正仿宋_GBK" w:hAnsi="ˎ̥" w:cs="宋体"/>
          <w:color w:val="000000"/>
          <w:kern w:val="0"/>
          <w:szCs w:val="32"/>
        </w:rPr>
        <w:t>各区县（自治县）人民政府安委会办公室（以下简称各区县）</w:t>
      </w:r>
      <w:r>
        <w:rPr>
          <w:rFonts w:hint="eastAsia" w:ascii="方正仿宋_GBK"/>
          <w:color w:val="000000"/>
          <w:szCs w:val="32"/>
        </w:rPr>
        <w:t>要提高认识，切实履行好重大危险源属地监管责任，抓好各项工作的落实，督导辖区内危险化学品从业单位认真履行安全生产主体责任，落实《危险化学品重大危险源监督管理暂行规定》（原国家安全监管总局令第40号）中辨识、评估、登记建档、备案、核销等相关工作要求，确保安全。</w:t>
      </w: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textAlignment w:val="auto"/>
        <w:outlineLvl w:val="9"/>
        <w:rPr>
          <w:rFonts w:ascii="方正黑体_GBK" w:eastAsia="方正黑体_GBK"/>
          <w:szCs w:val="32"/>
        </w:rPr>
      </w:pPr>
      <w:r>
        <w:rPr>
          <w:rFonts w:hint="eastAsia" w:ascii="方正黑体_GBK" w:eastAsia="方正黑体_GBK"/>
          <w:szCs w:val="32"/>
        </w:rPr>
        <w:t>二、切实做好重大危险源重新辨识和备案工作</w:t>
      </w: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textAlignment w:val="auto"/>
        <w:outlineLvl w:val="9"/>
        <w:rPr>
          <w:rFonts w:ascii="方正仿宋_GBK" w:hAnsi="方正仿宋_GBK" w:cs="方正仿宋_GBK"/>
          <w:color w:val="000000"/>
          <w:szCs w:val="32"/>
        </w:rPr>
      </w:pPr>
      <w:r>
        <w:rPr>
          <w:rFonts w:hint="eastAsia" w:ascii="方正仿宋_GBK" w:hAnsi="方正仿宋_GBK" w:cs="方正仿宋_GBK"/>
          <w:color w:val="000000"/>
          <w:szCs w:val="32"/>
        </w:rPr>
        <w:t>各区县要全面部署重大危险源重新辨识和登记工作，督促负有安全生产监督管理职责的部门落实专人负责重大危险源辨识工作，推动指导辖区</w:t>
      </w:r>
      <w:r>
        <w:rPr>
          <w:rFonts w:hint="eastAsia" w:ascii="方正仿宋_GBK"/>
          <w:color w:val="000000"/>
          <w:szCs w:val="32"/>
        </w:rPr>
        <w:t>危险化学品从业单位</w:t>
      </w:r>
      <w:r>
        <w:rPr>
          <w:rFonts w:hint="eastAsia" w:ascii="方正仿宋_GBK" w:hAnsi="方正仿宋_GBK" w:cs="方正仿宋_GBK"/>
          <w:color w:val="000000"/>
          <w:szCs w:val="32"/>
        </w:rPr>
        <w:t>认真学习《</w:t>
      </w:r>
      <w:r>
        <w:rPr>
          <w:rFonts w:hint="eastAsia" w:ascii="方正仿宋_GBK" w:hAnsi="方正仿宋_GBK" w:cs="方正仿宋_GBK"/>
          <w:color w:val="000000"/>
          <w:szCs w:val="32"/>
          <w:lang w:bidi="ar"/>
        </w:rPr>
        <w:t>危险化学品</w:t>
      </w:r>
      <w:r>
        <w:rPr>
          <w:rFonts w:hint="eastAsia" w:ascii="方正仿宋_GBK" w:hAnsi="方正仿宋_GBK" w:cs="方正仿宋_GBK"/>
          <w:color w:val="000000"/>
          <w:szCs w:val="32"/>
        </w:rPr>
        <w:t>重大危险源辨识》（GB18218-2018）和《危险化学品重大危险源辨识指南》（见附件），确保普查登记相关工作井然有序。</w:t>
      </w: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textAlignment w:val="auto"/>
        <w:outlineLvl w:val="9"/>
        <w:rPr>
          <w:rFonts w:ascii="方正仿宋_GBK" w:hAnsi="方正仿宋_GBK" w:cs="方正仿宋_GBK"/>
          <w:color w:val="000000"/>
          <w:szCs w:val="32"/>
        </w:rPr>
      </w:pPr>
      <w:r>
        <w:rPr>
          <w:rFonts w:hint="eastAsia" w:ascii="方正仿宋_GBK" w:hAnsi="方正仿宋_GBK" w:cs="方正仿宋_GBK"/>
          <w:color w:val="000000"/>
          <w:szCs w:val="32"/>
        </w:rPr>
        <w:t>危险化学品从业单位要依据《</w:t>
      </w:r>
      <w:r>
        <w:rPr>
          <w:rFonts w:hint="eastAsia" w:ascii="方正仿宋_GBK" w:hAnsi="方正仿宋_GBK" w:cs="方正仿宋_GBK"/>
          <w:color w:val="000000"/>
          <w:szCs w:val="32"/>
          <w:lang w:bidi="ar"/>
        </w:rPr>
        <w:t>危险化学品</w:t>
      </w:r>
      <w:r>
        <w:rPr>
          <w:rFonts w:hint="eastAsia" w:ascii="方正仿宋_GBK" w:hAnsi="方正仿宋_GBK" w:cs="方正仿宋_GBK"/>
          <w:color w:val="000000"/>
          <w:szCs w:val="32"/>
        </w:rPr>
        <w:t>重大危险源辨识》（GB18218-2018）规定，重新辨识本单位危险化学品生产、经营、储存和使用装置、设施或场所，对重大危险源进行安全评估并确定重大危险源等级。重大危险源符合《</w:t>
      </w:r>
      <w:r>
        <w:rPr>
          <w:rFonts w:hint="eastAsia" w:ascii="方正仿宋_GBK" w:hAnsi="方正仿宋_GBK" w:cs="方正仿宋_GBK"/>
          <w:color w:val="000000"/>
          <w:szCs w:val="32"/>
          <w:lang w:bidi="ar"/>
        </w:rPr>
        <w:t>危险化学品</w:t>
      </w:r>
      <w:r>
        <w:rPr>
          <w:rFonts w:hint="eastAsia" w:ascii="方正仿宋_GBK" w:hAnsi="方正仿宋_GBK" w:cs="方正仿宋_GBK"/>
          <w:color w:val="000000"/>
          <w:szCs w:val="32"/>
        </w:rPr>
        <w:t>重大危险源监督管理暂行规定》</w:t>
      </w:r>
      <w:r>
        <w:rPr>
          <w:rFonts w:hint="eastAsia" w:ascii="方正仿宋_GBK"/>
          <w:color w:val="000000"/>
          <w:szCs w:val="32"/>
        </w:rPr>
        <w:t>（原国家安全监管总局令第40号）</w:t>
      </w:r>
      <w:r>
        <w:rPr>
          <w:rFonts w:hint="eastAsia" w:ascii="方正仿宋_GBK" w:hAnsi="方正仿宋_GBK" w:cs="方正仿宋_GBK"/>
          <w:color w:val="000000"/>
          <w:szCs w:val="32"/>
        </w:rPr>
        <w:t>第九条相关情形的，应委托有相应资质的安全评价机构，采用定量风险评价方法进行安全评估，确定个人和社会风险值。</w:t>
      </w: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textAlignment w:val="auto"/>
        <w:outlineLvl w:val="9"/>
        <w:rPr>
          <w:rFonts w:ascii="方正仿宋_GBK" w:hAnsi="方正仿宋_GBK" w:cs="方正仿宋_GBK"/>
          <w:color w:val="000000"/>
          <w:szCs w:val="32"/>
        </w:rPr>
      </w:pPr>
      <w:r>
        <w:rPr>
          <w:rFonts w:hint="eastAsia" w:ascii="方正仿宋_GBK" w:hAnsi="方正仿宋_GBK" w:cs="方正仿宋_GBK"/>
          <w:color w:val="000000"/>
          <w:szCs w:val="32"/>
        </w:rPr>
        <w:t>危险化学品从业单位要在2019年7月底前，完成重大危险源的重新辨识。经辨识确定构成重大危险源的从业单位要在8月底前，</w:t>
      </w:r>
      <w:r>
        <w:rPr>
          <w:rFonts w:hint="eastAsia" w:ascii="方正仿宋_GBK"/>
          <w:color w:val="000000"/>
          <w:szCs w:val="32"/>
        </w:rPr>
        <w:t>完成</w:t>
      </w:r>
      <w:r>
        <w:rPr>
          <w:rFonts w:hint="eastAsia" w:ascii="方正仿宋_GBK" w:hAnsi="方正仿宋_GBK" w:cs="方正仿宋_GBK"/>
          <w:color w:val="000000"/>
          <w:szCs w:val="32"/>
        </w:rPr>
        <w:t>安全评估并确定重大危险源等级，登记建档；9月10日前，按照《</w:t>
      </w:r>
      <w:r>
        <w:rPr>
          <w:rFonts w:hint="eastAsia" w:ascii="方正仿宋_GBK" w:hAnsi="方正仿宋_GBK" w:cs="方正仿宋_GBK"/>
          <w:color w:val="000000"/>
          <w:szCs w:val="32"/>
          <w:lang w:bidi="ar"/>
        </w:rPr>
        <w:t>危险化学品</w:t>
      </w:r>
      <w:r>
        <w:rPr>
          <w:rFonts w:hint="eastAsia" w:ascii="方正仿宋_GBK" w:hAnsi="方正仿宋_GBK" w:cs="方正仿宋_GBK"/>
          <w:color w:val="000000"/>
          <w:szCs w:val="32"/>
        </w:rPr>
        <w:t>重大危险源监督管理暂行规定》</w:t>
      </w:r>
      <w:r>
        <w:rPr>
          <w:rFonts w:hint="eastAsia" w:ascii="方正仿宋_GBK"/>
          <w:color w:val="000000"/>
          <w:szCs w:val="32"/>
        </w:rPr>
        <w:t>（原国家安全监管总局令第40号）要求，</w:t>
      </w:r>
      <w:r>
        <w:rPr>
          <w:rFonts w:hint="eastAsia" w:ascii="方正仿宋_GBK" w:hAnsi="方正仿宋_GBK" w:cs="方正仿宋_GBK"/>
          <w:color w:val="000000"/>
          <w:szCs w:val="32"/>
        </w:rPr>
        <w:t>向所在区县相关部门申请重大危险源备案。</w:t>
      </w: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textAlignment w:val="auto"/>
        <w:outlineLvl w:val="9"/>
        <w:rPr>
          <w:rFonts w:ascii="方正黑体_GBK" w:eastAsia="方正黑体_GBK"/>
          <w:szCs w:val="32"/>
        </w:rPr>
      </w:pPr>
      <w:r>
        <w:rPr>
          <w:rFonts w:hint="eastAsia" w:ascii="方正黑体_GBK" w:eastAsia="方正黑体_GBK"/>
          <w:szCs w:val="32"/>
        </w:rPr>
        <w:t>三、努力提升重大危险源风险信息共享水平</w:t>
      </w: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textAlignment w:val="auto"/>
        <w:outlineLvl w:val="9"/>
        <w:rPr>
          <w:rFonts w:ascii="方正仿宋_GBK" w:hAnsi="方正仿宋_GBK" w:cs="方正仿宋_GBK"/>
          <w:color w:val="000000"/>
          <w:szCs w:val="32"/>
        </w:rPr>
      </w:pPr>
      <w:r>
        <w:rPr>
          <w:rFonts w:hint="eastAsia" w:ascii="方正仿宋_GBK" w:hAnsi="方正仿宋_GBK" w:cs="方正仿宋_GBK"/>
          <w:color w:val="000000"/>
          <w:szCs w:val="32"/>
        </w:rPr>
        <w:t>各区县应按照《关于推进危险化学品安全综合治理工作的通知》（渝安委〔2017〕11号）要求，及时更新本辖区重大危险源“一源一档”，于</w:t>
      </w:r>
      <w:r>
        <w:rPr>
          <w:rFonts w:ascii="方正仿宋_GBK" w:hAnsi="方正仿宋_GBK" w:cs="方正仿宋_GBK"/>
          <w:color w:val="000000"/>
          <w:szCs w:val="32"/>
        </w:rPr>
        <w:t>9</w:t>
      </w:r>
      <w:r>
        <w:rPr>
          <w:rFonts w:hint="eastAsia" w:ascii="方正仿宋_GBK" w:hAnsi="方正仿宋_GBK" w:cs="方正仿宋_GBK"/>
          <w:color w:val="000000"/>
          <w:szCs w:val="32"/>
        </w:rPr>
        <w:t>月底前将该项工作开展情况和重大危险源统计表报市应急局。市应急局应根据新统计的重大危险源情况，更新重庆市安全生产应急平台重大危险源数据库，及时将数据推送至重庆市网上行政审批平台，进一步推进我市“对规合一”审批体制改革进程，努力提升行政监管部门工作绩效和信息共享体系水平，形成危险化学品综合治理“齐抓共管”的良好局面。</w:t>
      </w: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textAlignment w:val="auto"/>
        <w:outlineLvl w:val="9"/>
        <w:rPr>
          <w:rFonts w:ascii="方正黑体_GBK" w:eastAsia="方正黑体_GBK"/>
          <w:szCs w:val="32"/>
        </w:rPr>
      </w:pPr>
      <w:r>
        <w:rPr>
          <w:rFonts w:hint="eastAsia" w:ascii="方正黑体_GBK" w:eastAsia="方正黑体_GBK"/>
          <w:szCs w:val="32"/>
        </w:rPr>
        <w:t>四、其他要求</w:t>
      </w: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textAlignment w:val="auto"/>
        <w:outlineLvl w:val="9"/>
        <w:rPr>
          <w:rFonts w:ascii="方正仿宋_GBK" w:hAnsi="方正仿宋_GBK" w:cs="方正仿宋_GBK"/>
          <w:color w:val="000000"/>
          <w:szCs w:val="32"/>
        </w:rPr>
      </w:pPr>
      <w:r>
        <w:rPr>
          <w:rFonts w:hint="eastAsia" w:ascii="方正楷体_GBK" w:hAnsi="方正仿宋_GBK" w:eastAsia="方正楷体_GBK" w:cs="方正仿宋_GBK"/>
          <w:color w:val="000000"/>
          <w:szCs w:val="32"/>
        </w:rPr>
        <w:t>（一）</w:t>
      </w:r>
      <w:r>
        <w:rPr>
          <w:rFonts w:hint="eastAsia" w:ascii="方正仿宋_GBK" w:hAnsi="方正仿宋_GBK" w:cs="方正仿宋_GBK"/>
          <w:color w:val="000000"/>
          <w:szCs w:val="32"/>
        </w:rPr>
        <w:t>经辨识确定构成重大危险源的从业单位应按照</w:t>
      </w:r>
      <w:r>
        <w:rPr>
          <w:rFonts w:hint="eastAsia" w:ascii="方正仿宋_GBK"/>
          <w:color w:val="000000"/>
          <w:szCs w:val="32"/>
        </w:rPr>
        <w:t>《</w:t>
      </w:r>
      <w:r>
        <w:rPr>
          <w:rFonts w:hint="eastAsia" w:ascii="方正仿宋_GBK" w:hAnsi="方正仿宋_GBK" w:cs="方正仿宋_GBK"/>
          <w:color w:val="000000"/>
          <w:szCs w:val="32"/>
          <w:lang w:bidi="ar"/>
        </w:rPr>
        <w:t>危险化学品</w:t>
      </w:r>
      <w:r>
        <w:rPr>
          <w:rFonts w:hint="eastAsia" w:ascii="方正仿宋_GBK"/>
          <w:color w:val="000000"/>
          <w:szCs w:val="32"/>
        </w:rPr>
        <w:t>重大危险源监督管理暂行规定》（原国家安全监管总局令第40号）</w:t>
      </w:r>
      <w:r>
        <w:rPr>
          <w:rFonts w:hint="eastAsia" w:ascii="方正仿宋_GBK" w:hAnsi="方正仿宋_GBK" w:cs="方正仿宋_GBK"/>
          <w:color w:val="000000"/>
          <w:szCs w:val="32"/>
        </w:rPr>
        <w:t>的要求落实相关管控措施，制定并落实重大危险源安全管理规章制度和安全操作规程，建立健全安全监测监控体系，完善控制措施，对相关安全设施和安全监测监控系统定期检测检验，进行制度化的维护、保养，保证其可靠、有效运行。</w:t>
      </w: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textAlignment w:val="auto"/>
        <w:outlineLvl w:val="9"/>
        <w:rPr>
          <w:rFonts w:ascii="方正仿宋_GBK" w:hAnsi="方正仿宋_GBK" w:cs="方正仿宋_GBK"/>
          <w:color w:val="000000"/>
          <w:szCs w:val="32"/>
        </w:rPr>
      </w:pPr>
      <w:r>
        <w:rPr>
          <w:rFonts w:hint="eastAsia" w:ascii="方正楷体_GBK" w:hAnsi="方正仿宋_GBK" w:eastAsia="方正楷体_GBK" w:cs="方正仿宋_GBK"/>
          <w:color w:val="000000"/>
          <w:szCs w:val="32"/>
        </w:rPr>
        <w:t>（二）</w:t>
      </w:r>
      <w:r>
        <w:rPr>
          <w:rFonts w:hint="eastAsia" w:ascii="方正仿宋_GBK" w:hAnsi="方正仿宋_GBK" w:cs="方正仿宋_GBK"/>
          <w:color w:val="000000"/>
          <w:szCs w:val="32"/>
        </w:rPr>
        <w:t>城镇燃气、用于国防科研生产以及港区内不属于</w:t>
      </w:r>
      <w:r>
        <w:rPr>
          <w:rFonts w:hint="eastAsia" w:ascii="方正仿宋_GBK"/>
          <w:color w:val="000000"/>
          <w:szCs w:val="32"/>
        </w:rPr>
        <w:t>《</w:t>
      </w:r>
      <w:r>
        <w:rPr>
          <w:rFonts w:hint="eastAsia" w:ascii="方正仿宋_GBK" w:hAnsi="方正仿宋_GBK" w:cs="方正仿宋_GBK"/>
          <w:color w:val="000000"/>
          <w:szCs w:val="32"/>
          <w:lang w:bidi="ar"/>
        </w:rPr>
        <w:t>危险化学品</w:t>
      </w:r>
      <w:r>
        <w:rPr>
          <w:rFonts w:hint="eastAsia" w:ascii="方正仿宋_GBK"/>
          <w:color w:val="000000"/>
          <w:szCs w:val="32"/>
        </w:rPr>
        <w:t>重大危险源监督管理暂行规定》（原国家安全监管总局令第40号）</w:t>
      </w:r>
      <w:r>
        <w:rPr>
          <w:rFonts w:hint="eastAsia" w:ascii="方正仿宋_GBK" w:hAnsi="方正仿宋_GBK" w:cs="方正仿宋_GBK"/>
          <w:color w:val="000000"/>
          <w:szCs w:val="32"/>
        </w:rPr>
        <w:t>范围内的重大危险源的普查登记等工作，由相关负有安全生产监督管理职责的部门按照相关要求执行。</w:t>
      </w: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textAlignment w:val="auto"/>
        <w:outlineLvl w:val="9"/>
        <w:rPr>
          <w:rFonts w:ascii="方正仿宋_GBK" w:hAnsi="方正仿宋_GBK" w:cs="方正仿宋_GBK"/>
          <w:color w:val="000000"/>
          <w:szCs w:val="32"/>
        </w:rPr>
      </w:pPr>
      <w:r>
        <w:rPr>
          <w:rFonts w:hint="eastAsia" w:ascii="方正楷体_GBK" w:hAnsi="方正仿宋_GBK" w:eastAsia="方正楷体_GBK" w:cs="方正仿宋_GBK"/>
          <w:color w:val="000000"/>
          <w:szCs w:val="32"/>
        </w:rPr>
        <w:t>（三）</w:t>
      </w:r>
      <w:r>
        <w:rPr>
          <w:rFonts w:hint="eastAsia" w:ascii="方正仿宋_GBK" w:hAnsi="方正仿宋_GBK" w:cs="方正仿宋_GBK"/>
          <w:color w:val="000000"/>
          <w:szCs w:val="32"/>
        </w:rPr>
        <w:t>自2019年3月1日起，申请危险化学品安全生产相关行政许可的单位，提交的安全评价报告中，应按照新标准对重大危险源进行辨识</w:t>
      </w:r>
      <w:r>
        <w:rPr>
          <w:rFonts w:hint="eastAsia" w:ascii="方正仿宋_GBK" w:hAnsi="方正仿宋_GBK" w:cs="方正仿宋_GBK"/>
          <w:color w:val="000000"/>
          <w:szCs w:val="32"/>
          <w:lang w:eastAsia="zh-CN"/>
        </w:rPr>
        <w:t>及</w:t>
      </w:r>
      <w:r>
        <w:rPr>
          <w:rFonts w:hint="eastAsia" w:ascii="方正仿宋_GBK" w:hAnsi="方正仿宋_GBK" w:cs="方正仿宋_GBK"/>
          <w:color w:val="000000"/>
          <w:szCs w:val="32"/>
        </w:rPr>
        <w:t>相关符合</w:t>
      </w:r>
      <w:r>
        <w:rPr>
          <w:rFonts w:hint="eastAsia" w:ascii="方正仿宋_GBK" w:hAnsi="方正仿宋_GBK" w:cs="方正仿宋_GBK"/>
          <w:color w:val="000000"/>
          <w:szCs w:val="32"/>
          <w:lang w:eastAsia="zh-CN"/>
        </w:rPr>
        <w:t>性</w:t>
      </w:r>
      <w:r>
        <w:rPr>
          <w:rFonts w:hint="eastAsia" w:ascii="方正仿宋_GBK" w:hAnsi="方正仿宋_GBK" w:cs="方正仿宋_GBK"/>
          <w:color w:val="000000"/>
          <w:szCs w:val="32"/>
        </w:rPr>
        <w:t>评价。</w:t>
      </w:r>
    </w:p>
    <w:p>
      <w:pPr>
        <w:keepNext w:val="0"/>
        <w:keepLines w:val="0"/>
        <w:pageBreakBefore w:val="0"/>
        <w:widowControl w:val="0"/>
        <w:kinsoku/>
        <w:wordWrap/>
        <w:overflowPunct/>
        <w:topLinePunct w:val="0"/>
        <w:autoSpaceDE/>
        <w:autoSpaceDN/>
        <w:bidi w:val="0"/>
        <w:adjustRightInd/>
        <w:snapToGrid/>
        <w:spacing w:line="240" w:lineRule="auto"/>
        <w:ind w:left="0" w:right="0" w:firstLine="624" w:firstLineChars="200"/>
        <w:jc w:val="left"/>
        <w:textAlignment w:val="auto"/>
        <w:outlineLvl w:val="9"/>
        <w:rPr>
          <w:rFonts w:ascii="方正仿宋_GBK"/>
          <w:w w:val="99"/>
          <w:kern w:val="13"/>
          <w:szCs w:val="32"/>
        </w:rPr>
      </w:pPr>
      <w:r>
        <w:rPr>
          <w:rFonts w:hint="eastAsia" w:ascii="方正仿宋_GBK"/>
          <w:w w:val="99"/>
          <w:kern w:val="13"/>
          <w:szCs w:val="32"/>
        </w:rPr>
        <w:t xml:space="preserve">联 系 人：吴波    67522703  </w:t>
      </w:r>
    </w:p>
    <w:p>
      <w:pPr>
        <w:keepNext w:val="0"/>
        <w:keepLines w:val="0"/>
        <w:pageBreakBefore w:val="0"/>
        <w:widowControl w:val="0"/>
        <w:kinsoku/>
        <w:wordWrap/>
        <w:overflowPunct/>
        <w:topLinePunct w:val="0"/>
        <w:autoSpaceDE/>
        <w:autoSpaceDN/>
        <w:bidi w:val="0"/>
        <w:adjustRightInd/>
        <w:snapToGrid/>
        <w:spacing w:line="240" w:lineRule="auto"/>
        <w:ind w:left="0" w:right="0" w:firstLine="624" w:firstLineChars="200"/>
        <w:jc w:val="left"/>
        <w:textAlignment w:val="auto"/>
        <w:outlineLvl w:val="9"/>
        <w:rPr>
          <w:rFonts w:hint="eastAsia" w:ascii="方正仿宋_GBK"/>
          <w:w w:val="99"/>
          <w:kern w:val="13"/>
          <w:szCs w:val="32"/>
        </w:rPr>
      </w:pPr>
      <w:r>
        <w:rPr>
          <w:rFonts w:hint="eastAsia" w:ascii="方正仿宋_GBK"/>
          <w:w w:val="99"/>
          <w:kern w:val="13"/>
          <w:szCs w:val="32"/>
        </w:rPr>
        <w:t xml:space="preserve">电子邮箱：cqajjwhc@163.com  </w:t>
      </w: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textAlignment w:val="auto"/>
        <w:outlineLvl w:val="9"/>
        <w:rPr>
          <w:rFonts w:ascii="方正仿宋_GBK" w:hAnsi="方正仿宋_GBK" w:cs="黑体"/>
          <w:color w:val="000000"/>
          <w:szCs w:val="32"/>
          <w:lang w:bidi="ar"/>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624" w:firstLineChars="200"/>
        <w:jc w:val="left"/>
        <w:textAlignment w:val="auto"/>
        <w:outlineLvl w:val="9"/>
        <w:rPr>
          <w:rFonts w:ascii="方正仿宋_GBK"/>
          <w:w w:val="99"/>
          <w:kern w:val="13"/>
          <w:szCs w:val="32"/>
        </w:rPr>
      </w:pPr>
      <w:r>
        <w:rPr>
          <w:rFonts w:hint="eastAsia" w:ascii="方正仿宋_GBK"/>
          <w:w w:val="99"/>
          <w:kern w:val="13"/>
          <w:szCs w:val="32"/>
        </w:rPr>
        <w:t>附件：危险化学品重大危险源辨识指南</w:t>
      </w: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textAlignment w:val="auto"/>
        <w:outlineLvl w:val="9"/>
        <w:rPr>
          <w:rFonts w:ascii="方正仿宋_GBK" w:hAnsi="方正仿宋_GBK" w:cs="黑体"/>
          <w:color w:val="000000"/>
          <w:szCs w:val="32"/>
          <w:lang w:bidi="ar"/>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textAlignment w:val="auto"/>
        <w:outlineLvl w:val="9"/>
        <w:rPr>
          <w:rFonts w:ascii="方正仿宋_GBK" w:hAnsi="方正仿宋_GBK" w:cs="黑体"/>
          <w:color w:val="000000"/>
          <w:szCs w:val="32"/>
          <w:lang w:bidi="ar"/>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jc w:val="right"/>
        <w:textAlignment w:val="auto"/>
        <w:outlineLvl w:val="9"/>
        <w:rPr>
          <w:rFonts w:ascii="方正仿宋_GBK" w:hAnsi="方正仿宋_GBK" w:cs="黑体"/>
          <w:color w:val="000000"/>
          <w:szCs w:val="32"/>
        </w:rPr>
      </w:pPr>
      <w:r>
        <w:rPr>
          <w:rFonts w:hint="eastAsia" w:ascii="方正仿宋_GBK" w:hAnsi="方正仿宋_GBK" w:cs="黑体"/>
          <w:color w:val="000000"/>
          <w:szCs w:val="32"/>
          <w:lang w:bidi="ar"/>
        </w:rPr>
        <w:t>重庆市人民政府安全生产委员会办公室</w:t>
      </w:r>
    </w:p>
    <w:p>
      <w:pPr>
        <w:keepNext w:val="0"/>
        <w:keepLines w:val="0"/>
        <w:pageBreakBefore w:val="0"/>
        <w:widowControl w:val="0"/>
        <w:kinsoku/>
        <w:wordWrap/>
        <w:overflowPunct/>
        <w:topLinePunct w:val="0"/>
        <w:autoSpaceDE/>
        <w:autoSpaceDN/>
        <w:bidi w:val="0"/>
        <w:adjustRightInd/>
        <w:snapToGrid/>
        <w:spacing w:line="240" w:lineRule="auto"/>
        <w:ind w:left="0" w:right="1264" w:rightChars="400" w:firstLine="632" w:firstLineChars="200"/>
        <w:jc w:val="right"/>
        <w:textAlignment w:val="auto"/>
        <w:outlineLvl w:val="9"/>
        <w:rPr>
          <w:rFonts w:ascii="方正仿宋_GBK" w:hAnsi="方正仿宋_GBK" w:cs="黑体"/>
          <w:color w:val="000000"/>
          <w:szCs w:val="32"/>
          <w:lang w:bidi="ar"/>
        </w:rPr>
      </w:pPr>
      <w:r>
        <w:rPr>
          <w:rFonts w:hint="eastAsia" w:ascii="方正仿宋_GBK" w:hAnsi="方正仿宋_GBK" w:cs="黑体"/>
          <w:color w:val="000000"/>
          <w:szCs w:val="32"/>
          <w:lang w:bidi="ar"/>
        </w:rPr>
        <w:t>201</w:t>
      </w:r>
      <w:r>
        <w:rPr>
          <w:rFonts w:ascii="方正仿宋_GBK" w:hAnsi="方正仿宋_GBK" w:cs="黑体"/>
          <w:color w:val="000000"/>
          <w:szCs w:val="32"/>
          <w:lang w:bidi="ar"/>
        </w:rPr>
        <w:t>9</w:t>
      </w:r>
      <w:r>
        <w:rPr>
          <w:rFonts w:hint="eastAsia" w:ascii="方正仿宋_GBK" w:hAnsi="方正仿宋_GBK" w:cs="黑体"/>
          <w:color w:val="000000"/>
          <w:szCs w:val="32"/>
          <w:lang w:bidi="ar"/>
        </w:rPr>
        <w:t>年</w:t>
      </w:r>
      <w:r>
        <w:rPr>
          <w:rFonts w:ascii="方正仿宋_GBK" w:hAnsi="方正仿宋_GBK" w:cs="黑体"/>
          <w:color w:val="000000"/>
          <w:szCs w:val="32"/>
          <w:lang w:bidi="ar"/>
        </w:rPr>
        <w:t>4</w:t>
      </w:r>
      <w:r>
        <w:rPr>
          <w:rFonts w:hint="eastAsia" w:ascii="方正仿宋_GBK" w:hAnsi="方正仿宋_GBK" w:cs="黑体"/>
          <w:color w:val="000000"/>
          <w:szCs w:val="32"/>
          <w:lang w:bidi="ar"/>
        </w:rPr>
        <w:t>月</w:t>
      </w:r>
      <w:r>
        <w:rPr>
          <w:rFonts w:hint="eastAsia" w:ascii="方正仿宋_GBK" w:hAnsi="方正仿宋_GBK" w:cs="黑体"/>
          <w:color w:val="000000"/>
          <w:szCs w:val="32"/>
          <w:lang w:val="en-US" w:eastAsia="zh-CN" w:bidi="ar"/>
        </w:rPr>
        <w:t>9</w:t>
      </w:r>
      <w:r>
        <w:rPr>
          <w:rFonts w:hint="eastAsia" w:ascii="方正仿宋_GBK" w:hAnsi="方正仿宋_GBK" w:cs="黑体"/>
          <w:color w:val="000000"/>
          <w:szCs w:val="32"/>
          <w:lang w:bidi="ar"/>
        </w:rPr>
        <w:t>日</w:t>
      </w:r>
    </w:p>
    <w:p>
      <w:pPr>
        <w:keepNext w:val="0"/>
        <w:keepLines w:val="0"/>
        <w:pageBreakBefore w:val="0"/>
        <w:widowControl w:val="0"/>
        <w:kinsoku/>
        <w:wordWrap/>
        <w:overflowPunct/>
        <w:topLinePunct w:val="0"/>
        <w:autoSpaceDE/>
        <w:autoSpaceDN/>
        <w:bidi w:val="0"/>
        <w:adjustRightInd/>
        <w:snapToGrid/>
        <w:spacing w:line="240" w:lineRule="auto"/>
        <w:ind w:left="0" w:right="0" w:firstLine="632" w:firstLineChars="200"/>
        <w:jc w:val="right"/>
        <w:textAlignment w:val="auto"/>
        <w:outlineLvl w:val="9"/>
        <w:rPr>
          <w:rFonts w:ascii="方正仿宋_GBK" w:hAnsi="方正仿宋_GBK" w:cs="黑体"/>
          <w:color w:val="000000"/>
          <w:szCs w:val="32"/>
          <w:lang w:bidi="ar"/>
        </w:rPr>
      </w:pPr>
    </w:p>
    <w:p>
      <w:pPr>
        <w:pStyle w:val="2"/>
        <w:sectPr>
          <w:footerReference r:id="rId4" w:type="default"/>
          <w:headerReference r:id="rId3" w:type="even"/>
          <w:footerReference r:id="rId5" w:type="even"/>
          <w:pgSz w:w="11906" w:h="16838"/>
          <w:pgMar w:top="2098" w:right="1474" w:bottom="1984" w:left="1587" w:header="851" w:footer="1474" w:gutter="0"/>
          <w:cols w:space="0" w:num="1"/>
          <w:rtlGutter w:val="0"/>
          <w:docGrid w:type="linesAndChars" w:linePitch="579" w:charSpace="-842"/>
        </w:sectPr>
      </w:pPr>
    </w:p>
    <w:p>
      <w:pPr>
        <w:rPr>
          <w:rFonts w:hint="eastAsia" w:ascii="方正黑体_GBK" w:eastAsia="方正黑体_GBK"/>
          <w:w w:val="99"/>
          <w:kern w:val="13"/>
          <w:szCs w:val="32"/>
        </w:rPr>
      </w:pPr>
      <w:r>
        <w:rPr>
          <w:rFonts w:hint="eastAsia" w:ascii="方正黑体_GBK" w:eastAsia="方正黑体_GBK"/>
          <w:w w:val="99"/>
          <w:kern w:val="13"/>
          <w:szCs w:val="32"/>
        </w:rPr>
        <w:t>附件</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eastAsia="方正仿宋_GBK" w:cs="方正仿宋_GBK"/>
          <w:color w:val="000000"/>
          <w:kern w:val="0"/>
          <w:sz w:val="32"/>
          <w:szCs w:val="32"/>
        </w:rPr>
      </w:pPr>
    </w:p>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ascii="方正小标宋_GBK" w:hAnsi="方正小标宋_GBK" w:eastAsia="方正小标宋_GBK" w:cs="方正小标宋_GBK"/>
          <w:color w:val="000000"/>
          <w:kern w:val="0"/>
          <w:sz w:val="44"/>
          <w:szCs w:val="44"/>
        </w:rPr>
      </w:pPr>
      <w:r>
        <w:rPr>
          <w:rFonts w:hint="eastAsia" w:ascii="方正小标宋_GBK" w:hAnsi="方正小标宋_GBK" w:eastAsia="方正小标宋_GBK" w:cs="方正小标宋_GBK"/>
          <w:color w:val="000000"/>
          <w:kern w:val="0"/>
          <w:sz w:val="44"/>
          <w:szCs w:val="44"/>
        </w:rPr>
        <w:t>危险化学品重大危险源辨识</w:t>
      </w:r>
      <w:r>
        <w:rPr>
          <w:rFonts w:hint="eastAsia" w:ascii="方正小标宋_GBK" w:hAnsi="方正小标宋_GBK" w:eastAsia="方正小标宋_GBK" w:cs="方正小标宋_GBK"/>
          <w:color w:val="000000"/>
          <w:kern w:val="0"/>
          <w:sz w:val="44"/>
          <w:szCs w:val="44"/>
          <w:lang w:eastAsia="zh-CN"/>
        </w:rPr>
        <w:t>指南</w:t>
      </w:r>
    </w:p>
    <w:p>
      <w:pPr>
        <w:ind w:firstLine="632" w:firstLineChars="200"/>
        <w:rPr>
          <w:rFonts w:hint="eastAsia" w:ascii="方正黑体_GBK" w:hAnsi="方正黑体_GBK" w:eastAsia="方正黑体_GBK" w:cs="方正黑体_GBK"/>
          <w:color w:val="000000"/>
          <w:szCs w:val="32"/>
          <w:lang w:bidi="ar"/>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ascii="方正黑体_GBK" w:hAnsi="方正黑体_GBK" w:eastAsia="方正黑体_GBK" w:cs="方正黑体_GBK"/>
          <w:color w:val="000000"/>
          <w:szCs w:val="32"/>
          <w:lang w:bidi="ar"/>
        </w:rPr>
      </w:pPr>
      <w:r>
        <w:rPr>
          <w:rFonts w:hint="eastAsia" w:ascii="方正黑体_GBK" w:hAnsi="方正黑体_GBK" w:eastAsia="方正黑体_GBK" w:cs="方正黑体_GBK"/>
          <w:color w:val="000000"/>
          <w:szCs w:val="32"/>
          <w:lang w:bidi="ar"/>
        </w:rPr>
        <w:t>一、生产单元划分</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ascii="方正仿宋_GBK" w:hAnsi="方正仿宋_GBK" w:cs="黑体"/>
          <w:color w:val="000000"/>
          <w:szCs w:val="32"/>
          <w:lang w:bidi="ar"/>
        </w:rPr>
      </w:pPr>
      <w:r>
        <w:rPr>
          <w:rFonts w:hint="eastAsia" w:ascii="方正仿宋_GBK" w:hAnsi="方正仿宋_GBK" w:cs="黑体"/>
          <w:color w:val="000000"/>
          <w:szCs w:val="32"/>
          <w:lang w:bidi="ar"/>
        </w:rPr>
        <w:t>生产单元按独立的生产装置或工段（工序）划分。独立的生产装置（包括联合装置）或工段（工序）是指生产装置或单元与其周边装置、设施之间防火间距满足标准规定。</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ascii="方正仿宋_GBK" w:hAnsi="方正仿宋_GBK" w:cs="黑体"/>
          <w:color w:val="000000"/>
          <w:szCs w:val="32"/>
          <w:lang w:bidi="ar"/>
        </w:rPr>
      </w:pPr>
      <w:r>
        <w:rPr>
          <w:rFonts w:hint="eastAsia" w:ascii="方正仿宋_GBK" w:hAnsi="方正仿宋_GBK" w:cs="黑体"/>
          <w:color w:val="000000"/>
          <w:szCs w:val="32"/>
          <w:lang w:bidi="ar"/>
        </w:rPr>
        <w:t>装置储罐组（生产装置中间罐组）独立成区布置，其与周边装置、设施之间防火间距满足标准规定，装置储罐组按照储存单元划分方法划分单元。</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ascii="方正黑体_GBK" w:hAnsi="方正黑体_GBK" w:eastAsia="方正黑体_GBK" w:cs="方正黑体_GBK"/>
          <w:color w:val="000000"/>
          <w:szCs w:val="32"/>
          <w:lang w:bidi="ar"/>
        </w:rPr>
      </w:pPr>
      <w:r>
        <w:rPr>
          <w:rFonts w:hint="eastAsia" w:ascii="方正黑体_GBK" w:hAnsi="方正黑体_GBK" w:eastAsia="方正黑体_GBK" w:cs="方正黑体_GBK"/>
          <w:color w:val="000000"/>
          <w:szCs w:val="32"/>
          <w:lang w:bidi="ar"/>
        </w:rPr>
        <w:t>二、储存单元划分</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ascii="方正仿宋_GBK" w:hAnsi="方正仿宋_GBK" w:cs="黑体"/>
          <w:color w:val="000000"/>
          <w:szCs w:val="32"/>
          <w:lang w:bidi="ar"/>
        </w:rPr>
      </w:pPr>
      <w:r>
        <w:rPr>
          <w:rFonts w:hint="eastAsia" w:ascii="方正仿宋_GBK" w:hAnsi="方正仿宋_GBK" w:cs="黑体"/>
          <w:color w:val="000000"/>
          <w:szCs w:val="32"/>
          <w:lang w:bidi="ar"/>
        </w:rPr>
        <w:t>储罐区以罐区防火堤为界限划分为独立的单元。</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ascii="方正仿宋_GBK" w:hAnsi="方正仿宋_GBK" w:cs="黑体"/>
          <w:color w:val="000000"/>
          <w:szCs w:val="32"/>
          <w:lang w:bidi="ar"/>
        </w:rPr>
      </w:pPr>
      <w:r>
        <w:rPr>
          <w:rFonts w:hint="eastAsia" w:ascii="方正仿宋_GBK" w:hAnsi="方正仿宋_GBK" w:cs="黑体"/>
          <w:color w:val="000000"/>
          <w:szCs w:val="32"/>
          <w:lang w:bidi="ar"/>
        </w:rPr>
        <w:t>仓库以独立库房（独立建筑物）为界限划分为独立的单元。</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ascii="方正仿宋_GBK" w:hAnsi="方正仿宋_GBK" w:cs="黑体"/>
          <w:color w:val="000000"/>
          <w:szCs w:val="32"/>
          <w:lang w:bidi="ar"/>
        </w:rPr>
      </w:pPr>
      <w:r>
        <w:rPr>
          <w:rFonts w:hint="eastAsia" w:ascii="方正仿宋_GBK" w:hAnsi="方正仿宋_GBK" w:cs="黑体"/>
          <w:color w:val="000000"/>
          <w:szCs w:val="32"/>
          <w:lang w:bidi="ar"/>
        </w:rPr>
        <w:t>装置储罐组（生产装置中间罐组）独立成区布置，其与周边装置、设施之间防火间距满足标准规定，且储罐与生产装置之间有切断阀时，装置储罐组按照储存单元划分方法划分单元。</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ascii="方正黑体_GBK" w:hAnsi="方正黑体_GBK" w:eastAsia="方正黑体_GBK" w:cs="方正黑体_GBK"/>
          <w:color w:val="000000"/>
          <w:szCs w:val="32"/>
          <w:lang w:bidi="ar"/>
        </w:rPr>
      </w:pPr>
      <w:r>
        <w:rPr>
          <w:rFonts w:hint="eastAsia" w:ascii="方正黑体_GBK" w:hAnsi="方正黑体_GBK" w:eastAsia="方正黑体_GBK" w:cs="方正黑体_GBK"/>
          <w:color w:val="000000"/>
          <w:szCs w:val="32"/>
          <w:lang w:eastAsia="zh-CN" w:bidi="ar"/>
        </w:rPr>
        <w:t>三</w:t>
      </w:r>
      <w:r>
        <w:rPr>
          <w:rFonts w:hint="eastAsia" w:ascii="方正黑体_GBK" w:hAnsi="方正黑体_GBK" w:eastAsia="方正黑体_GBK" w:cs="方正黑体_GBK"/>
          <w:color w:val="000000"/>
          <w:szCs w:val="32"/>
          <w:lang w:bidi="ar"/>
        </w:rPr>
        <w:t>、单元危险化学品存在量计算原则</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ascii="方正楷体_GBK" w:hAnsi="方正楷体_GBK" w:eastAsia="方正楷体_GBK" w:cs="方正楷体_GBK"/>
          <w:color w:val="000000"/>
          <w:szCs w:val="32"/>
          <w:lang w:bidi="ar"/>
        </w:rPr>
      </w:pPr>
      <w:r>
        <w:rPr>
          <w:rFonts w:hint="eastAsia" w:ascii="方正楷体_GBK" w:hAnsi="方正楷体_GBK" w:eastAsia="方正楷体_GBK" w:cs="方正楷体_GBK"/>
          <w:color w:val="000000"/>
          <w:szCs w:val="32"/>
          <w:lang w:bidi="ar"/>
        </w:rPr>
        <w:t>（一）生产单元存在量</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ascii="方正仿宋_GBK" w:hAnsi="方正仿宋_GBK" w:cs="黑体"/>
          <w:color w:val="000000"/>
          <w:szCs w:val="32"/>
          <w:lang w:bidi="ar"/>
        </w:rPr>
      </w:pPr>
      <w:r>
        <w:rPr>
          <w:rFonts w:hint="eastAsia" w:ascii="方正仿宋_GBK" w:hAnsi="方正仿宋_GBK" w:cs="黑体"/>
          <w:color w:val="000000"/>
          <w:szCs w:val="32"/>
          <w:lang w:bidi="ar"/>
        </w:rPr>
        <w:t>根据统计分析，生产单元部分设备设施</w:t>
      </w:r>
      <w:r>
        <w:rPr>
          <w:rFonts w:hint="eastAsia" w:ascii="方正仿宋_GBK" w:hAnsi="方正仿宋_GBK" w:cs="黑体"/>
          <w:color w:val="000000"/>
          <w:szCs w:val="32"/>
          <w:lang w:eastAsia="zh-CN" w:bidi="ar"/>
        </w:rPr>
        <w:t>（如换热器、冷凝器、再沸器、压缩机、机泵、过滤器、物料管线等）</w:t>
      </w:r>
      <w:r>
        <w:rPr>
          <w:rFonts w:hint="eastAsia" w:ascii="方正仿宋_GBK" w:hAnsi="方正仿宋_GBK" w:cs="黑体"/>
          <w:color w:val="000000"/>
          <w:szCs w:val="32"/>
          <w:lang w:bidi="ar"/>
        </w:rPr>
        <w:t>危险化学品存量较小，其内危险化学品的存在量约为本单元主要设备存在量的10%。开展辨识时只需对存量大的主要设备（如塔器、回流罐、反应器、缓冲罐、分离罐等）进行定量计算，将主要设备危险化学品存量再乘以1.1倍数,得出生产单元内危险化学品的实际量（临界量小于5T的除外）。</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ascii="方正楷体_GBK" w:hAnsi="方正楷体_GBK" w:eastAsia="方正楷体_GBK" w:cs="方正楷体_GBK"/>
          <w:color w:val="000000"/>
          <w:szCs w:val="32"/>
          <w:lang w:bidi="ar"/>
        </w:rPr>
      </w:pPr>
      <w:r>
        <w:rPr>
          <w:rFonts w:hint="eastAsia" w:ascii="方正楷体_GBK" w:hAnsi="方正楷体_GBK" w:eastAsia="方正楷体_GBK" w:cs="方正楷体_GBK"/>
          <w:color w:val="000000"/>
          <w:szCs w:val="32"/>
          <w:lang w:bidi="ar"/>
        </w:rPr>
        <w:t>（二）储存单元存在量</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ascii="方正仿宋_GBK" w:hAnsi="方正仿宋_GBK" w:cs="黑体"/>
          <w:color w:val="000000"/>
          <w:szCs w:val="32"/>
          <w:lang w:bidi="ar"/>
        </w:rPr>
      </w:pPr>
      <w:r>
        <w:rPr>
          <w:rFonts w:hint="eastAsia" w:ascii="方正仿宋_GBK" w:hAnsi="方正仿宋_GBK" w:cs="黑体"/>
          <w:color w:val="000000"/>
          <w:szCs w:val="32"/>
          <w:lang w:bidi="ar"/>
        </w:rPr>
        <w:t>危险化学品储罐（包括球罐、浮顶罐、固定顶罐和卧罐等）的危险化学品实际存在量按设计最大量确定，一般为储罐容积乘以90%。</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ascii="方正仿宋_GBK" w:hAnsi="方正仿宋_GBK" w:cs="黑体"/>
          <w:color w:val="000000"/>
          <w:szCs w:val="32"/>
          <w:lang w:bidi="ar"/>
        </w:rPr>
      </w:pPr>
      <w:r>
        <w:rPr>
          <w:rFonts w:hint="eastAsia" w:ascii="方正仿宋_GBK" w:hAnsi="方正仿宋_GBK" w:cs="黑体"/>
          <w:color w:val="000000"/>
          <w:szCs w:val="32"/>
          <w:lang w:bidi="ar"/>
        </w:rPr>
        <w:t>仓储区危险化学品的实际存在量按设计最大量确定。</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ascii="方正黑体_GBK" w:hAnsi="方正黑体_GBK" w:eastAsia="方正黑体_GBK" w:cs="方正黑体_GBK"/>
          <w:color w:val="000000"/>
          <w:szCs w:val="32"/>
          <w:lang w:bidi="ar"/>
        </w:rPr>
      </w:pPr>
      <w:r>
        <w:rPr>
          <w:rFonts w:hint="eastAsia" w:ascii="方正黑体_GBK" w:hAnsi="方正黑体_GBK" w:eastAsia="方正黑体_GBK" w:cs="方正黑体_GBK"/>
          <w:color w:val="000000"/>
          <w:szCs w:val="32"/>
          <w:lang w:eastAsia="zh-CN" w:bidi="ar"/>
        </w:rPr>
        <w:t>四</w:t>
      </w:r>
      <w:r>
        <w:rPr>
          <w:rFonts w:hint="eastAsia" w:ascii="方正黑体_GBK" w:hAnsi="方正黑体_GBK" w:eastAsia="方正黑体_GBK" w:cs="方正黑体_GBK"/>
          <w:color w:val="000000"/>
          <w:szCs w:val="32"/>
          <w:lang w:bidi="ar"/>
        </w:rPr>
        <w:t>、常住人口</w:t>
      </w:r>
    </w:p>
    <w:p>
      <w:pPr>
        <w:keepNext w:val="0"/>
        <w:keepLines w:val="0"/>
        <w:pageBreakBefore w:val="0"/>
        <w:widowControl w:val="0"/>
        <w:kinsoku/>
        <w:wordWrap/>
        <w:overflowPunct/>
        <w:topLinePunct w:val="0"/>
        <w:autoSpaceDE/>
        <w:autoSpaceDN/>
        <w:bidi w:val="0"/>
        <w:adjustRightInd/>
        <w:snapToGrid/>
        <w:ind w:firstLine="632" w:firstLineChars="200"/>
        <w:textAlignment w:val="auto"/>
        <w:outlineLvl w:val="9"/>
        <w:rPr>
          <w:rFonts w:hint="eastAsia" w:ascii="方正仿宋_GBK" w:hAnsi="方正仿宋_GBK" w:cs="黑体"/>
          <w:color w:val="000000"/>
          <w:szCs w:val="32"/>
          <w:lang w:bidi="ar"/>
        </w:rPr>
      </w:pPr>
      <w:r>
        <w:rPr>
          <w:rFonts w:hint="eastAsia" w:ascii="方正仿宋_GBK" w:hAnsi="方正仿宋_GBK" w:cs="黑体"/>
          <w:color w:val="000000"/>
          <w:szCs w:val="32"/>
          <w:lang w:bidi="ar"/>
        </w:rPr>
        <w:t>常住人口指重大危险源边界向外扩展500米范围内的长期实际活动人员或常驻人员。</w:t>
      </w:r>
    </w:p>
    <w:p>
      <w:pPr>
        <w:rPr>
          <w:rFonts w:ascii="Times New Roman" w:hAnsi="Times New Roman" w:eastAsia="方正仿宋_GBK" w:cs="Times New Roman"/>
          <w:kern w:val="2"/>
          <w:sz w:val="32"/>
          <w:szCs w:val="22"/>
          <w:lang w:val="en-US" w:eastAsia="zh-CN" w:bidi="ar-SA"/>
        </w:rPr>
      </w:pPr>
    </w:p>
    <w:p>
      <w:pPr>
        <w:rPr>
          <w:lang w:val="en-US" w:eastAsia="zh-CN"/>
        </w:rPr>
      </w:pPr>
    </w:p>
    <w:p>
      <w:pPr>
        <w:rPr>
          <w:lang w:val="en-US" w:eastAsia="zh-CN"/>
        </w:rPr>
      </w:pPr>
    </w:p>
    <w:p>
      <w:pPr>
        <w:rPr>
          <w:lang w:val="en-US" w:eastAsia="zh-CN"/>
        </w:rPr>
      </w:pPr>
    </w:p>
    <w:p>
      <w:pPr>
        <w:rPr>
          <w:lang w:val="en-US" w:eastAsia="zh-CN"/>
        </w:rPr>
      </w:pPr>
    </w:p>
    <w:p>
      <w:pPr>
        <w:rPr>
          <w:lang w:val="en-US" w:eastAsia="zh-CN"/>
        </w:rPr>
      </w:pPr>
    </w:p>
    <w:p>
      <w:pPr>
        <w:rPr>
          <w:lang w:val="en-US" w:eastAsia="zh-CN"/>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00" w:lineRule="exact"/>
        <w:ind w:right="1264" w:rightChars="400"/>
        <w:jc w:val="both"/>
        <w:textAlignment w:val="auto"/>
        <w:outlineLvl w:val="9"/>
        <w:rPr>
          <w:rFonts w:hint="eastAsia" w:ascii="方正仿宋_GBK" w:hAnsi="方正仿宋_GBK" w:eastAsia="方正仿宋_GBK" w:cs="方正仿宋_GBK"/>
          <w:b w:val="0"/>
          <w:bCs w:val="0"/>
          <w:i w:val="0"/>
          <w:caps w:val="0"/>
          <w:color w:val="000000" w:themeColor="text1"/>
          <w:spacing w:val="8"/>
          <w:sz w:val="32"/>
          <w:szCs w:val="32"/>
          <w:shd w:val="clear" w:fill="FFFFFF"/>
          <w:lang w:val="en-US" w:eastAsia="zh-CN"/>
          <w14:textFill>
            <w14:solidFill>
              <w14:schemeClr w14:val="tx1"/>
            </w14:solidFill>
          </w14:textFill>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00" w:lineRule="exact"/>
        <w:ind w:right="1264" w:rightChars="400"/>
        <w:jc w:val="both"/>
        <w:textAlignment w:val="auto"/>
        <w:outlineLvl w:val="9"/>
        <w:rPr>
          <w:rFonts w:hint="eastAsia" w:ascii="方正仿宋_GBK" w:hAnsi="方正仿宋_GBK" w:eastAsia="方正仿宋_GBK" w:cs="方正仿宋_GBK"/>
          <w:b w:val="0"/>
          <w:bCs w:val="0"/>
          <w:i w:val="0"/>
          <w:caps w:val="0"/>
          <w:color w:val="000000" w:themeColor="text1"/>
          <w:spacing w:val="8"/>
          <w:sz w:val="32"/>
          <w:szCs w:val="32"/>
          <w:shd w:val="clear" w:fill="FFFFFF"/>
          <w:lang w:val="en-US" w:eastAsia="zh-CN"/>
          <w14:textFill>
            <w14:solidFill>
              <w14:schemeClr w14:val="tx1"/>
            </w14:solidFill>
          </w14:textFill>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00" w:lineRule="exact"/>
        <w:ind w:right="1264" w:rightChars="400"/>
        <w:jc w:val="both"/>
        <w:textAlignment w:val="auto"/>
        <w:outlineLvl w:val="9"/>
        <w:rPr>
          <w:rFonts w:hint="eastAsia" w:ascii="方正仿宋_GBK" w:hAnsi="方正仿宋_GBK" w:eastAsia="方正仿宋_GBK" w:cs="方正仿宋_GBK"/>
          <w:b w:val="0"/>
          <w:bCs w:val="0"/>
          <w:i w:val="0"/>
          <w:caps w:val="0"/>
          <w:color w:val="000000" w:themeColor="text1"/>
          <w:spacing w:val="8"/>
          <w:sz w:val="32"/>
          <w:szCs w:val="32"/>
          <w:shd w:val="clear" w:fill="FFFFFF"/>
          <w:lang w:val="en-US" w:eastAsia="zh-CN"/>
          <w14:textFill>
            <w14:solidFill>
              <w14:schemeClr w14:val="tx1"/>
            </w14:solidFill>
          </w14:textFill>
        </w:rPr>
      </w:pPr>
    </w:p>
    <w:p>
      <w:pPr>
        <w:keepNext w:val="0"/>
        <w:keepLines w:val="0"/>
        <w:pageBreakBefore w:val="0"/>
        <w:widowControl w:val="0"/>
        <w:pBdr>
          <w:top w:val="single" w:color="auto" w:sz="8" w:space="1"/>
          <w:bottom w:val="single" w:color="auto" w:sz="8" w:space="0"/>
        </w:pBdr>
        <w:kinsoku/>
        <w:wordWrap/>
        <w:overflowPunct/>
        <w:topLinePunct w:val="0"/>
        <w:autoSpaceDE/>
        <w:autoSpaceDN/>
        <w:bidi w:val="0"/>
        <w:adjustRightInd/>
        <w:textAlignment w:val="auto"/>
        <w:rPr>
          <w:lang w:val="en-US" w:eastAsia="zh-CN"/>
        </w:rPr>
      </w:pPr>
      <w:r>
        <w:drawing>
          <wp:anchor distT="0" distB="0" distL="114300" distR="114300" simplePos="0" relativeHeight="251658240" behindDoc="0" locked="0" layoutInCell="1" allowOverlap="1">
            <wp:simplePos x="0" y="0"/>
            <wp:positionH relativeFrom="column">
              <wp:posOffset>3600450</wp:posOffset>
            </wp:positionH>
            <wp:positionV relativeFrom="paragraph">
              <wp:posOffset>378460</wp:posOffset>
            </wp:positionV>
            <wp:extent cx="1790700" cy="609600"/>
            <wp:effectExtent l="0" t="0" r="0" b="0"/>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1790700" cy="609600"/>
                    </a:xfrm>
                    <a:prstGeom prst="rect">
                      <a:avLst/>
                    </a:prstGeom>
                    <a:noFill/>
                    <a:ln w="9525">
                      <a:noFill/>
                    </a:ln>
                  </pic:spPr>
                </pic:pic>
              </a:graphicData>
            </a:graphic>
          </wp:anchor>
        </w:drawing>
      </w:r>
      <w:r>
        <w:rPr>
          <w:rFonts w:hint="eastAsia" w:ascii="方正仿宋_GBK" w:hAnsi="方正仿宋_GBK" w:cs="方正仿宋_GBK"/>
          <w:b w:val="0"/>
          <w:bCs w:val="0"/>
          <w:sz w:val="28"/>
          <w:szCs w:val="28"/>
        </w:rPr>
        <w:t xml:space="preserve">  重庆市人民政府安全生产委员会办公室   </w:t>
      </w:r>
      <w:r>
        <w:rPr>
          <w:rFonts w:hint="eastAsia" w:ascii="方正仿宋_GBK" w:hAnsi="方正仿宋_GBK" w:cs="方正仿宋_GBK"/>
          <w:b w:val="0"/>
          <w:bCs w:val="0"/>
          <w:sz w:val="28"/>
          <w:szCs w:val="28"/>
          <w:lang w:val="en-US" w:eastAsia="zh-CN"/>
        </w:rPr>
        <w:t xml:space="preserve"> </w:t>
      </w:r>
      <w:r>
        <w:rPr>
          <w:rFonts w:hint="eastAsia" w:ascii="方正仿宋_GBK" w:hAnsi="方正仿宋_GBK" w:cs="方正仿宋_GBK"/>
          <w:b w:val="0"/>
          <w:bCs w:val="0"/>
          <w:sz w:val="28"/>
          <w:szCs w:val="28"/>
        </w:rPr>
        <w:t xml:space="preserve">   201</w:t>
      </w:r>
      <w:r>
        <w:rPr>
          <w:rFonts w:hint="eastAsia" w:ascii="方正仿宋_GBK" w:hAnsi="方正仿宋_GBK" w:cs="方正仿宋_GBK"/>
          <w:b w:val="0"/>
          <w:bCs w:val="0"/>
          <w:sz w:val="28"/>
          <w:szCs w:val="28"/>
          <w:lang w:val="en-US" w:eastAsia="zh-CN"/>
        </w:rPr>
        <w:t>9</w:t>
      </w:r>
      <w:r>
        <w:rPr>
          <w:rFonts w:hint="eastAsia" w:ascii="方正仿宋_GBK" w:hAnsi="方正仿宋_GBK" w:cs="方正仿宋_GBK"/>
          <w:b w:val="0"/>
          <w:bCs w:val="0"/>
          <w:sz w:val="28"/>
          <w:szCs w:val="28"/>
        </w:rPr>
        <w:t>年</w:t>
      </w:r>
      <w:r>
        <w:rPr>
          <w:rFonts w:hint="eastAsia" w:ascii="方正仿宋_GBK" w:hAnsi="方正仿宋_GBK" w:cs="方正仿宋_GBK"/>
          <w:b w:val="0"/>
          <w:bCs w:val="0"/>
          <w:sz w:val="28"/>
          <w:szCs w:val="28"/>
          <w:lang w:val="en-US" w:eastAsia="zh-CN"/>
        </w:rPr>
        <w:t>4</w:t>
      </w:r>
      <w:r>
        <w:rPr>
          <w:rFonts w:hint="eastAsia" w:ascii="方正仿宋_GBK" w:hAnsi="方正仿宋_GBK" w:cs="方正仿宋_GBK"/>
          <w:b w:val="0"/>
          <w:bCs w:val="0"/>
          <w:sz w:val="28"/>
          <w:szCs w:val="28"/>
        </w:rPr>
        <w:t>月</w:t>
      </w:r>
      <w:r>
        <w:rPr>
          <w:rFonts w:hint="eastAsia" w:ascii="方正仿宋_GBK" w:hAnsi="方正仿宋_GBK" w:cs="方正仿宋_GBK"/>
          <w:b w:val="0"/>
          <w:bCs w:val="0"/>
          <w:sz w:val="28"/>
          <w:szCs w:val="28"/>
          <w:lang w:val="en-US" w:eastAsia="zh-CN"/>
        </w:rPr>
        <w:t>9</w:t>
      </w:r>
      <w:r>
        <w:rPr>
          <w:rFonts w:hint="eastAsia" w:ascii="方正仿宋_GBK" w:hAnsi="方正仿宋_GBK" w:cs="方正仿宋_GBK"/>
          <w:b w:val="0"/>
          <w:bCs w:val="0"/>
          <w:sz w:val="28"/>
          <w:szCs w:val="28"/>
        </w:rPr>
        <w:t>日印发</w:t>
      </w:r>
    </w:p>
    <w:sectPr>
      <w:pgSz w:w="11906" w:h="16838"/>
      <w:pgMar w:top="2098" w:right="1474" w:bottom="1984" w:left="1587" w:header="851" w:footer="1474" w:gutter="0"/>
      <w:cols w:space="72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楷体_GBK">
    <w:panose1 w:val="03000509000000000000"/>
    <w:charset w:val="86"/>
    <w:family w:val="script"/>
    <w:pitch w:val="default"/>
    <w:sig w:usb0="00000001" w:usb1="080E0000" w:usb2="00000000" w:usb3="00000000" w:csb0="00040000" w:csb1="00000000"/>
  </w:font>
  <w:font w:name="Arial Rounded MT Bold">
    <w:altName w:val="Arial"/>
    <w:panose1 w:val="020F0704030504030204"/>
    <w:charset w:val="00"/>
    <w:family w:val="auto"/>
    <w:pitch w:val="default"/>
    <w:sig w:usb0="00000000" w:usb1="00000000" w:usb2="00000000" w:usb3="00000000" w:csb0="2000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280" w:firstLineChars="100"/>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r>
      <mc:AlternateContent>
        <mc:Choice Requires="wps">
          <w:drawing>
            <wp:anchor distT="0" distB="0" distL="114300" distR="114300" simplePos="0" relativeHeight="251658240" behindDoc="0" locked="0" layoutInCell="1" allowOverlap="1">
              <wp:simplePos x="0" y="0"/>
              <wp:positionH relativeFrom="column">
                <wp:posOffset>-737870</wp:posOffset>
              </wp:positionH>
              <wp:positionV relativeFrom="paragraph">
                <wp:posOffset>572770</wp:posOffset>
              </wp:positionV>
              <wp:extent cx="390525" cy="10001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390525" cy="1000125"/>
                      </a:xfrm>
                      <a:prstGeom prst="rect">
                        <a:avLst/>
                      </a:prstGeom>
                      <a:noFill/>
                      <a:ln>
                        <a:noFill/>
                      </a:ln>
                    </wps:spPr>
                    <wps:txbx>
                      <w:txbxContent>
                        <w:p/>
                      </w:txbxContent>
                    </wps:txbx>
                    <wps:bodyPr vert="eaVert" wrap="square" upright="1"/>
                  </wps:wsp>
                </a:graphicData>
              </a:graphic>
            </wp:anchor>
          </w:drawing>
        </mc:Choice>
        <mc:Fallback>
          <w:pict>
            <v:shape id="_x0000_s1026" o:spid="_x0000_s1026" o:spt="202" type="#_x0000_t202" style="position:absolute;left:0pt;margin-left:-58.1pt;margin-top:45.1pt;height:78.75pt;width:30.75pt;z-index:251658240;mso-width-relative:page;mso-height-relative:page;" filled="f" stroked="f" coordsize="21600,21600" o:gfxdata="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GwGrQ3dAAAACwEA&#10;AA8AAAAAAAAAAQAgAAAAIgAAAGRycy9kb3ducmV2LnhtbFBLAQIUABQAAAAIAIdO4kBfuGqcowEA&#10;ABwDAAAOAAAAAAAAAAEAIAAAACwBAABkcnMvZTJvRG9jLnhtbFBLBQYAAAAABgAGAFkBAABBBQAA&#10;AAA=&#10;">
              <v:fill on="f" focussize="0,0"/>
              <v:stroke on="f"/>
              <v:imagedata o:title=""/>
              <o:lock v:ext="edit" aspectratio="f"/>
              <v:textbox style="layout-flow:vertical-ideographic;">
                <w:txbxContent>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evenAndOddHeaders w:val="1"/>
  <w:drawingGridHorizontalSpacing w:val="158"/>
  <w:drawingGridVerticalSpacing w:val="290"/>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853388"/>
    <w:rsid w:val="25F836EB"/>
    <w:rsid w:val="28194C3B"/>
    <w:rsid w:val="2DEE546F"/>
    <w:rsid w:val="3A8D3581"/>
    <w:rsid w:val="3C257E1F"/>
    <w:rsid w:val="4E931D3C"/>
    <w:rsid w:val="5B837F55"/>
    <w:rsid w:val="73202A52"/>
    <w:rsid w:val="77E147A2"/>
    <w:rsid w:val="797752B5"/>
    <w:rsid w:val="7F2039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2"/>
      <w:lang w:val="en-US" w:eastAsia="zh-CN" w:bidi="ar-SA"/>
    </w:rPr>
  </w:style>
  <w:style w:type="paragraph" w:styleId="3">
    <w:name w:val="heading 1"/>
    <w:basedOn w:val="1"/>
    <w:next w:val="1"/>
    <w:link w:val="18"/>
    <w:qFormat/>
    <w:uiPriority w:val="0"/>
    <w:pPr>
      <w:keepNext/>
      <w:keepLines/>
      <w:spacing w:before="340" w:after="330" w:line="578" w:lineRule="auto"/>
      <w:outlineLvl w:val="0"/>
    </w:pPr>
    <w:rPr>
      <w:b/>
      <w:bCs/>
      <w:kern w:val="44"/>
      <w:sz w:val="44"/>
      <w:szCs w:val="44"/>
    </w:rPr>
  </w:style>
  <w:style w:type="character" w:default="1" w:styleId="8">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szCs w:val="24"/>
    </w:rPr>
  </w:style>
  <w:style w:type="paragraph" w:styleId="4">
    <w:name w:val="Balloon Text"/>
    <w:basedOn w:val="1"/>
    <w:link w:val="19"/>
    <w:qFormat/>
    <w:uiPriority w:val="0"/>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jc w:val="left"/>
    </w:pPr>
    <w:rPr>
      <w:rFonts w:ascii="宋体" w:hAnsi="宋体" w:eastAsia="宋体" w:cs="宋体"/>
      <w:kern w:val="0"/>
      <w:sz w:val="24"/>
      <w:szCs w:val="24"/>
    </w:rPr>
  </w:style>
  <w:style w:type="character" w:styleId="9">
    <w:name w:val="page number"/>
    <w:basedOn w:val="8"/>
    <w:qFormat/>
    <w:uiPriority w:val="0"/>
  </w:style>
  <w:style w:type="character" w:styleId="10">
    <w:name w:val="Hyperlink"/>
    <w:qFormat/>
    <w:uiPriority w:val="0"/>
    <w:rPr>
      <w:color w:val="0000FF"/>
      <w:u w:val="single"/>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3">
    <w:name w:val="Char"/>
    <w:basedOn w:val="1"/>
    <w:qFormat/>
    <w:uiPriority w:val="0"/>
    <w:rPr>
      <w:szCs w:val="20"/>
    </w:rPr>
  </w:style>
  <w:style w:type="character" w:customStyle="1" w:styleId="14">
    <w:name w:val="页脚 Char"/>
    <w:link w:val="5"/>
    <w:qFormat/>
    <w:uiPriority w:val="99"/>
    <w:rPr>
      <w:rFonts w:eastAsia="方正仿宋_GBK"/>
      <w:kern w:val="2"/>
      <w:sz w:val="18"/>
      <w:szCs w:val="18"/>
    </w:rPr>
  </w:style>
  <w:style w:type="character" w:customStyle="1" w:styleId="15">
    <w:name w:val="页眉 Char"/>
    <w:link w:val="6"/>
    <w:qFormat/>
    <w:uiPriority w:val="99"/>
    <w:rPr>
      <w:rFonts w:eastAsia="方正仿宋_GBK"/>
      <w:kern w:val="2"/>
      <w:sz w:val="18"/>
      <w:szCs w:val="18"/>
    </w:rPr>
  </w:style>
  <w:style w:type="character" w:customStyle="1" w:styleId="16">
    <w:name w:val="font11"/>
    <w:qFormat/>
    <w:uiPriority w:val="0"/>
    <w:rPr>
      <w:rFonts w:hint="eastAsia" w:ascii="黑体" w:hAnsi="宋体" w:eastAsia="黑体" w:cs="黑体"/>
      <w:color w:val="000000"/>
      <w:sz w:val="56"/>
      <w:szCs w:val="56"/>
      <w:u w:val="single"/>
    </w:rPr>
  </w:style>
  <w:style w:type="character" w:customStyle="1" w:styleId="17">
    <w:name w:val="font31"/>
    <w:qFormat/>
    <w:uiPriority w:val="0"/>
    <w:rPr>
      <w:rFonts w:hint="eastAsia" w:ascii="黑体" w:hAnsi="宋体" w:eastAsia="黑体" w:cs="黑体"/>
      <w:color w:val="000000"/>
      <w:sz w:val="56"/>
      <w:szCs w:val="56"/>
      <w:u w:val="none"/>
    </w:rPr>
  </w:style>
  <w:style w:type="character" w:customStyle="1" w:styleId="18">
    <w:name w:val="标题 1 Char"/>
    <w:link w:val="3"/>
    <w:qFormat/>
    <w:uiPriority w:val="0"/>
    <w:rPr>
      <w:rFonts w:eastAsia="方正仿宋_GBK"/>
      <w:b/>
      <w:bCs/>
      <w:kern w:val="44"/>
      <w:sz w:val="44"/>
      <w:szCs w:val="44"/>
    </w:rPr>
  </w:style>
  <w:style w:type="character" w:customStyle="1" w:styleId="19">
    <w:name w:val="批注框文本 Char"/>
    <w:link w:val="4"/>
    <w:qFormat/>
    <w:uiPriority w:val="0"/>
    <w:rPr>
      <w:rFonts w:eastAsia="方正仿宋_GBK"/>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352</Words>
  <Characters>2009</Characters>
  <Lines>16</Lines>
  <Paragraphs>4</Paragraphs>
  <ScaleCrop>false</ScaleCrop>
  <LinksUpToDate>false</LinksUpToDate>
  <CharactersWithSpaces>2357</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user</dc:creator>
  <cp:lastModifiedBy>Administrator</cp:lastModifiedBy>
  <cp:lastPrinted>2019-04-10T01:22:00Z</cp:lastPrinted>
  <dcterms:modified xsi:type="dcterms:W3CDTF">2019-04-15T01:16:20Z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