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81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5CCB5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5857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pacing w:val="0"/>
          <w:sz w:val="44"/>
          <w:szCs w:val="44"/>
          <w:highlight w:val="none"/>
          <w:lang w:val="en-US" w:eastAsia="zh-CN"/>
        </w:rPr>
        <w:t>2026年省级生鲜乳质量安全专项监测计划</w:t>
      </w:r>
    </w:p>
    <w:p w14:paraId="2459D6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jc w:val="left"/>
        <w:textAlignment w:val="auto"/>
        <w:rPr>
          <w:rFonts w:hint="eastAsia" w:ascii="Times New Roman" w:hAnsi="Times New Roman" w:eastAsia="楷体" w:cs="楷体"/>
          <w:b/>
          <w:bCs/>
          <w:sz w:val="32"/>
          <w:szCs w:val="32"/>
          <w:lang w:val="en-US" w:eastAsia="zh-CN"/>
        </w:rPr>
      </w:pPr>
    </w:p>
    <w:p w14:paraId="016CD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val="en-US" w:eastAsia="zh-CN"/>
        </w:rPr>
        <w:t>一、生鲜乳质量安全专项监测</w:t>
      </w:r>
    </w:p>
    <w:p w14:paraId="6AA100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（一）监测区域</w:t>
      </w:r>
    </w:p>
    <w:p w14:paraId="7922D3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太原、大同、长治、朔州、晋中、运城、忻州、临汾、吕梁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个市（见附表）。</w:t>
      </w:r>
    </w:p>
    <w:p w14:paraId="14CE0E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（二）监测对象</w:t>
      </w:r>
    </w:p>
    <w:p w14:paraId="624E9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乳制品加工企业、奶畜养殖场、奶农专业合作社开办的生鲜乳收购站和生鲜乳运输车。</w:t>
      </w:r>
    </w:p>
    <w:p w14:paraId="393EF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（三）监测时间及内容</w:t>
      </w:r>
    </w:p>
    <w:p w14:paraId="3A6CB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全年共监测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210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批次生鲜乳样品（见附表）。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6-10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月分上、下半年开展，监测项目及批次包括碱类物质（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批次）、β-内酰胺酶（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批次）、黄曲霉毒素M</w:t>
      </w:r>
      <w:r>
        <w:rPr>
          <w:rFonts w:hint="eastAsia" w:ascii="Times New Roman" w:hAnsi="Times New Roman" w:eastAsia="仿宋_GB2312" w:cs="仿宋_GB2312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批次）、铅（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批次）、铬（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批次）、砷（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批次）、三聚氰胺（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批次）。</w:t>
      </w:r>
    </w:p>
    <w:p w14:paraId="55F737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val="en-US" w:eastAsia="zh-CN"/>
        </w:rPr>
        <w:t>二、奶畜养殖散户质量安全监测</w:t>
      </w:r>
    </w:p>
    <w:p w14:paraId="2AE14B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（一）监测区域与对象</w:t>
      </w: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  <w:t>‌</w:t>
      </w:r>
    </w:p>
    <w:p w14:paraId="6A3353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太原市、大同市全域，重点覆盖生鲜乳主产区、城乡接合部奶畜养殖散户。‌</w:t>
      </w:r>
    </w:p>
    <w:p w14:paraId="3D8CC0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（‌二）监测内容</w:t>
      </w:r>
    </w:p>
    <w:p w14:paraId="68BAA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上半年太原5批次，下半年大同5批次，全年计划完成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批次散户生鲜乳质量监测。监测项目及批次包括碱类物质（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10批次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）、β-内酰胺酶（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批次）、黄曲霉毒素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M</w:t>
      </w:r>
      <w:r>
        <w:rPr>
          <w:rFonts w:hint="eastAsia" w:ascii="Times New Roman" w:hAnsi="Times New Roman" w:eastAsia="仿宋_GB2312" w:cs="仿宋_GB2312"/>
          <w:bCs/>
          <w:color w:val="000000"/>
          <w:sz w:val="28"/>
          <w:szCs w:val="28"/>
          <w:lang w:eastAsia="zh-CN"/>
        </w:rPr>
        <w:t>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批次）、铅（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批次）、铬（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批次）、砷（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批次）、三聚氰胺（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批次）。</w:t>
      </w:r>
    </w:p>
    <w:p w14:paraId="3263C7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三、监测方式</w:t>
      </w:r>
    </w:p>
    <w:p w14:paraId="2E7C5C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（一）职责分工</w:t>
      </w:r>
    </w:p>
    <w:p w14:paraId="62B089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畜牧兽医局负责组织与协调，各市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  <w:lang w:val="en-US" w:eastAsia="zh-CN"/>
        </w:rPr>
        <w:t>畜牧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管理部门负责本市生鲜乳抽样和现场检测工作，省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  <w:lang w:eastAsia="zh-CN"/>
        </w:rPr>
        <w:t>检验检测中心畜牧与水产品检验技术研究所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负责检测、结果汇总和统计上报工作。</w:t>
      </w:r>
    </w:p>
    <w:p w14:paraId="26D1B1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lang w:val="en-US" w:eastAsia="zh-CN"/>
        </w:rPr>
        <w:t>（‌二）样品检测方式及检测项目</w:t>
      </w:r>
    </w:p>
    <w:p w14:paraId="768AA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样品检测工作采取现场检测和实验室检测相结合的方式。现场检测一般采用快速检测方法进行现场或实验室筛查，疑似阳性样</w:t>
      </w:r>
      <w:r>
        <w:rPr>
          <w:rFonts w:hint="eastAsia" w:ascii="Times New Roman" w:hAnsi="Times New Roman" w:eastAsia="仿宋_GB2312" w:cs="仿宋_GB2312"/>
          <w:bCs/>
          <w:color w:val="000000"/>
          <w:spacing w:val="-4"/>
          <w:sz w:val="32"/>
          <w:szCs w:val="32"/>
        </w:rPr>
        <w:t>品</w:t>
      </w:r>
      <w:r>
        <w:rPr>
          <w:rFonts w:hint="eastAsia" w:ascii="Times New Roman" w:hAnsi="Times New Roman" w:eastAsia="仿宋_GB2312" w:cs="仿宋_GB2312"/>
          <w:bCs/>
          <w:color w:val="000000"/>
          <w:spacing w:val="-4"/>
          <w:sz w:val="32"/>
          <w:szCs w:val="32"/>
          <w:lang w:val="en-US" w:eastAsia="zh-CN"/>
        </w:rPr>
        <w:t>再</w:t>
      </w:r>
      <w:r>
        <w:rPr>
          <w:rFonts w:hint="eastAsia" w:ascii="Times New Roman" w:hAnsi="Times New Roman" w:eastAsia="仿宋_GB2312" w:cs="仿宋_GB2312"/>
          <w:bCs/>
          <w:color w:val="000000"/>
          <w:spacing w:val="-4"/>
          <w:sz w:val="32"/>
          <w:szCs w:val="32"/>
        </w:rPr>
        <w:t>进行实验室</w:t>
      </w:r>
      <w:r>
        <w:rPr>
          <w:rFonts w:hint="eastAsia" w:ascii="Times New Roman" w:hAnsi="Times New Roman" w:eastAsia="仿宋_GB2312" w:cs="仿宋_GB2312"/>
          <w:bCs/>
          <w:color w:val="000000"/>
          <w:spacing w:val="-4"/>
          <w:sz w:val="32"/>
          <w:szCs w:val="32"/>
          <w:lang w:val="en-US" w:eastAsia="zh-CN"/>
        </w:rPr>
        <w:t>标准</w:t>
      </w:r>
      <w:r>
        <w:rPr>
          <w:rFonts w:hint="eastAsia" w:ascii="Times New Roman" w:hAnsi="Times New Roman" w:eastAsia="仿宋_GB2312" w:cs="仿宋_GB2312"/>
          <w:bCs/>
          <w:color w:val="000000"/>
          <w:spacing w:val="-4"/>
          <w:sz w:val="32"/>
          <w:szCs w:val="32"/>
        </w:rPr>
        <w:t>方法确证。现场检测项目为碱类物质、β-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内酰胺酶、实验室检测项目为三聚氰胺和黄曲霉毒素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M</w:t>
      </w:r>
      <w:r>
        <w:rPr>
          <w:rFonts w:hint="eastAsia" w:ascii="Times New Roman" w:hAnsi="Times New Roman" w:eastAsia="仿宋_GB2312" w:cs="仿宋_GB2312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、铅、铬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  <w:lang w:eastAsia="zh-CN"/>
        </w:rPr>
        <w:t>、砷</w:t>
      </w: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t>等。</w:t>
      </w:r>
    </w:p>
    <w:p w14:paraId="5717CF96">
      <w:pPr>
        <w:spacing w:line="579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000000"/>
          <w:sz w:val="32"/>
          <w:szCs w:val="32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附表</w:t>
      </w:r>
    </w:p>
    <w:p w14:paraId="0EE0C10D">
      <w:pPr>
        <w:spacing w:line="579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 w14:paraId="1F6236D2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各市生鲜乳质量安全省级专项监测任务分配表</w:t>
      </w:r>
    </w:p>
    <w:p w14:paraId="60889BE5">
      <w:pPr>
        <w:numPr>
          <w:ilvl w:val="0"/>
          <w:numId w:val="0"/>
        </w:numPr>
        <w:spacing w:line="579" w:lineRule="exact"/>
        <w:ind w:leftChars="0"/>
        <w:jc w:val="left"/>
        <w:rPr>
          <w:rFonts w:hint="eastAsia" w:ascii="Times New Roman" w:hAnsi="Times New Roman" w:eastAsia="方正小标宋简体" w:cs="方正小标宋简体"/>
          <w:sz w:val="32"/>
          <w:szCs w:val="32"/>
          <w:highlight w:val="green"/>
        </w:rPr>
      </w:pPr>
    </w:p>
    <w:tbl>
      <w:tblPr>
        <w:tblStyle w:val="6"/>
        <w:tblpPr w:leftFromText="180" w:rightFromText="180" w:vertAnchor="text" w:horzAnchor="page" w:tblpXSpec="center" w:tblpY="40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352"/>
        <w:gridCol w:w="1529"/>
        <w:gridCol w:w="1450"/>
        <w:gridCol w:w="1582"/>
        <w:gridCol w:w="1582"/>
      </w:tblGrid>
      <w:tr w14:paraId="684C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noWrap w:val="0"/>
            <w:vAlign w:val="center"/>
          </w:tcPr>
          <w:p w14:paraId="7707AFF8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93" w:type="pct"/>
            <w:noWrap w:val="0"/>
            <w:vAlign w:val="center"/>
          </w:tcPr>
          <w:p w14:paraId="668F4A84">
            <w:pPr>
              <w:spacing w:line="579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市名称</w:t>
            </w:r>
          </w:p>
        </w:tc>
        <w:tc>
          <w:tcPr>
            <w:tcW w:w="897" w:type="pct"/>
            <w:noWrap w:val="0"/>
            <w:vAlign w:val="center"/>
          </w:tcPr>
          <w:p w14:paraId="06416E9C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奶站</w:t>
            </w:r>
          </w:p>
          <w:p w14:paraId="13063906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（批次）</w:t>
            </w:r>
          </w:p>
        </w:tc>
        <w:tc>
          <w:tcPr>
            <w:tcW w:w="851" w:type="pct"/>
            <w:noWrap w:val="0"/>
            <w:vAlign w:val="center"/>
          </w:tcPr>
          <w:p w14:paraId="1FCB1662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运输车（批次）</w:t>
            </w:r>
          </w:p>
        </w:tc>
        <w:tc>
          <w:tcPr>
            <w:tcW w:w="928" w:type="pct"/>
            <w:noWrap w:val="0"/>
            <w:vAlign w:val="center"/>
          </w:tcPr>
          <w:p w14:paraId="358014E3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928" w:type="pct"/>
            <w:noWrap w:val="0"/>
            <w:vAlign w:val="center"/>
          </w:tcPr>
          <w:p w14:paraId="045064D9">
            <w:pPr>
              <w:spacing w:line="579" w:lineRule="exact"/>
              <w:jc w:val="both"/>
              <w:rPr>
                <w:rFonts w:hint="eastAsia" w:ascii="Times New Roman" w:hAnsi="Times New Roman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奶站停产情况（个）</w:t>
            </w:r>
          </w:p>
        </w:tc>
      </w:tr>
      <w:tr w14:paraId="4EC4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noWrap w:val="0"/>
            <w:vAlign w:val="center"/>
          </w:tcPr>
          <w:p w14:paraId="6A1622E0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793" w:type="pct"/>
            <w:noWrap w:val="0"/>
            <w:vAlign w:val="center"/>
          </w:tcPr>
          <w:p w14:paraId="71914383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太原</w:t>
            </w:r>
          </w:p>
        </w:tc>
        <w:tc>
          <w:tcPr>
            <w:tcW w:w="897" w:type="pct"/>
            <w:noWrap w:val="0"/>
            <w:vAlign w:val="center"/>
          </w:tcPr>
          <w:p w14:paraId="7C51AFAA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851" w:type="pct"/>
            <w:noWrap w:val="0"/>
            <w:vAlign w:val="center"/>
          </w:tcPr>
          <w:p w14:paraId="119A55F5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928" w:type="pct"/>
            <w:noWrap w:val="0"/>
            <w:vAlign w:val="center"/>
          </w:tcPr>
          <w:p w14:paraId="1BE42164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928" w:type="pct"/>
            <w:noWrap w:val="0"/>
            <w:vAlign w:val="center"/>
          </w:tcPr>
          <w:p w14:paraId="13DB30B5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046E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noWrap w:val="0"/>
            <w:vAlign w:val="center"/>
          </w:tcPr>
          <w:p w14:paraId="2129C5EE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793" w:type="pct"/>
            <w:noWrap w:val="0"/>
            <w:vAlign w:val="center"/>
          </w:tcPr>
          <w:p w14:paraId="423AE9DC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忻州</w:t>
            </w:r>
          </w:p>
        </w:tc>
        <w:tc>
          <w:tcPr>
            <w:tcW w:w="897" w:type="pct"/>
            <w:noWrap w:val="0"/>
            <w:vAlign w:val="center"/>
          </w:tcPr>
          <w:p w14:paraId="00F1018A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851" w:type="pct"/>
            <w:noWrap w:val="0"/>
            <w:vAlign w:val="center"/>
          </w:tcPr>
          <w:p w14:paraId="308FF742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928" w:type="pct"/>
            <w:noWrap w:val="0"/>
            <w:vAlign w:val="center"/>
          </w:tcPr>
          <w:p w14:paraId="4F501593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928" w:type="pct"/>
            <w:noWrap w:val="0"/>
            <w:vAlign w:val="center"/>
          </w:tcPr>
          <w:p w14:paraId="00056582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34A20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01" w:type="pct"/>
            <w:noWrap w:val="0"/>
            <w:vAlign w:val="center"/>
          </w:tcPr>
          <w:p w14:paraId="4982A17F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793" w:type="pct"/>
            <w:noWrap w:val="0"/>
            <w:vAlign w:val="center"/>
          </w:tcPr>
          <w:p w14:paraId="79A22E38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大同</w:t>
            </w:r>
          </w:p>
        </w:tc>
        <w:tc>
          <w:tcPr>
            <w:tcW w:w="897" w:type="pct"/>
            <w:noWrap w:val="0"/>
            <w:vAlign w:val="center"/>
          </w:tcPr>
          <w:p w14:paraId="77D7D345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851" w:type="pct"/>
            <w:noWrap w:val="0"/>
            <w:vAlign w:val="center"/>
          </w:tcPr>
          <w:p w14:paraId="0DC0F6E8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28" w:type="pct"/>
            <w:noWrap w:val="0"/>
            <w:vAlign w:val="center"/>
          </w:tcPr>
          <w:p w14:paraId="7570B63E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928" w:type="pct"/>
            <w:noWrap w:val="0"/>
            <w:vAlign w:val="center"/>
          </w:tcPr>
          <w:p w14:paraId="7946A05E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091D2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noWrap w:val="0"/>
            <w:vAlign w:val="center"/>
          </w:tcPr>
          <w:p w14:paraId="5BC12A84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793" w:type="pct"/>
            <w:noWrap w:val="0"/>
            <w:vAlign w:val="center"/>
          </w:tcPr>
          <w:p w14:paraId="5614BB06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朔州</w:t>
            </w:r>
          </w:p>
        </w:tc>
        <w:tc>
          <w:tcPr>
            <w:tcW w:w="897" w:type="pct"/>
            <w:noWrap w:val="0"/>
            <w:vAlign w:val="center"/>
          </w:tcPr>
          <w:p w14:paraId="7506BA91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74</w:t>
            </w:r>
          </w:p>
        </w:tc>
        <w:tc>
          <w:tcPr>
            <w:tcW w:w="851" w:type="pct"/>
            <w:noWrap w:val="0"/>
            <w:vAlign w:val="center"/>
          </w:tcPr>
          <w:p w14:paraId="7EFCB01D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38</w:t>
            </w:r>
          </w:p>
        </w:tc>
        <w:tc>
          <w:tcPr>
            <w:tcW w:w="928" w:type="pct"/>
            <w:noWrap w:val="0"/>
            <w:vAlign w:val="center"/>
          </w:tcPr>
          <w:p w14:paraId="53F44807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112</w:t>
            </w:r>
          </w:p>
        </w:tc>
        <w:tc>
          <w:tcPr>
            <w:tcW w:w="928" w:type="pct"/>
            <w:noWrap w:val="0"/>
            <w:vAlign w:val="center"/>
          </w:tcPr>
          <w:p w14:paraId="45184048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</w:tr>
      <w:tr w14:paraId="1CB49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01" w:type="pct"/>
            <w:noWrap w:val="0"/>
            <w:vAlign w:val="center"/>
          </w:tcPr>
          <w:p w14:paraId="706FBC54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793" w:type="pct"/>
            <w:noWrap w:val="0"/>
            <w:vAlign w:val="center"/>
          </w:tcPr>
          <w:p w14:paraId="2553D384">
            <w:pPr>
              <w:spacing w:line="579" w:lineRule="exact"/>
              <w:jc w:val="center"/>
              <w:rPr>
                <w:rFonts w:hint="default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晋中</w:t>
            </w:r>
          </w:p>
        </w:tc>
        <w:tc>
          <w:tcPr>
            <w:tcW w:w="897" w:type="pct"/>
            <w:noWrap w:val="0"/>
            <w:vAlign w:val="center"/>
          </w:tcPr>
          <w:p w14:paraId="068F956F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851" w:type="pct"/>
            <w:noWrap w:val="0"/>
            <w:vAlign w:val="center"/>
          </w:tcPr>
          <w:p w14:paraId="421E809F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928" w:type="pct"/>
            <w:noWrap w:val="0"/>
            <w:vAlign w:val="center"/>
          </w:tcPr>
          <w:p w14:paraId="532FAB1A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928" w:type="pct"/>
            <w:noWrap w:val="0"/>
            <w:vAlign w:val="center"/>
          </w:tcPr>
          <w:p w14:paraId="0E8C4F0F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—</w:t>
            </w:r>
          </w:p>
        </w:tc>
      </w:tr>
      <w:tr w14:paraId="4BBF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noWrap w:val="0"/>
            <w:vAlign w:val="center"/>
          </w:tcPr>
          <w:p w14:paraId="60C80A06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793" w:type="pct"/>
            <w:noWrap w:val="0"/>
            <w:vAlign w:val="center"/>
          </w:tcPr>
          <w:p w14:paraId="5C8EA461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运城</w:t>
            </w:r>
          </w:p>
        </w:tc>
        <w:tc>
          <w:tcPr>
            <w:tcW w:w="897" w:type="pct"/>
            <w:noWrap w:val="0"/>
            <w:vAlign w:val="center"/>
          </w:tcPr>
          <w:p w14:paraId="07667509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851" w:type="pct"/>
            <w:noWrap w:val="0"/>
            <w:vAlign w:val="center"/>
          </w:tcPr>
          <w:p w14:paraId="1D4D56E7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928" w:type="pct"/>
            <w:noWrap w:val="0"/>
            <w:vAlign w:val="center"/>
          </w:tcPr>
          <w:p w14:paraId="1C42CD2E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928" w:type="pct"/>
            <w:noWrap w:val="0"/>
            <w:vAlign w:val="center"/>
          </w:tcPr>
          <w:p w14:paraId="76F01974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13B56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1" w:type="pct"/>
            <w:noWrap w:val="0"/>
            <w:vAlign w:val="center"/>
          </w:tcPr>
          <w:p w14:paraId="64D01435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793" w:type="pct"/>
            <w:noWrap w:val="0"/>
            <w:vAlign w:val="center"/>
          </w:tcPr>
          <w:p w14:paraId="274D8B64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临汾</w:t>
            </w:r>
          </w:p>
        </w:tc>
        <w:tc>
          <w:tcPr>
            <w:tcW w:w="897" w:type="pct"/>
            <w:noWrap w:val="0"/>
            <w:vAlign w:val="center"/>
          </w:tcPr>
          <w:p w14:paraId="2D6BCA04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851" w:type="pct"/>
            <w:noWrap w:val="0"/>
            <w:vAlign w:val="center"/>
          </w:tcPr>
          <w:p w14:paraId="1F3ABF9B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928" w:type="pct"/>
            <w:noWrap w:val="0"/>
            <w:vAlign w:val="center"/>
          </w:tcPr>
          <w:p w14:paraId="6B87CEE6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928" w:type="pct"/>
            <w:noWrap w:val="0"/>
            <w:vAlign w:val="center"/>
          </w:tcPr>
          <w:p w14:paraId="0BE41F2E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0B90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" w:type="pct"/>
            <w:noWrap w:val="0"/>
            <w:vAlign w:val="center"/>
          </w:tcPr>
          <w:p w14:paraId="3EABC41D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793" w:type="pct"/>
            <w:noWrap w:val="0"/>
            <w:vAlign w:val="center"/>
          </w:tcPr>
          <w:p w14:paraId="11E22B03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长治</w:t>
            </w:r>
          </w:p>
        </w:tc>
        <w:tc>
          <w:tcPr>
            <w:tcW w:w="897" w:type="pct"/>
            <w:noWrap w:val="0"/>
            <w:vAlign w:val="center"/>
          </w:tcPr>
          <w:p w14:paraId="115CE5B3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pct"/>
            <w:noWrap w:val="0"/>
            <w:vAlign w:val="center"/>
          </w:tcPr>
          <w:p w14:paraId="1C0EDAA2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28" w:type="pct"/>
            <w:noWrap w:val="0"/>
            <w:vAlign w:val="center"/>
          </w:tcPr>
          <w:p w14:paraId="2FCEB860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928" w:type="pct"/>
            <w:noWrap w:val="0"/>
            <w:vAlign w:val="center"/>
          </w:tcPr>
          <w:p w14:paraId="36E69533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—</w:t>
            </w:r>
          </w:p>
        </w:tc>
      </w:tr>
      <w:tr w14:paraId="2DCE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601" w:type="pct"/>
            <w:noWrap w:val="0"/>
            <w:vAlign w:val="center"/>
          </w:tcPr>
          <w:p w14:paraId="76FD4BA5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793" w:type="pct"/>
            <w:noWrap w:val="0"/>
            <w:vAlign w:val="center"/>
          </w:tcPr>
          <w:p w14:paraId="312A3317">
            <w:pPr>
              <w:spacing w:line="579" w:lineRule="exact"/>
              <w:jc w:val="center"/>
              <w:rPr>
                <w:rFonts w:hint="default" w:ascii="Times New Roman" w:hAnsi="Times New Roman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吕梁</w:t>
            </w:r>
          </w:p>
        </w:tc>
        <w:tc>
          <w:tcPr>
            <w:tcW w:w="897" w:type="pct"/>
            <w:noWrap w:val="0"/>
            <w:vAlign w:val="center"/>
          </w:tcPr>
          <w:p w14:paraId="65FDCC50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851" w:type="pct"/>
            <w:noWrap w:val="0"/>
            <w:vAlign w:val="center"/>
          </w:tcPr>
          <w:p w14:paraId="6B2BABBB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928" w:type="pct"/>
            <w:noWrap w:val="0"/>
            <w:vAlign w:val="center"/>
          </w:tcPr>
          <w:p w14:paraId="32C51B86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28" w:type="pct"/>
            <w:noWrap w:val="0"/>
            <w:vAlign w:val="center"/>
          </w:tcPr>
          <w:p w14:paraId="19AF26C9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—</w:t>
            </w:r>
          </w:p>
        </w:tc>
      </w:tr>
      <w:tr w14:paraId="0FC5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601" w:type="pct"/>
            <w:noWrap w:val="0"/>
            <w:vAlign w:val="center"/>
          </w:tcPr>
          <w:p w14:paraId="35675972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793" w:type="pct"/>
            <w:noWrap w:val="0"/>
            <w:vAlign w:val="center"/>
          </w:tcPr>
          <w:p w14:paraId="68A14629">
            <w:pPr>
              <w:spacing w:line="579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897" w:type="pct"/>
            <w:noWrap w:val="0"/>
            <w:vAlign w:val="center"/>
          </w:tcPr>
          <w:p w14:paraId="4A1597C6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143</w:t>
            </w:r>
          </w:p>
        </w:tc>
        <w:tc>
          <w:tcPr>
            <w:tcW w:w="851" w:type="pct"/>
            <w:noWrap w:val="0"/>
            <w:vAlign w:val="center"/>
          </w:tcPr>
          <w:p w14:paraId="60E56EC3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67</w:t>
            </w:r>
          </w:p>
        </w:tc>
        <w:tc>
          <w:tcPr>
            <w:tcW w:w="928" w:type="pct"/>
            <w:noWrap w:val="0"/>
            <w:vAlign w:val="center"/>
          </w:tcPr>
          <w:p w14:paraId="6CD795E8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210</w:t>
            </w:r>
          </w:p>
        </w:tc>
        <w:tc>
          <w:tcPr>
            <w:tcW w:w="928" w:type="pct"/>
            <w:noWrap w:val="0"/>
            <w:vAlign w:val="center"/>
          </w:tcPr>
          <w:p w14:paraId="0E368E7F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</w:tr>
    </w:tbl>
    <w:p w14:paraId="5F0922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备注：制定监测计划期间共有8个养殖场处于停产状态，抽样期间如有奶站开产，则对该奶站开展生鲜乳专项监测抽样，如仍停产，请抽样期间县级畜牧部门出具该奶站停产证明。</w:t>
      </w:r>
    </w:p>
    <w:p w14:paraId="3F819525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原版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Liberation Sans">
    <w:altName w:val="华文行楷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A26E89"/>
    <w:rsid w:val="BDBDF37A"/>
    <w:rsid w:val="EFEF42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table" w:styleId="6">
    <w:name w:val="Table Grid"/>
    <w:basedOn w:val="5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默认段落字体1"/>
    <w:qFormat/>
    <w:uiPriority w:val="0"/>
  </w:style>
  <w:style w:type="paragraph" w:customStyle="1" w:styleId="9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0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0</TotalTime>
  <ScaleCrop>false</ScaleCrop>
  <LinksUpToDate>false</LinksUpToDate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2018-11-27T17:47:00Z</dcterms:created>
  <dc:creator>uos</dc:creator>
  <cp:lastModifiedBy>肉装皮师傅</cp:lastModifiedBy>
  <dcterms:modified xsi:type="dcterms:W3CDTF">2026-05-15T17:29:41Z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1F9B22E4883CEB2A62E6066A0EED6534_43</vt:lpwstr>
  </property>
</Properties>
</file>