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B568F">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1034FE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简体" w:cs="方正小标宋简体"/>
          <w:snapToGrid/>
          <w:color w:val="000000"/>
          <w:spacing w:val="0"/>
          <w:sz w:val="44"/>
          <w:szCs w:val="44"/>
          <w:highlight w:val="none"/>
          <w:lang w:val="en-US" w:eastAsia="zh-CN"/>
        </w:rPr>
      </w:pPr>
    </w:p>
    <w:p w14:paraId="2A55AAD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napToGrid/>
          <w:color w:val="000000"/>
          <w:spacing w:val="0"/>
          <w:sz w:val="44"/>
          <w:szCs w:val="44"/>
          <w:highlight w:val="none"/>
          <w:lang w:val="en-US" w:eastAsia="zh-CN"/>
        </w:rPr>
        <w:t>2026年部级生鲜乳质量安全监测计划</w:t>
      </w:r>
    </w:p>
    <w:p w14:paraId="05816E8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黑体" w:cs="黑体"/>
          <w:sz w:val="32"/>
          <w:szCs w:val="32"/>
          <w:lang w:val="en-US" w:eastAsia="zh-CN"/>
        </w:rPr>
      </w:pPr>
    </w:p>
    <w:p w14:paraId="7D3A520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一、生鲜乳质量安全例</w:t>
      </w:r>
      <w:bookmarkStart w:id="0" w:name="_GoBack"/>
      <w:bookmarkEnd w:id="0"/>
      <w:r>
        <w:rPr>
          <w:rFonts w:hint="eastAsia" w:ascii="Times New Roman" w:hAnsi="Times New Roman" w:eastAsia="黑体" w:cs="黑体"/>
          <w:sz w:val="32"/>
          <w:szCs w:val="32"/>
          <w:lang w:val="en-US" w:eastAsia="zh-CN"/>
        </w:rPr>
        <w:t>行监测计划</w:t>
      </w:r>
    </w:p>
    <w:p w14:paraId="77A1A53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 w:cs="楷体"/>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（一）监测区域</w:t>
      </w:r>
    </w:p>
    <w:p w14:paraId="33DCB13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太原、大同、长治、朔州、晋中、运城、忻州、临汾、吕梁</w:t>
      </w: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个市。</w:t>
      </w:r>
    </w:p>
    <w:p w14:paraId="3F50FD6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（二）监测内容</w:t>
      </w:r>
    </w:p>
    <w:p w14:paraId="5FCE862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我省全年抽检任务共</w:t>
      </w:r>
      <w:r>
        <w:rPr>
          <w:rFonts w:hint="eastAsia" w:ascii="Times New Roman" w:hAnsi="Times New Roman" w:eastAsia="仿宋_GB2312" w:cs="Times New Roman"/>
          <w:sz w:val="32"/>
          <w:szCs w:val="32"/>
          <w:lang w:val="en-US" w:eastAsia="zh-CN"/>
        </w:rPr>
        <w:t>220</w:t>
      </w:r>
      <w:r>
        <w:rPr>
          <w:rFonts w:hint="eastAsia" w:ascii="Times New Roman" w:hAnsi="Times New Roman" w:eastAsia="仿宋_GB2312" w:cs="仿宋_GB2312"/>
          <w:sz w:val="32"/>
          <w:szCs w:val="32"/>
          <w:lang w:val="en-US" w:eastAsia="zh-CN"/>
        </w:rPr>
        <w:t>批次生鲜乳样品，分上半年和下半年</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仿宋_GB2312"/>
          <w:sz w:val="32"/>
          <w:szCs w:val="32"/>
          <w:lang w:val="en-US" w:eastAsia="zh-CN"/>
        </w:rPr>
        <w:t>次开展（见附表）。监测对象为生鲜乳收购站和运输车。监测任务覆盖监测地区全部生鲜乳收购站。样品检测项目包括黄曲霉毒素M</w:t>
      </w:r>
      <w:r>
        <w:rPr>
          <w:rFonts w:hint="eastAsia" w:ascii="Times New Roman" w:hAnsi="Times New Roman" w:eastAsia="仿宋_GB2312" w:cs="仿宋_GB2312"/>
          <w:sz w:val="24"/>
          <w:szCs w:val="24"/>
          <w:lang w:val="en-US" w:eastAsia="zh-CN"/>
        </w:rPr>
        <w:t>1</w:t>
      </w:r>
      <w:r>
        <w:rPr>
          <w:rFonts w:hint="eastAsia" w:ascii="Times New Roman" w:hAnsi="Times New Roman" w:eastAsia="仿宋_GB2312" w:cs="仿宋_GB2312"/>
          <w:sz w:val="32"/>
          <w:szCs w:val="32"/>
          <w:lang w:val="en-US" w:eastAsia="zh-CN"/>
        </w:rPr>
        <w:t>、β-内酰胺酶、碱类物质、硫氰酸钠、三聚氰胺、铅、铬、汞和砷。所有样品均需开展碱类物质、黄曲霉毒素M</w:t>
      </w:r>
      <w:r>
        <w:rPr>
          <w:rFonts w:hint="eastAsia" w:ascii="Times New Roman" w:hAnsi="Times New Roman" w:eastAsia="仿宋_GB2312" w:cs="仿宋_GB2312"/>
          <w:sz w:val="24"/>
          <w:szCs w:val="24"/>
          <w:lang w:val="en-US" w:eastAsia="zh-CN"/>
        </w:rPr>
        <w:t>1</w:t>
      </w:r>
      <w:r>
        <w:rPr>
          <w:rFonts w:hint="eastAsia" w:ascii="Times New Roman" w:hAnsi="Times New Roman" w:eastAsia="仿宋_GB2312" w:cs="仿宋_GB2312"/>
          <w:sz w:val="32"/>
          <w:szCs w:val="32"/>
          <w:lang w:val="en-US" w:eastAsia="zh-CN"/>
        </w:rPr>
        <w:t>和β-内酰胺酶的检测，每次任务总样品量的</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仿宋_GB2312"/>
          <w:sz w:val="32"/>
          <w:szCs w:val="32"/>
          <w:lang w:val="en-US" w:eastAsia="zh-CN"/>
        </w:rPr>
        <w:t>开展三聚氰胺、硫氰酸钠、铅、铬、汞和砷</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仿宋_GB2312"/>
          <w:sz w:val="32"/>
          <w:szCs w:val="32"/>
          <w:lang w:val="en-US" w:eastAsia="zh-CN"/>
        </w:rPr>
        <w:t>项指标监测。</w:t>
      </w:r>
    </w:p>
    <w:p w14:paraId="14A8D04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（三）时间安排</w:t>
      </w:r>
    </w:p>
    <w:p w14:paraId="7607B5B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任务承担单位于</w:t>
      </w:r>
      <w:r>
        <w:rPr>
          <w:rFonts w:hint="eastAsia" w:ascii="Times New Roman" w:hAnsi="Times New Roman" w:eastAsia="仿宋_GB2312" w:cs="Times New Roman"/>
          <w:sz w:val="32"/>
          <w:szCs w:val="32"/>
          <w:lang w:val="en-US" w:eastAsia="zh-CN"/>
        </w:rPr>
        <w:t>5-9</w:t>
      </w:r>
      <w:r>
        <w:rPr>
          <w:rFonts w:hint="eastAsia" w:ascii="Times New Roman" w:hAnsi="Times New Roman" w:eastAsia="仿宋_GB2312" w:cs="仿宋_GB2312"/>
          <w:sz w:val="32"/>
          <w:szCs w:val="32"/>
          <w:lang w:val="en-US" w:eastAsia="zh-CN"/>
        </w:rPr>
        <w:t>月分上、下半年</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仿宋_GB2312"/>
          <w:sz w:val="32"/>
          <w:szCs w:val="32"/>
          <w:lang w:val="en-US" w:eastAsia="zh-CN"/>
        </w:rPr>
        <w:t>次完成我省的生鲜乳收购站和运输车的监测任务。</w:t>
      </w:r>
    </w:p>
    <w:p w14:paraId="4F4186B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二、生乳国标指标监测计划</w:t>
      </w:r>
    </w:p>
    <w:p w14:paraId="799D49B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（一）监测区域</w:t>
      </w:r>
    </w:p>
    <w:p w14:paraId="167637D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太原、晋中、大同、朔州</w:t>
      </w:r>
    </w:p>
    <w:p w14:paraId="0786533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（二）监测内容</w:t>
      </w:r>
    </w:p>
    <w:p w14:paraId="5938BCB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共抽样检测</w:t>
      </w:r>
      <w:r>
        <w:rPr>
          <w:rFonts w:hint="eastAsia" w:ascii="Times New Roman" w:hAnsi="Times New Roman" w:eastAsia="仿宋_GB2312" w:cs="Times New Roman"/>
          <w:sz w:val="32"/>
          <w:szCs w:val="32"/>
          <w:highlight w:val="none"/>
          <w:lang w:val="en-US" w:eastAsia="zh-CN"/>
        </w:rPr>
        <w:t>35</w:t>
      </w:r>
      <w:r>
        <w:rPr>
          <w:rFonts w:hint="eastAsia" w:ascii="Times New Roman" w:hAnsi="Times New Roman" w:eastAsia="仿宋_GB2312" w:cs="仿宋_GB2312"/>
          <w:sz w:val="32"/>
          <w:szCs w:val="32"/>
          <w:lang w:val="en-US" w:eastAsia="zh-CN"/>
        </w:rPr>
        <w:t>批次生鲜乳样品，</w:t>
      </w:r>
      <w:r>
        <w:rPr>
          <w:rFonts w:ascii="Times New Roman" w:hAnsi="Times New Roman" w:eastAsia="仿宋_GB2312"/>
          <w:sz w:val="32"/>
          <w:szCs w:val="32"/>
        </w:rPr>
        <w:t>分上半年和下半年</w:t>
      </w:r>
      <w:r>
        <w:rPr>
          <w:rFonts w:hint="default" w:ascii="Times New Roman" w:hAnsi="Times New Roman" w:eastAsia="仿宋_GB2312" w:cs="Times New Roman"/>
          <w:sz w:val="32"/>
          <w:szCs w:val="32"/>
          <w:highlight w:val="none"/>
          <w:lang w:val="en-US" w:eastAsia="zh-CN"/>
        </w:rPr>
        <w:t>2</w:t>
      </w:r>
      <w:r>
        <w:rPr>
          <w:rFonts w:ascii="Times New Roman" w:hAnsi="Times New Roman" w:eastAsia="仿宋_GB2312"/>
          <w:sz w:val="32"/>
          <w:szCs w:val="32"/>
        </w:rPr>
        <w:t>次开展</w:t>
      </w:r>
      <w:r>
        <w:rPr>
          <w:rFonts w:hint="eastAsia" w:ascii="Times New Roman" w:hAnsi="Times New Roman" w:eastAsia="仿宋_GB2312"/>
          <w:sz w:val="32"/>
          <w:szCs w:val="32"/>
          <w:lang w:eastAsia="zh-CN"/>
        </w:rPr>
        <w:t>，</w:t>
      </w:r>
      <w:r>
        <w:rPr>
          <w:rFonts w:hint="eastAsia" w:ascii="Times New Roman" w:hAnsi="Times New Roman" w:eastAsia="仿宋_GB2312" w:cs="仿宋_GB2312"/>
          <w:sz w:val="32"/>
          <w:szCs w:val="32"/>
          <w:lang w:val="en-US" w:eastAsia="zh-CN"/>
        </w:rPr>
        <w:t>上半年</w:t>
      </w:r>
      <w:r>
        <w:rPr>
          <w:rFonts w:hint="eastAsia" w:ascii="Times New Roman" w:hAnsi="Times New Roman" w:eastAsia="仿宋_GB2312" w:cs="Times New Roman"/>
          <w:sz w:val="32"/>
          <w:szCs w:val="32"/>
          <w:highlight w:val="none"/>
          <w:lang w:val="en-US" w:eastAsia="zh-CN"/>
        </w:rPr>
        <w:t>18</w:t>
      </w:r>
      <w:r>
        <w:rPr>
          <w:rFonts w:hint="eastAsia" w:ascii="Times New Roman" w:hAnsi="Times New Roman" w:eastAsia="仿宋_GB2312" w:cs="仿宋_GB2312"/>
          <w:sz w:val="32"/>
          <w:szCs w:val="32"/>
          <w:lang w:val="en-US" w:eastAsia="zh-CN"/>
        </w:rPr>
        <w:t>批次，下半年</w:t>
      </w:r>
      <w:r>
        <w:rPr>
          <w:rFonts w:hint="eastAsia" w:ascii="Times New Roman" w:hAnsi="Times New Roman" w:eastAsia="仿宋_GB2312" w:cs="Times New Roman"/>
          <w:sz w:val="32"/>
          <w:szCs w:val="32"/>
          <w:highlight w:val="none"/>
          <w:lang w:val="en-US" w:eastAsia="zh-CN"/>
        </w:rPr>
        <w:t>17</w:t>
      </w:r>
      <w:r>
        <w:rPr>
          <w:rFonts w:hint="eastAsia" w:ascii="Times New Roman" w:hAnsi="Times New Roman" w:eastAsia="仿宋_GB2312" w:cs="仿宋_GB2312"/>
          <w:sz w:val="32"/>
          <w:szCs w:val="32"/>
          <w:lang w:val="en-US" w:eastAsia="zh-CN"/>
        </w:rPr>
        <w:t>批次，其中包括</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仿宋_GB2312"/>
          <w:sz w:val="32"/>
          <w:szCs w:val="32"/>
          <w:lang w:val="en-US" w:eastAsia="zh-CN"/>
        </w:rPr>
        <w:t>批次绵羊乳。监测对象为生鲜乳收购站和生鲜乳运输车。样品检测包括项目包括冰点、酸度、非脂乳固体、杂质度、相对密度、蛋白质、脂肪、菌落总数和体细胞数。</w:t>
      </w:r>
    </w:p>
    <w:p w14:paraId="5825E93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（三）时间安排</w:t>
      </w:r>
    </w:p>
    <w:p w14:paraId="6105EF2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任务承担单位将于</w:t>
      </w:r>
      <w:r>
        <w:rPr>
          <w:rFonts w:hint="eastAsia" w:ascii="Times New Roman" w:hAnsi="Times New Roman" w:eastAsia="仿宋_GB2312" w:cs="Times New Roman"/>
          <w:sz w:val="32"/>
          <w:szCs w:val="32"/>
          <w:highlight w:val="none"/>
          <w:lang w:val="en-US" w:eastAsia="zh-CN"/>
        </w:rPr>
        <w:t>5-9</w:t>
      </w:r>
      <w:r>
        <w:rPr>
          <w:rFonts w:hint="eastAsia" w:ascii="Times New Roman" w:hAnsi="Times New Roman" w:eastAsia="仿宋_GB2312" w:cs="仿宋_GB2312"/>
          <w:sz w:val="32"/>
          <w:szCs w:val="32"/>
          <w:lang w:val="en-US" w:eastAsia="zh-CN"/>
        </w:rPr>
        <w:t>月与例行监测任务同步完成《生乳》国标指标抽检工作。</w:t>
      </w:r>
    </w:p>
    <w:p w14:paraId="027D567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三、婴幼儿配方乳粉奶源质量安全监测计划</w:t>
      </w:r>
    </w:p>
    <w:p w14:paraId="37DF886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（一）监测区域</w:t>
      </w:r>
    </w:p>
    <w:p w14:paraId="508E00E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朔州市应县</w:t>
      </w:r>
    </w:p>
    <w:p w14:paraId="6033387A">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（二）监测内容</w:t>
      </w:r>
    </w:p>
    <w:p w14:paraId="78D02DA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共监测</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仿宋_GB2312"/>
          <w:sz w:val="32"/>
          <w:szCs w:val="32"/>
          <w:lang w:val="en-US" w:eastAsia="zh-CN"/>
        </w:rPr>
        <w:t>批次生鲜乳样品。监测对象为生鲜乳收购站、生鲜乳运输车。样品检测项目为三聚氰胺、碱类物质、硫氰酸钠、</w:t>
      </w:r>
      <w:r>
        <w:rPr>
          <w:rFonts w:hint="default" w:ascii="Times New Roman" w:hAnsi="Times New Roman" w:eastAsia="仿宋_GB2312" w:cs="Times New Roman"/>
          <w:sz w:val="32"/>
          <w:szCs w:val="32"/>
          <w:lang w:val="en-US" w:eastAsia="zh-CN"/>
        </w:rPr>
        <w:t>β</w:t>
      </w:r>
      <w:r>
        <w:rPr>
          <w:rFonts w:hint="eastAsia" w:ascii="Times New Roman" w:hAnsi="Times New Roman" w:eastAsia="仿宋_GB2312" w:cs="仿宋_GB2312"/>
          <w:sz w:val="32"/>
          <w:szCs w:val="32"/>
          <w:lang w:val="en-US" w:eastAsia="zh-CN"/>
        </w:rPr>
        <w:t>-内酰胺酶、黄曲霉毒素</w:t>
      </w:r>
      <w:r>
        <w:rPr>
          <w:rFonts w:hint="default" w:ascii="Times New Roman" w:hAnsi="Times New Roman" w:eastAsia="仿宋_GB2312" w:cs="Times New Roman"/>
          <w:sz w:val="32"/>
          <w:szCs w:val="32"/>
          <w:lang w:val="en-US" w:eastAsia="zh-CN"/>
        </w:rPr>
        <w:t>M</w:t>
      </w: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仿宋_GB2312"/>
          <w:sz w:val="32"/>
          <w:szCs w:val="32"/>
          <w:lang w:val="en-US" w:eastAsia="zh-CN"/>
        </w:rPr>
        <w:t>、铅、铬、汞、砷和体细胞数。</w:t>
      </w:r>
    </w:p>
    <w:p w14:paraId="257B535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（三）时间安排</w:t>
      </w:r>
    </w:p>
    <w:p w14:paraId="57831CD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任务承担单位将于</w:t>
      </w:r>
      <w:r>
        <w:rPr>
          <w:rFonts w:hint="eastAsia" w:ascii="Times New Roman" w:hAnsi="Times New Roman" w:eastAsia="仿宋_GB2312" w:cs="Times New Roman"/>
          <w:sz w:val="32"/>
          <w:szCs w:val="32"/>
          <w:highlight w:val="none"/>
          <w:lang w:val="en-US" w:eastAsia="zh-CN"/>
        </w:rPr>
        <w:t>5-9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开展生鲜乳样品检测。</w:t>
      </w:r>
    </w:p>
    <w:p w14:paraId="268D402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四、监测方式</w:t>
      </w:r>
    </w:p>
    <w:p w14:paraId="12D7FCE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生鲜乳例行监测和婴幼儿配方乳粉奶源质量安全监测任务的监测方式，均包括抽样检测和现场检查。生乳国标指标监测任务的监测方式为抽样检测。</w:t>
      </w:r>
    </w:p>
    <w:p w14:paraId="5EA9F8F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（一）抽样检测</w:t>
      </w:r>
    </w:p>
    <w:p w14:paraId="6B51035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按照《生鲜乳质量安全监测工作规范》执行。任务承担单位与属地县级畜牧兽医主管部门共同完成抽样，每批次样品采集3份平行样。其中，1份留给受检单位并告知贮存条件，1份用于检测，1份用于异议复检。</w:t>
      </w:r>
    </w:p>
    <w:p w14:paraId="4DD795B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val="en-US" w:eastAsia="zh-CN"/>
        </w:rPr>
        <w:t>（二）现场检查</w:t>
      </w:r>
    </w:p>
    <w:p w14:paraId="6BBC6B3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任务承担单位按照生鲜乳收购站和生鲜乳运输车标准化管理检查内容和判定标准进行现场检查，现场检查由任务承担单位和属地县级畜牧兽医主管部门共同完成。</w:t>
      </w:r>
    </w:p>
    <w:p w14:paraId="24E551A9">
      <w:pPr>
        <w:rPr>
          <w:rFonts w:hint="eastAsia" w:ascii="Times New Roman" w:hAnsi="Times New Roman" w:eastAsia="黑体" w:cs="黑体"/>
          <w:sz w:val="32"/>
          <w:szCs w:val="32"/>
          <w:lang w:val="en-US" w:eastAsia="zh-CN"/>
        </w:rPr>
      </w:pPr>
      <w:r>
        <w:rPr>
          <w:rFonts w:hint="eastAsia" w:ascii="Times New Roman" w:hAnsi="Times New Roman" w:eastAsia="黑体" w:cs="黑体"/>
          <w:b w:val="0"/>
          <w:bCs w:val="0"/>
          <w:sz w:val="32"/>
          <w:szCs w:val="32"/>
          <w:lang w:val="en-US" w:eastAsia="zh-CN"/>
        </w:rPr>
        <w:br w:type="page"/>
      </w:r>
      <w:r>
        <w:rPr>
          <w:rFonts w:hint="eastAsia" w:ascii="Times New Roman" w:hAnsi="Times New Roman" w:eastAsia="黑体" w:cs="黑体"/>
          <w:sz w:val="32"/>
          <w:szCs w:val="32"/>
          <w:lang w:val="en-US" w:eastAsia="zh-CN"/>
        </w:rPr>
        <w:t>附表</w:t>
      </w:r>
    </w:p>
    <w:p w14:paraId="2AD4E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sz w:val="36"/>
          <w:szCs w:val="36"/>
          <w:lang w:val="en-US" w:eastAsia="zh-CN"/>
        </w:rPr>
      </w:pPr>
      <w:r>
        <w:rPr>
          <w:rFonts w:hint="eastAsia" w:ascii="方正小标宋简体" w:hAnsi="方正小标宋简体" w:eastAsia="方正小标宋简体" w:cs="方正小标宋简体"/>
          <w:b w:val="0"/>
          <w:bCs w:val="0"/>
          <w:snapToGrid/>
          <w:color w:val="000000"/>
          <w:spacing w:val="0"/>
          <w:sz w:val="36"/>
          <w:szCs w:val="36"/>
          <w:highlight w:val="none"/>
          <w:lang w:val="en-US" w:eastAsia="zh-CN"/>
        </w:rPr>
        <w:t>生鲜乳质量安全例行监测计划任务分配表</w:t>
      </w:r>
    </w:p>
    <w:tbl>
      <w:tblPr>
        <w:tblStyle w:val="6"/>
        <w:tblpPr w:leftFromText="180" w:rightFromText="180" w:vertAnchor="text" w:horzAnchor="page" w:tblpXSpec="center" w:tblpY="506"/>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321"/>
        <w:gridCol w:w="1529"/>
        <w:gridCol w:w="1450"/>
        <w:gridCol w:w="1581"/>
        <w:gridCol w:w="1581"/>
      </w:tblGrid>
      <w:tr w14:paraId="7CDF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2A7AEAC8">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28"/>
                <w:szCs w:val="28"/>
                <w:vertAlign w:val="baseline"/>
                <w:lang w:val="en-US" w:eastAsia="zh-CN"/>
              </w:rPr>
              <w:t>序号</w:t>
            </w:r>
          </w:p>
        </w:tc>
        <w:tc>
          <w:tcPr>
            <w:tcW w:w="775" w:type="pct"/>
            <w:noWrap w:val="0"/>
            <w:vAlign w:val="center"/>
          </w:tcPr>
          <w:p w14:paraId="37431663">
            <w:pPr>
              <w:spacing w:line="579" w:lineRule="exact"/>
              <w:jc w:val="center"/>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市名称</w:t>
            </w:r>
          </w:p>
        </w:tc>
        <w:tc>
          <w:tcPr>
            <w:tcW w:w="897" w:type="pct"/>
            <w:noWrap w:val="0"/>
            <w:vAlign w:val="center"/>
          </w:tcPr>
          <w:p w14:paraId="497CF53B">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奶站</w:t>
            </w:r>
          </w:p>
          <w:p w14:paraId="7604652B">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（批次）</w:t>
            </w:r>
          </w:p>
        </w:tc>
        <w:tc>
          <w:tcPr>
            <w:tcW w:w="851" w:type="pct"/>
            <w:noWrap w:val="0"/>
            <w:vAlign w:val="center"/>
          </w:tcPr>
          <w:p w14:paraId="38C1B755">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运输车（批次）</w:t>
            </w:r>
          </w:p>
        </w:tc>
        <w:tc>
          <w:tcPr>
            <w:tcW w:w="928" w:type="pct"/>
            <w:noWrap w:val="0"/>
            <w:vAlign w:val="center"/>
          </w:tcPr>
          <w:p w14:paraId="290A4916">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b w:val="0"/>
                <w:bCs w:val="0"/>
                <w:color w:val="auto"/>
                <w:sz w:val="32"/>
                <w:szCs w:val="32"/>
                <w:vertAlign w:val="baseline"/>
                <w:lang w:val="en-US" w:eastAsia="zh-CN"/>
              </w:rPr>
              <w:t>合计</w:t>
            </w:r>
          </w:p>
        </w:tc>
        <w:tc>
          <w:tcPr>
            <w:tcW w:w="928" w:type="pct"/>
            <w:noWrap w:val="0"/>
            <w:vAlign w:val="center"/>
          </w:tcPr>
          <w:p w14:paraId="3A648357">
            <w:pPr>
              <w:spacing w:line="579" w:lineRule="exact"/>
              <w:jc w:val="both"/>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28"/>
                <w:szCs w:val="28"/>
                <w:vertAlign w:val="baseline"/>
                <w:lang w:val="en-US" w:eastAsia="zh-CN"/>
              </w:rPr>
              <w:t>奶站停产情况（个）</w:t>
            </w:r>
          </w:p>
        </w:tc>
      </w:tr>
      <w:tr w14:paraId="5316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714606F6">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1</w:t>
            </w:r>
          </w:p>
        </w:tc>
        <w:tc>
          <w:tcPr>
            <w:tcW w:w="775" w:type="pct"/>
            <w:noWrap w:val="0"/>
            <w:vAlign w:val="center"/>
          </w:tcPr>
          <w:p w14:paraId="472433F0">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太原</w:t>
            </w:r>
          </w:p>
        </w:tc>
        <w:tc>
          <w:tcPr>
            <w:tcW w:w="897" w:type="pct"/>
            <w:noWrap w:val="0"/>
            <w:vAlign w:val="center"/>
          </w:tcPr>
          <w:p w14:paraId="46AC23F6">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8</w:t>
            </w:r>
          </w:p>
        </w:tc>
        <w:tc>
          <w:tcPr>
            <w:tcW w:w="851" w:type="pct"/>
            <w:noWrap w:val="0"/>
            <w:vAlign w:val="center"/>
          </w:tcPr>
          <w:p w14:paraId="71E06D94">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10</w:t>
            </w:r>
          </w:p>
        </w:tc>
        <w:tc>
          <w:tcPr>
            <w:tcW w:w="928" w:type="pct"/>
            <w:noWrap w:val="0"/>
            <w:vAlign w:val="center"/>
          </w:tcPr>
          <w:p w14:paraId="1DF17A18">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18</w:t>
            </w:r>
          </w:p>
        </w:tc>
        <w:tc>
          <w:tcPr>
            <w:tcW w:w="928" w:type="pct"/>
            <w:noWrap w:val="0"/>
            <w:vAlign w:val="center"/>
          </w:tcPr>
          <w:p w14:paraId="77ECDEEA">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1</w:t>
            </w:r>
          </w:p>
        </w:tc>
      </w:tr>
      <w:tr w14:paraId="367F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622EDCB4">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2</w:t>
            </w:r>
          </w:p>
        </w:tc>
        <w:tc>
          <w:tcPr>
            <w:tcW w:w="775" w:type="pct"/>
            <w:noWrap w:val="0"/>
            <w:vAlign w:val="center"/>
          </w:tcPr>
          <w:p w14:paraId="43DE1A88">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忻州</w:t>
            </w:r>
          </w:p>
        </w:tc>
        <w:tc>
          <w:tcPr>
            <w:tcW w:w="897" w:type="pct"/>
            <w:noWrap w:val="0"/>
            <w:vAlign w:val="center"/>
          </w:tcPr>
          <w:p w14:paraId="12D81EC7">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7</w:t>
            </w:r>
          </w:p>
        </w:tc>
        <w:tc>
          <w:tcPr>
            <w:tcW w:w="851" w:type="pct"/>
            <w:noWrap w:val="0"/>
            <w:vAlign w:val="center"/>
          </w:tcPr>
          <w:p w14:paraId="08D44D81">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33A56D2F">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7</w:t>
            </w:r>
          </w:p>
        </w:tc>
        <w:tc>
          <w:tcPr>
            <w:tcW w:w="928" w:type="pct"/>
            <w:noWrap w:val="0"/>
            <w:vAlign w:val="center"/>
          </w:tcPr>
          <w:p w14:paraId="6338B3DD">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1</w:t>
            </w:r>
          </w:p>
        </w:tc>
      </w:tr>
      <w:tr w14:paraId="4F4E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0" w:type="pct"/>
            <w:noWrap w:val="0"/>
            <w:vAlign w:val="center"/>
          </w:tcPr>
          <w:p w14:paraId="63671354">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3</w:t>
            </w:r>
          </w:p>
        </w:tc>
        <w:tc>
          <w:tcPr>
            <w:tcW w:w="775" w:type="pct"/>
            <w:noWrap w:val="0"/>
            <w:vAlign w:val="center"/>
          </w:tcPr>
          <w:p w14:paraId="5192EA48">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大同</w:t>
            </w:r>
          </w:p>
        </w:tc>
        <w:tc>
          <w:tcPr>
            <w:tcW w:w="897" w:type="pct"/>
            <w:noWrap w:val="0"/>
            <w:vAlign w:val="center"/>
          </w:tcPr>
          <w:p w14:paraId="33279659">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27</w:t>
            </w:r>
          </w:p>
        </w:tc>
        <w:tc>
          <w:tcPr>
            <w:tcW w:w="851" w:type="pct"/>
            <w:noWrap w:val="0"/>
            <w:vAlign w:val="center"/>
          </w:tcPr>
          <w:p w14:paraId="1BA2BED3">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141CF635">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27</w:t>
            </w:r>
          </w:p>
        </w:tc>
        <w:tc>
          <w:tcPr>
            <w:tcW w:w="928" w:type="pct"/>
            <w:noWrap w:val="0"/>
            <w:vAlign w:val="center"/>
          </w:tcPr>
          <w:p w14:paraId="0D2B677D">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1</w:t>
            </w:r>
          </w:p>
        </w:tc>
      </w:tr>
      <w:tr w14:paraId="7FC7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21070355">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4</w:t>
            </w:r>
          </w:p>
        </w:tc>
        <w:tc>
          <w:tcPr>
            <w:tcW w:w="775" w:type="pct"/>
            <w:noWrap w:val="0"/>
            <w:vAlign w:val="center"/>
          </w:tcPr>
          <w:p w14:paraId="58BA0312">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朔州</w:t>
            </w:r>
          </w:p>
        </w:tc>
        <w:tc>
          <w:tcPr>
            <w:tcW w:w="897" w:type="pct"/>
            <w:noWrap w:val="0"/>
            <w:vAlign w:val="center"/>
          </w:tcPr>
          <w:p w14:paraId="7D8B2084">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74</w:t>
            </w:r>
          </w:p>
        </w:tc>
        <w:tc>
          <w:tcPr>
            <w:tcW w:w="851" w:type="pct"/>
            <w:noWrap w:val="0"/>
            <w:vAlign w:val="center"/>
          </w:tcPr>
          <w:p w14:paraId="3C449032">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27</w:t>
            </w:r>
          </w:p>
        </w:tc>
        <w:tc>
          <w:tcPr>
            <w:tcW w:w="928" w:type="pct"/>
            <w:noWrap w:val="0"/>
            <w:vAlign w:val="center"/>
          </w:tcPr>
          <w:p w14:paraId="1F168259">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101</w:t>
            </w:r>
          </w:p>
        </w:tc>
        <w:tc>
          <w:tcPr>
            <w:tcW w:w="928" w:type="pct"/>
            <w:noWrap w:val="0"/>
            <w:vAlign w:val="center"/>
          </w:tcPr>
          <w:p w14:paraId="3CED9100">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3</w:t>
            </w:r>
          </w:p>
        </w:tc>
      </w:tr>
      <w:tr w14:paraId="1CA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6038E206">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5</w:t>
            </w:r>
          </w:p>
        </w:tc>
        <w:tc>
          <w:tcPr>
            <w:tcW w:w="775" w:type="pct"/>
            <w:noWrap w:val="0"/>
            <w:vAlign w:val="center"/>
          </w:tcPr>
          <w:p w14:paraId="3DD537B6">
            <w:pPr>
              <w:spacing w:line="579" w:lineRule="exact"/>
              <w:jc w:val="center"/>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晋中</w:t>
            </w:r>
          </w:p>
        </w:tc>
        <w:tc>
          <w:tcPr>
            <w:tcW w:w="897" w:type="pct"/>
            <w:noWrap w:val="0"/>
            <w:vAlign w:val="center"/>
          </w:tcPr>
          <w:p w14:paraId="619E4C27">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12</w:t>
            </w:r>
          </w:p>
        </w:tc>
        <w:tc>
          <w:tcPr>
            <w:tcW w:w="851" w:type="pct"/>
            <w:noWrap w:val="0"/>
            <w:vAlign w:val="center"/>
          </w:tcPr>
          <w:p w14:paraId="4CFE62A6">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40</w:t>
            </w:r>
          </w:p>
        </w:tc>
        <w:tc>
          <w:tcPr>
            <w:tcW w:w="928" w:type="pct"/>
            <w:noWrap w:val="0"/>
            <w:vAlign w:val="center"/>
          </w:tcPr>
          <w:p w14:paraId="29D6D1C7">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52</w:t>
            </w:r>
          </w:p>
        </w:tc>
        <w:tc>
          <w:tcPr>
            <w:tcW w:w="928" w:type="pct"/>
            <w:noWrap w:val="0"/>
            <w:vAlign w:val="center"/>
          </w:tcPr>
          <w:p w14:paraId="62724857">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r>
      <w:tr w14:paraId="1DE4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6585800D">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6</w:t>
            </w:r>
          </w:p>
        </w:tc>
        <w:tc>
          <w:tcPr>
            <w:tcW w:w="775" w:type="pct"/>
            <w:noWrap w:val="0"/>
            <w:vAlign w:val="center"/>
          </w:tcPr>
          <w:p w14:paraId="75D82B66">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运城</w:t>
            </w:r>
          </w:p>
        </w:tc>
        <w:tc>
          <w:tcPr>
            <w:tcW w:w="897" w:type="pct"/>
            <w:noWrap w:val="0"/>
            <w:vAlign w:val="center"/>
          </w:tcPr>
          <w:p w14:paraId="321ABE86">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5</w:t>
            </w:r>
          </w:p>
        </w:tc>
        <w:tc>
          <w:tcPr>
            <w:tcW w:w="851" w:type="pct"/>
            <w:noWrap w:val="0"/>
            <w:vAlign w:val="center"/>
          </w:tcPr>
          <w:p w14:paraId="16C3E5B3">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1A010372">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5</w:t>
            </w:r>
          </w:p>
        </w:tc>
        <w:tc>
          <w:tcPr>
            <w:tcW w:w="928" w:type="pct"/>
            <w:noWrap w:val="0"/>
            <w:vAlign w:val="center"/>
          </w:tcPr>
          <w:p w14:paraId="47697C16">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1</w:t>
            </w:r>
          </w:p>
        </w:tc>
      </w:tr>
      <w:tr w14:paraId="09A3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0" w:type="pct"/>
            <w:noWrap w:val="0"/>
            <w:vAlign w:val="center"/>
          </w:tcPr>
          <w:p w14:paraId="618D1C44">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7</w:t>
            </w:r>
          </w:p>
        </w:tc>
        <w:tc>
          <w:tcPr>
            <w:tcW w:w="775" w:type="pct"/>
            <w:noWrap w:val="0"/>
            <w:vAlign w:val="center"/>
          </w:tcPr>
          <w:p w14:paraId="6F529FC2">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临汾</w:t>
            </w:r>
          </w:p>
        </w:tc>
        <w:tc>
          <w:tcPr>
            <w:tcW w:w="897" w:type="pct"/>
            <w:noWrap w:val="0"/>
            <w:vAlign w:val="center"/>
          </w:tcPr>
          <w:p w14:paraId="12D492A4">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6</w:t>
            </w:r>
          </w:p>
        </w:tc>
        <w:tc>
          <w:tcPr>
            <w:tcW w:w="851" w:type="pct"/>
            <w:noWrap w:val="0"/>
            <w:vAlign w:val="center"/>
          </w:tcPr>
          <w:p w14:paraId="64AC1A3D">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67B8CF45">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6</w:t>
            </w:r>
          </w:p>
        </w:tc>
        <w:tc>
          <w:tcPr>
            <w:tcW w:w="928" w:type="pct"/>
            <w:noWrap w:val="0"/>
            <w:vAlign w:val="center"/>
          </w:tcPr>
          <w:p w14:paraId="1DECD287">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1</w:t>
            </w:r>
          </w:p>
        </w:tc>
      </w:tr>
      <w:tr w14:paraId="7B1A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0"/>
            <w:vAlign w:val="center"/>
          </w:tcPr>
          <w:p w14:paraId="58D32F28">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8</w:t>
            </w:r>
          </w:p>
        </w:tc>
        <w:tc>
          <w:tcPr>
            <w:tcW w:w="775" w:type="pct"/>
            <w:noWrap w:val="0"/>
            <w:vAlign w:val="center"/>
          </w:tcPr>
          <w:p w14:paraId="39BF79A7">
            <w:pPr>
              <w:spacing w:line="579" w:lineRule="exact"/>
              <w:jc w:val="center"/>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长治</w:t>
            </w:r>
          </w:p>
        </w:tc>
        <w:tc>
          <w:tcPr>
            <w:tcW w:w="897" w:type="pct"/>
            <w:noWrap w:val="0"/>
            <w:vAlign w:val="center"/>
          </w:tcPr>
          <w:p w14:paraId="3029CEFC">
            <w:pPr>
              <w:spacing w:line="579" w:lineRule="exact"/>
              <w:jc w:val="center"/>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3</w:t>
            </w:r>
          </w:p>
        </w:tc>
        <w:tc>
          <w:tcPr>
            <w:tcW w:w="851" w:type="pct"/>
            <w:noWrap w:val="0"/>
            <w:vAlign w:val="center"/>
          </w:tcPr>
          <w:p w14:paraId="7B0DE8EA">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6FBCD90D">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w:t>
            </w:r>
          </w:p>
        </w:tc>
        <w:tc>
          <w:tcPr>
            <w:tcW w:w="928" w:type="pct"/>
            <w:noWrap w:val="0"/>
            <w:vAlign w:val="center"/>
          </w:tcPr>
          <w:p w14:paraId="1F238002">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r>
      <w:tr w14:paraId="576A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20" w:type="pct"/>
            <w:noWrap w:val="0"/>
            <w:vAlign w:val="center"/>
          </w:tcPr>
          <w:p w14:paraId="79A2B883">
            <w:pPr>
              <w:spacing w:line="579" w:lineRule="exact"/>
              <w:jc w:val="center"/>
              <w:rPr>
                <w:rFonts w:hint="default" w:ascii="Times New Roman" w:hAnsi="Times New Roman" w:eastAsia="仿宋_GB2312" w:cs="Times New Roman"/>
                <w:b w:val="0"/>
                <w:bCs w:val="0"/>
                <w:color w:val="auto"/>
                <w:sz w:val="32"/>
                <w:szCs w:val="32"/>
                <w:vertAlign w:val="baseline"/>
                <w:lang w:val="en-US" w:eastAsia="zh-CN"/>
              </w:rPr>
            </w:pPr>
            <w:r>
              <w:rPr>
                <w:rFonts w:hint="default" w:ascii="Times New Roman" w:hAnsi="Times New Roman" w:eastAsia="仿宋_GB2312" w:cs="Times New Roman"/>
                <w:b w:val="0"/>
                <w:bCs w:val="0"/>
                <w:color w:val="auto"/>
                <w:sz w:val="32"/>
                <w:szCs w:val="32"/>
                <w:vertAlign w:val="baseline"/>
                <w:lang w:val="en-US" w:eastAsia="zh-CN"/>
              </w:rPr>
              <w:t>9</w:t>
            </w:r>
          </w:p>
        </w:tc>
        <w:tc>
          <w:tcPr>
            <w:tcW w:w="775" w:type="pct"/>
            <w:noWrap w:val="0"/>
            <w:vAlign w:val="center"/>
          </w:tcPr>
          <w:p w14:paraId="59C1AF4C">
            <w:pPr>
              <w:spacing w:line="579" w:lineRule="exact"/>
              <w:jc w:val="center"/>
              <w:rPr>
                <w:rFonts w:hint="default"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吕梁</w:t>
            </w:r>
          </w:p>
        </w:tc>
        <w:tc>
          <w:tcPr>
            <w:tcW w:w="897" w:type="pct"/>
            <w:noWrap w:val="0"/>
            <w:vAlign w:val="center"/>
          </w:tcPr>
          <w:p w14:paraId="77317D7F">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w:t>
            </w:r>
          </w:p>
        </w:tc>
        <w:tc>
          <w:tcPr>
            <w:tcW w:w="851" w:type="pct"/>
            <w:noWrap w:val="0"/>
            <w:vAlign w:val="center"/>
          </w:tcPr>
          <w:p w14:paraId="2D7800F1">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c>
          <w:tcPr>
            <w:tcW w:w="928" w:type="pct"/>
            <w:noWrap w:val="0"/>
            <w:vAlign w:val="center"/>
          </w:tcPr>
          <w:p w14:paraId="448F1276">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w:t>
            </w:r>
          </w:p>
        </w:tc>
        <w:tc>
          <w:tcPr>
            <w:tcW w:w="928" w:type="pct"/>
            <w:noWrap w:val="0"/>
            <w:vAlign w:val="center"/>
          </w:tcPr>
          <w:p w14:paraId="7835BE66">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w:t>
            </w:r>
          </w:p>
        </w:tc>
      </w:tr>
      <w:tr w14:paraId="4B2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20" w:type="pct"/>
            <w:noWrap w:val="0"/>
            <w:vAlign w:val="center"/>
          </w:tcPr>
          <w:p w14:paraId="120259FC">
            <w:pPr>
              <w:spacing w:line="579" w:lineRule="exact"/>
              <w:jc w:val="center"/>
              <w:rPr>
                <w:rFonts w:hint="eastAsia" w:ascii="Times New Roman" w:hAnsi="Times New Roman" w:eastAsia="仿宋_GB2312" w:cs="仿宋_GB2312"/>
                <w:b/>
                <w:bCs/>
                <w:color w:val="auto"/>
                <w:kern w:val="2"/>
                <w:sz w:val="32"/>
                <w:szCs w:val="32"/>
                <w:vertAlign w:val="baseline"/>
                <w:lang w:val="en-US" w:eastAsia="zh-CN" w:bidi="ar-SA"/>
              </w:rPr>
            </w:pPr>
            <w:r>
              <w:rPr>
                <w:rFonts w:hint="eastAsia" w:ascii="Times New Roman" w:hAnsi="Times New Roman" w:eastAsia="仿宋_GB2312" w:cs="仿宋_GB2312"/>
                <w:b/>
                <w:bCs/>
                <w:color w:val="auto"/>
                <w:sz w:val="28"/>
                <w:szCs w:val="28"/>
                <w:vertAlign w:val="baseline"/>
                <w:lang w:val="en-US" w:eastAsia="zh-CN"/>
              </w:rPr>
              <w:t>合计</w:t>
            </w:r>
          </w:p>
        </w:tc>
        <w:tc>
          <w:tcPr>
            <w:tcW w:w="775" w:type="pct"/>
            <w:noWrap w:val="0"/>
            <w:vAlign w:val="center"/>
          </w:tcPr>
          <w:p w14:paraId="6C947E00">
            <w:pPr>
              <w:spacing w:line="579" w:lineRule="exact"/>
              <w:jc w:val="center"/>
              <w:rPr>
                <w:rFonts w:hint="eastAsia" w:ascii="Times New Roman" w:hAnsi="Times New Roman" w:eastAsia="仿宋_GB2312" w:cs="仿宋_GB2312"/>
                <w:b/>
                <w:bCs/>
                <w:color w:val="auto"/>
                <w:kern w:val="2"/>
                <w:sz w:val="32"/>
                <w:szCs w:val="32"/>
                <w:vertAlign w:val="baseline"/>
                <w:lang w:val="en-US" w:eastAsia="zh-CN" w:bidi="ar-SA"/>
              </w:rPr>
            </w:pPr>
          </w:p>
        </w:tc>
        <w:tc>
          <w:tcPr>
            <w:tcW w:w="897" w:type="pct"/>
            <w:noWrap w:val="0"/>
            <w:vAlign w:val="center"/>
          </w:tcPr>
          <w:p w14:paraId="51E3EFD3">
            <w:pPr>
              <w:spacing w:line="579" w:lineRule="exact"/>
              <w:jc w:val="center"/>
              <w:rPr>
                <w:rFonts w:hint="default" w:ascii="Times New Roman" w:hAnsi="Times New Roman" w:eastAsia="仿宋_GB2312" w:cs="Times New Roman"/>
                <w:color w:val="auto"/>
                <w:kern w:val="2"/>
                <w:sz w:val="32"/>
                <w:szCs w:val="32"/>
                <w:vertAlign w:val="baseline"/>
                <w:lang w:val="en-US" w:eastAsia="zh-CN" w:bidi="ar-SA"/>
              </w:rPr>
            </w:pPr>
            <w:r>
              <w:rPr>
                <w:rFonts w:hint="default" w:ascii="Times New Roman" w:hAnsi="Times New Roman" w:eastAsia="仿宋_GB2312" w:cs="Times New Roman"/>
                <w:color w:val="auto"/>
                <w:sz w:val="32"/>
                <w:szCs w:val="32"/>
                <w:vertAlign w:val="baseline"/>
                <w:lang w:val="en-US" w:eastAsia="zh-CN"/>
              </w:rPr>
              <w:t>143</w:t>
            </w:r>
          </w:p>
        </w:tc>
        <w:tc>
          <w:tcPr>
            <w:tcW w:w="851" w:type="pct"/>
            <w:noWrap w:val="0"/>
            <w:vAlign w:val="center"/>
          </w:tcPr>
          <w:p w14:paraId="54918BBD">
            <w:pPr>
              <w:spacing w:line="579" w:lineRule="exact"/>
              <w:jc w:val="center"/>
              <w:rPr>
                <w:rFonts w:hint="default" w:ascii="Times New Roman" w:hAnsi="Times New Roman" w:eastAsia="仿宋_GB2312" w:cs="Times New Roman"/>
                <w:color w:val="auto"/>
                <w:kern w:val="2"/>
                <w:sz w:val="32"/>
                <w:szCs w:val="32"/>
                <w:vertAlign w:val="baseline"/>
                <w:lang w:val="en-US" w:eastAsia="zh-CN" w:bidi="ar-SA"/>
              </w:rPr>
            </w:pPr>
            <w:r>
              <w:rPr>
                <w:rFonts w:hint="default" w:ascii="Times New Roman" w:hAnsi="Times New Roman" w:eastAsia="仿宋_GB2312" w:cs="Times New Roman"/>
                <w:color w:val="auto"/>
                <w:sz w:val="32"/>
                <w:szCs w:val="32"/>
                <w:vertAlign w:val="baseline"/>
                <w:lang w:val="en-US" w:eastAsia="zh-CN"/>
              </w:rPr>
              <w:t>77</w:t>
            </w:r>
          </w:p>
        </w:tc>
        <w:tc>
          <w:tcPr>
            <w:tcW w:w="928" w:type="pct"/>
            <w:noWrap w:val="0"/>
            <w:vAlign w:val="center"/>
          </w:tcPr>
          <w:p w14:paraId="53B54A60">
            <w:pPr>
              <w:spacing w:line="579" w:lineRule="exact"/>
              <w:jc w:val="center"/>
              <w:rPr>
                <w:rFonts w:hint="default" w:ascii="Times New Roman" w:hAnsi="Times New Roman" w:eastAsia="仿宋_GB2312" w:cs="Times New Roman"/>
                <w:color w:val="auto"/>
                <w:kern w:val="2"/>
                <w:sz w:val="32"/>
                <w:szCs w:val="32"/>
                <w:vertAlign w:val="baseline"/>
                <w:lang w:val="en-US" w:eastAsia="zh-CN" w:bidi="ar-SA"/>
              </w:rPr>
            </w:pPr>
            <w:r>
              <w:rPr>
                <w:rFonts w:hint="default" w:ascii="Times New Roman" w:hAnsi="Times New Roman" w:eastAsia="仿宋_GB2312" w:cs="Times New Roman"/>
                <w:color w:val="auto"/>
                <w:sz w:val="32"/>
                <w:szCs w:val="32"/>
                <w:vertAlign w:val="baseline"/>
                <w:lang w:val="en-US" w:eastAsia="zh-CN"/>
              </w:rPr>
              <w:t>220</w:t>
            </w:r>
          </w:p>
        </w:tc>
        <w:tc>
          <w:tcPr>
            <w:tcW w:w="928" w:type="pct"/>
            <w:noWrap w:val="0"/>
            <w:vAlign w:val="center"/>
          </w:tcPr>
          <w:p w14:paraId="7418975F">
            <w:pPr>
              <w:spacing w:line="579" w:lineRule="exact"/>
              <w:jc w:val="center"/>
              <w:rPr>
                <w:rFonts w:hint="default" w:ascii="Times New Roman" w:hAnsi="Times New Roman" w:eastAsia="仿宋_GB2312" w:cs="Times New Roman"/>
                <w:color w:val="auto"/>
                <w:sz w:val="32"/>
                <w:szCs w:val="32"/>
                <w:vertAlign w:val="baseline"/>
                <w:lang w:val="en-US" w:eastAsia="zh-CN"/>
              </w:rPr>
            </w:pPr>
            <w:r>
              <w:rPr>
                <w:rFonts w:hint="eastAsia" w:ascii="Times New Roman" w:hAnsi="Times New Roman" w:eastAsia="仿宋_GB2312" w:cs="Times New Roman"/>
                <w:color w:val="auto"/>
                <w:sz w:val="32"/>
                <w:szCs w:val="32"/>
                <w:vertAlign w:val="baseline"/>
                <w:lang w:val="en-US" w:eastAsia="zh-CN"/>
              </w:rPr>
              <w:t>8</w:t>
            </w:r>
          </w:p>
        </w:tc>
      </w:tr>
    </w:tbl>
    <w:p w14:paraId="32F062D9">
      <w:pPr>
        <w:keepNext w:val="0"/>
        <w:keepLines w:val="0"/>
        <w:pageBreakBefore w:val="0"/>
        <w:widowControl w:val="0"/>
        <w:numPr>
          <w:ilvl w:val="0"/>
          <w:numId w:val="0"/>
        </w:numPr>
        <w:kinsoku/>
        <w:wordWrap/>
        <w:overflowPunct/>
        <w:topLinePunct w:val="0"/>
        <w:autoSpaceDE/>
        <w:autoSpaceDN/>
        <w:bidi w:val="0"/>
        <w:adjustRightInd/>
        <w:snapToGrid/>
        <w:spacing w:line="359" w:lineRule="exact"/>
        <w:ind w:left="960" w:hanging="960" w:hangingChars="300"/>
        <w:jc w:val="lef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xml:space="preserve"> </w:t>
      </w:r>
    </w:p>
    <w:p w14:paraId="42B3BBB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0" w:firstLineChars="0"/>
        <w:jc w:val="left"/>
        <w:textAlignment w:val="auto"/>
      </w:pPr>
      <w:r>
        <w:rPr>
          <w:rFonts w:hint="eastAsia" w:ascii="仿宋_GB2312" w:hAnsi="仿宋_GB2312" w:eastAsia="仿宋_GB2312" w:cs="仿宋_GB2312"/>
          <w:sz w:val="32"/>
          <w:szCs w:val="32"/>
          <w:lang w:val="en-US" w:eastAsia="zh-CN"/>
        </w:rPr>
        <w:t>备注：1.制定监测计划期间共有8个养殖场处于停产状态，抽样期间如有奶站开产，则对该奶站开展生鲜乳例行监测抽样，如仍停产，请抽样期间县级畜牧部门出具该奶站停产证明。2.运输车采样工作在乳企开展。</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原版宋体"/>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原版宋体">
    <w:panose1 w:val="02010600030101010101"/>
    <w:charset w:val="86"/>
    <w:family w:val="auto"/>
    <w:pitch w:val="default"/>
    <w:sig w:usb0="00000003" w:usb1="080E0000" w:usb2="00000000" w:usb3="00000000" w:csb0="00040001" w:csb1="00000000"/>
  </w:font>
  <w:font w:name="Liberation Sans">
    <w:altName w:val="华文行楷"/>
    <w:panose1 w:val="00000000000000000000"/>
    <w:charset w:val="00"/>
    <w:family w:val="swiss"/>
    <w:pitch w:val="default"/>
    <w:sig w:usb0="00000000" w:usb1="00000000" w:usb2="00000000" w:usb3="00000000" w:csb0="00040001" w:csb1="00000000"/>
  </w:font>
  <w:font w:name="华文行楷">
    <w:panose1 w:val="02010800040101010101"/>
    <w:charset w:val="86"/>
    <w:family w:val="auto"/>
    <w:pitch w:val="default"/>
    <w:sig w:usb0="00000001" w:usb1="080F0000" w:usb2="00000000" w:usb3="00000000" w:csb0="00040000" w:csb1="0000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CFF0DC"/>
    <w:rsid w:val="9FFCE65E"/>
    <w:rsid w:val="BDBDF3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7">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List"/>
    <w:basedOn w:val="3"/>
    <w:qFormat/>
    <w:uiPriority w:val="0"/>
  </w:style>
  <w:style w:type="table" w:styleId="6">
    <w:name w:val="Table Grid"/>
    <w:basedOn w:val="5"/>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默认段落字体1"/>
    <w:qFormat/>
    <w:uiPriority w:val="0"/>
  </w:style>
  <w:style w:type="paragraph" w:customStyle="1" w:styleId="9">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0">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2018-11-27T17:47:00Z</dcterms:created>
  <dc:creator>uos</dc:creator>
  <cp:lastModifiedBy>肉装皮师傅</cp:lastModifiedBy>
  <dcterms:modified xsi:type="dcterms:W3CDTF">2026-05-15T17:29:22Z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1F9B22E4883CEB2A62E6066A0EED6534_43</vt:lpwstr>
  </property>
</Properties>
</file>