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1157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 w:ascii="黑体" w:hAnsi="黑体" w:eastAsia="黑体" w:cs="黑体"/>
          <w:b w:val="0"/>
          <w:bCs w:val="0"/>
          <w:spacing w:val="0"/>
          <w:w w:val="1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pacing w:val="0"/>
          <w:w w:val="10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pacing w:val="0"/>
          <w:w w:val="100"/>
          <w:sz w:val="32"/>
          <w:szCs w:val="32"/>
          <w:lang w:val="en-US" w:eastAsia="zh-CN"/>
        </w:rPr>
        <w:t>4</w:t>
      </w:r>
    </w:p>
    <w:p w14:paraId="7D3A6A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9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0"/>
          <w:w w:val="1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0"/>
          <w:w w:val="100"/>
          <w:sz w:val="44"/>
          <w:szCs w:val="44"/>
        </w:rPr>
        <w:t>生鲜乳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w w:val="100"/>
          <w:sz w:val="44"/>
          <w:szCs w:val="44"/>
          <w:lang w:val="en-US" w:eastAsia="zh-CN"/>
        </w:rPr>
        <w:t>抽样</w:t>
      </w:r>
      <w:r>
        <w:rPr>
          <w:rFonts w:hint="eastAsia" w:ascii="方正小标宋简体" w:hAnsi="方正小标宋简体" w:eastAsia="方正小标宋简体" w:cs="方正小标宋简体"/>
          <w:spacing w:val="0"/>
          <w:w w:val="100"/>
          <w:sz w:val="44"/>
          <w:szCs w:val="44"/>
        </w:rPr>
        <w:t>检测及判定方法</w:t>
      </w:r>
    </w:p>
    <w:p w14:paraId="2E0625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72"/>
        <w:textAlignment w:val="auto"/>
        <w:rPr>
          <w:rFonts w:ascii="Times New Roman" w:hAnsi="Times New Roman" w:eastAsia="黑体" w:cs="黑体"/>
          <w:spacing w:val="0"/>
          <w:w w:val="100"/>
          <w:sz w:val="32"/>
          <w:szCs w:val="32"/>
        </w:rPr>
      </w:pPr>
      <w:r>
        <w:rPr>
          <w:rFonts w:ascii="Times New Roman" w:hAnsi="Times New Roman" w:eastAsia="黑体" w:cs="黑体"/>
          <w:spacing w:val="0"/>
          <w:w w:val="100"/>
          <w:sz w:val="32"/>
          <w:szCs w:val="32"/>
        </w:rPr>
        <w:t>一、抽样方法</w:t>
      </w:r>
    </w:p>
    <w:p w14:paraId="698A09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26" w:right="15" w:firstLine="640"/>
        <w:textAlignment w:val="auto"/>
        <w:rPr>
          <w:rFonts w:hint="eastAsia" w:ascii="Times New Roman" w:hAnsi="Times New Roman" w:eastAsia="仿宋" w:cs="仿宋"/>
          <w:b w:val="0"/>
          <w:bC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pacing w:val="0"/>
          <w:w w:val="10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spacing w:val="0"/>
          <w:w w:val="100"/>
          <w:sz w:val="32"/>
          <w:szCs w:val="32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b w:val="0"/>
          <w:bCs w:val="0"/>
          <w:spacing w:val="0"/>
          <w:w w:val="100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b w:val="0"/>
          <w:bCs w:val="0"/>
          <w:spacing w:val="0"/>
          <w:w w:val="100"/>
          <w:sz w:val="32"/>
          <w:szCs w:val="32"/>
          <w:lang w:val="en-US" w:eastAsia="zh-CN"/>
        </w:rPr>
        <w:t>抽样设备</w:t>
      </w:r>
    </w:p>
    <w:p w14:paraId="225269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28" w:right="17" w:firstLine="641"/>
        <w:textAlignment w:val="auto"/>
        <w:rPr>
          <w:rFonts w:ascii="Times New Roman" w:hAnsi="Times New Roman" w:eastAsia="仿宋" w:cs="仿宋"/>
          <w:spacing w:val="-4"/>
          <w:w w:val="100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</w:rPr>
        <w:t>采</w:t>
      </w:r>
      <w:r>
        <w:rPr>
          <w:rFonts w:hint="eastAsia" w:ascii="Times New Roman" w:hAnsi="Times New Roman" w:eastAsia="仿宋_GB2312" w:cs="仿宋_GB2312"/>
          <w:spacing w:val="-4"/>
          <w:w w:val="100"/>
          <w:sz w:val="32"/>
          <w:szCs w:val="32"/>
        </w:rPr>
        <w:t>样工具应使用洁净的不锈钢液态乳铲斗（见图1）。</w:t>
      </w:r>
      <w:r>
        <w:rPr>
          <w:rFonts w:hint="eastAsia" w:ascii="Times New Roman" w:hAnsi="Times New Roman" w:eastAsia="仿宋_GB2312" w:cs="仿宋_GB2312"/>
          <w:spacing w:val="-4"/>
          <w:w w:val="100"/>
          <w:sz w:val="32"/>
          <w:szCs w:val="32"/>
          <w:highlight w:val="none"/>
        </w:rPr>
        <w:t>对于</w:t>
      </w:r>
      <w:r>
        <w:rPr>
          <w:rFonts w:hint="eastAsia" w:ascii="Times New Roman" w:hAnsi="Times New Roman" w:eastAsia="仿宋_GB2312" w:cs="仿宋_GB2312"/>
          <w:spacing w:val="-4"/>
          <w:w w:val="100"/>
          <w:sz w:val="32"/>
          <w:szCs w:val="32"/>
        </w:rPr>
        <w:t>没有机械搅拌设备的储奶罐，采用人工搅拌器（见图</w:t>
      </w:r>
      <w:r>
        <w:rPr>
          <w:rFonts w:hint="eastAsia" w:ascii="Times New Roman" w:hAnsi="Times New Roman" w:eastAsia="仿宋_GB2312" w:cs="仿宋_GB2312"/>
          <w:spacing w:val="-4"/>
          <w:w w:val="100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仿宋_GB2312"/>
          <w:spacing w:val="-4"/>
          <w:w w:val="100"/>
          <w:sz w:val="32"/>
          <w:szCs w:val="32"/>
        </w:rPr>
        <w:t>）</w:t>
      </w:r>
      <w:r>
        <w:rPr>
          <w:rFonts w:hint="eastAsia" w:ascii="Times New Roman" w:hAnsi="Times New Roman" w:eastAsia="仿宋_GB2312" w:cs="仿宋_GB2312"/>
          <w:spacing w:val="-4"/>
          <w:w w:val="100"/>
          <w:sz w:val="32"/>
          <w:szCs w:val="32"/>
          <w:highlight w:val="none"/>
        </w:rPr>
        <w:t>进行</w:t>
      </w:r>
      <w:r>
        <w:rPr>
          <w:rFonts w:hint="eastAsia" w:ascii="Times New Roman" w:hAnsi="Times New Roman" w:eastAsia="仿宋_GB2312" w:cs="仿宋_GB2312"/>
          <w:spacing w:val="-4"/>
          <w:w w:val="100"/>
          <w:sz w:val="32"/>
          <w:szCs w:val="32"/>
        </w:rPr>
        <w:t>搅拌。</w:t>
      </w:r>
    </w:p>
    <w:p w14:paraId="6B580F35">
      <w:pPr>
        <w:spacing w:before="235" w:line="4200" w:lineRule="exact"/>
        <w:ind w:firstLine="3098"/>
        <w:textAlignment w:val="center"/>
        <w:rPr>
          <w:rFonts w:ascii="Times New Roman" w:hAnsi="Times New Roman"/>
        </w:rPr>
      </w:pP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1858645</wp:posOffset>
                </wp:positionH>
                <wp:positionV relativeFrom="paragraph">
                  <wp:posOffset>2774950</wp:posOffset>
                </wp:positionV>
                <wp:extent cx="1645920" cy="399415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5920" cy="399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D274060">
                            <w:pPr>
                              <w:spacing w:before="19" w:line="190" w:lineRule="auto"/>
                              <w:ind w:firstLine="20"/>
                              <w:rPr>
                                <w:rFonts w:hint="eastAsia" w:ascii="Times New Roman" w:hAnsi="Times New Roman" w:eastAsia="仿宋_GB2312" w:cs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Times New Roman" w:hAnsi="Times New Roman" w:eastAsia="仿宋_GB2312" w:cs="仿宋_GB2312"/>
                                <w:spacing w:val="-14"/>
                                <w:sz w:val="28"/>
                                <w:szCs w:val="28"/>
                              </w:rPr>
                              <w:t>图</w:t>
                            </w:r>
                            <w:r>
                              <w:rPr>
                                <w:rFonts w:hint="eastAsia" w:ascii="Times New Roman" w:hAnsi="Times New Roman" w:eastAsia="仿宋_GB2312" w:cs="仿宋_GB2312"/>
                                <w:spacing w:val="-3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Times New Roman" w:hAnsi="Times New Roman" w:eastAsia="仿宋_GB2312" w:cs="仿宋_GB2312"/>
                                <w:spacing w:val="-14"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hint="eastAsia" w:ascii="Times New Roman" w:hAnsi="Times New Roman" w:eastAsia="仿宋_GB2312" w:cs="仿宋_GB2312"/>
                                <w:spacing w:val="4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Times New Roman" w:hAnsi="Times New Roman" w:eastAsia="仿宋_GB2312" w:cs="仿宋_GB2312"/>
                                <w:spacing w:val="-14"/>
                                <w:sz w:val="28"/>
                                <w:szCs w:val="28"/>
                              </w:rPr>
                              <w:t>液态乳铲斗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6.35pt;margin-top:218.5pt;height:31.45pt;width:129.6pt;z-index:-251657216;mso-width-relative:page;mso-height-relative:page;" filled="f" stroked="f" coordsize="21600,21600" o:gfxdata="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VFvXv2gAAAAsBAAAPAAAAAAAAAAEAIAAAACIAAABkcnMvZG93bnJldi54&#10;bWxQSwECFAAUAAAACACHTuJAOKQ8/78BAACCAwAADgAAAAAAAAABACAAAAApAQAAZHJzL2Uyb0Rv&#10;Yy54bWxQSwUGAAAAAAYABgBZAQAAWgUAAAAA&#10;">
                <v:path/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2D274060">
                      <w:pPr>
                        <w:spacing w:before="19" w:line="190" w:lineRule="auto"/>
                        <w:ind w:firstLine="20"/>
                        <w:rPr>
                          <w:rFonts w:hint="eastAsia" w:ascii="Times New Roman" w:hAnsi="Times New Roman" w:eastAsia="仿宋_GB2312" w:cs="仿宋_GB2312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Times New Roman" w:hAnsi="Times New Roman" w:eastAsia="仿宋_GB2312" w:cs="仿宋_GB2312"/>
                          <w:spacing w:val="-14"/>
                          <w:sz w:val="28"/>
                          <w:szCs w:val="28"/>
                        </w:rPr>
                        <w:t>图</w:t>
                      </w:r>
                      <w:r>
                        <w:rPr>
                          <w:rFonts w:hint="eastAsia" w:ascii="Times New Roman" w:hAnsi="Times New Roman" w:eastAsia="仿宋_GB2312" w:cs="仿宋_GB2312"/>
                          <w:spacing w:val="-3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hint="eastAsia" w:ascii="Times New Roman" w:hAnsi="Times New Roman" w:eastAsia="仿宋_GB2312" w:cs="仿宋_GB2312"/>
                          <w:spacing w:val="-14"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hint="eastAsia" w:ascii="Times New Roman" w:hAnsi="Times New Roman" w:eastAsia="仿宋_GB2312" w:cs="仿宋_GB2312"/>
                          <w:spacing w:val="4"/>
                          <w:sz w:val="28"/>
                          <w:szCs w:val="28"/>
                        </w:rPr>
                        <w:t xml:space="preserve">    </w:t>
                      </w:r>
                      <w:r>
                        <w:rPr>
                          <w:rFonts w:hint="eastAsia" w:ascii="Times New Roman" w:hAnsi="Times New Roman" w:eastAsia="仿宋_GB2312" w:cs="仿宋_GB2312"/>
                          <w:spacing w:val="-14"/>
                          <w:sz w:val="28"/>
                          <w:szCs w:val="28"/>
                        </w:rPr>
                        <w:t>液态乳铲斗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1967230</wp:posOffset>
            </wp:positionH>
            <wp:positionV relativeFrom="page">
              <wp:posOffset>3747135</wp:posOffset>
            </wp:positionV>
            <wp:extent cx="1358900" cy="2667000"/>
            <wp:effectExtent l="0" t="0" r="12700" b="0"/>
            <wp:wrapNone/>
            <wp:docPr id="2" name="图片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57D44BA">
      <w:pPr>
        <w:spacing w:line="255" w:lineRule="auto"/>
        <w:rPr>
          <w:rFonts w:ascii="Times New Roman" w:hAnsi="Times New Roman"/>
          <w:sz w:val="21"/>
        </w:rPr>
      </w:pPr>
    </w:p>
    <w:p w14:paraId="60E10A9F">
      <w:pPr>
        <w:rPr>
          <w:rFonts w:hint="eastAsia" w:ascii="仿宋_GB2312" w:hAnsi="仿宋_GB2312" w:eastAsia="仿宋_GB2312" w:cs="仿宋_GB2312"/>
          <w:spacing w:val="0"/>
          <w:w w:val="100"/>
          <w:sz w:val="21"/>
          <w:szCs w:val="21"/>
        </w:rPr>
      </w:pPr>
      <w: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2097405</wp:posOffset>
                </wp:positionH>
                <wp:positionV relativeFrom="paragraph">
                  <wp:posOffset>2275840</wp:posOffset>
                </wp:positionV>
                <wp:extent cx="1645920" cy="549275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5920" cy="549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E397C7F">
                            <w:pPr>
                              <w:spacing w:before="19" w:line="190" w:lineRule="auto"/>
                              <w:ind w:firstLine="20"/>
                              <w:rPr>
                                <w:rFonts w:hint="eastAsia" w:ascii="Times New Roman" w:hAnsi="Times New Roman" w:eastAsia="仿宋_GB2312" w:cs="仿宋_GB2312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eastAsia="仿宋_GB2312" w:cs="仿宋_GB2312"/>
                                <w:spacing w:val="-14"/>
                                <w:sz w:val="28"/>
                                <w:szCs w:val="28"/>
                              </w:rPr>
                              <w:t>图</w:t>
                            </w:r>
                            <w:r>
                              <w:rPr>
                                <w:rFonts w:hint="eastAsia" w:ascii="Times New Roman" w:hAnsi="Times New Roman" w:eastAsia="仿宋_GB2312" w:cs="仿宋_GB2312"/>
                                <w:spacing w:val="-3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Times New Roman" w:hAnsi="Times New Roman" w:eastAsia="仿宋_GB2312" w:cs="仿宋_GB2312"/>
                                <w:spacing w:val="-31"/>
                                <w:sz w:val="28"/>
                                <w:szCs w:val="28"/>
                                <w:lang w:val="en-US" w:eastAsia="zh-CN"/>
                              </w:rPr>
                              <w:t>2</w:t>
                            </w:r>
                            <w:r>
                              <w:rPr>
                                <w:rFonts w:hint="eastAsia" w:ascii="Times New Roman" w:hAnsi="Times New Roman" w:eastAsia="仿宋_GB2312" w:cs="仿宋_GB2312"/>
                                <w:spacing w:val="4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Times New Roman" w:hAnsi="Times New Roman" w:eastAsia="仿宋_GB2312" w:cs="仿宋_GB2312"/>
                                <w:spacing w:val="-14"/>
                                <w:sz w:val="28"/>
                                <w:szCs w:val="28"/>
                                <w:lang w:eastAsia="zh-CN"/>
                              </w:rPr>
                              <w:t>人工搅拌器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5.15pt;margin-top:179.2pt;height:43.25pt;width:129.6pt;z-index:-251656192;mso-width-relative:page;mso-height-relative:page;" filled="f" stroked="f" coordsize="21600,21600" o:gfxdata="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FRDNNzaAAAACwEAAA8AAAAAAAAAAQAgAAAAIgAAAGRycy9kb3ducmV2Lnht&#10;bFBLAQIUABQAAAAIAIdO4kC2PAq3vgEAAIIDAAAOAAAAAAAAAAEAIAAAACkBAABkcnMvZTJvRG9j&#10;LnhtbFBLBQYAAAAABgAGAFkBAABZBQAAAAA=&#10;">
                <v:path/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7E397C7F">
                      <w:pPr>
                        <w:spacing w:before="19" w:line="190" w:lineRule="auto"/>
                        <w:ind w:firstLine="20"/>
                        <w:rPr>
                          <w:rFonts w:hint="eastAsia" w:ascii="Times New Roman" w:hAnsi="Times New Roman" w:eastAsia="仿宋_GB2312" w:cs="仿宋_GB2312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Times New Roman" w:hAnsi="Times New Roman" w:eastAsia="仿宋_GB2312" w:cs="仿宋_GB2312"/>
                          <w:spacing w:val="-14"/>
                          <w:sz w:val="28"/>
                          <w:szCs w:val="28"/>
                        </w:rPr>
                        <w:t>图</w:t>
                      </w:r>
                      <w:r>
                        <w:rPr>
                          <w:rFonts w:hint="eastAsia" w:ascii="Times New Roman" w:hAnsi="Times New Roman" w:eastAsia="仿宋_GB2312" w:cs="仿宋_GB2312"/>
                          <w:spacing w:val="-3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hint="eastAsia" w:ascii="Times New Roman" w:hAnsi="Times New Roman" w:eastAsia="仿宋_GB2312" w:cs="仿宋_GB2312"/>
                          <w:spacing w:val="-31"/>
                          <w:sz w:val="28"/>
                          <w:szCs w:val="28"/>
                          <w:lang w:val="en-US" w:eastAsia="zh-CN"/>
                        </w:rPr>
                        <w:t>2</w:t>
                      </w:r>
                      <w:r>
                        <w:rPr>
                          <w:rFonts w:hint="eastAsia" w:ascii="Times New Roman" w:hAnsi="Times New Roman" w:eastAsia="仿宋_GB2312" w:cs="仿宋_GB2312"/>
                          <w:spacing w:val="4"/>
                          <w:sz w:val="28"/>
                          <w:szCs w:val="28"/>
                        </w:rPr>
                        <w:t xml:space="preserve">    </w:t>
                      </w:r>
                      <w:r>
                        <w:rPr>
                          <w:rFonts w:hint="eastAsia" w:ascii="Times New Roman" w:hAnsi="Times New Roman" w:eastAsia="仿宋_GB2312" w:cs="仿宋_GB2312"/>
                          <w:spacing w:val="-14"/>
                          <w:sz w:val="28"/>
                          <w:szCs w:val="28"/>
                          <w:lang w:eastAsia="zh-CN"/>
                        </w:rPr>
                        <w:t>人工搅拌器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>
        <w:rPr>
          <w:sz w:val="21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233680</wp:posOffset>
            </wp:positionH>
            <wp:positionV relativeFrom="paragraph">
              <wp:posOffset>330835</wp:posOffset>
            </wp:positionV>
            <wp:extent cx="5278120" cy="1887855"/>
            <wp:effectExtent l="0" t="0" r="17780" b="17145"/>
            <wp:wrapNone/>
            <wp:docPr id="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88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>
        <w:rPr>
          <w:rFonts w:hint="eastAsia" w:ascii="仿宋_GB2312" w:hAnsi="仿宋_GB2312" w:eastAsia="仿宋_GB2312" w:cs="仿宋_GB2312"/>
          <w:spacing w:val="0"/>
          <w:w w:val="100"/>
          <w:sz w:val="21"/>
          <w:szCs w:val="21"/>
        </w:rPr>
        <w:br w:type="page"/>
      </w:r>
    </w:p>
    <w:p w14:paraId="4FC6FC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Times New Roman" w:hAnsi="Times New Roman" w:eastAsia="楷体" w:cs="楷体"/>
          <w:b w:val="0"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样品容器</w:t>
      </w:r>
    </w:p>
    <w:p w14:paraId="4C8DD4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应使用清洁干燥、不透水、不透油、密封性良好的容器作为样品采集容器。</w:t>
      </w:r>
    </w:p>
    <w:p w14:paraId="4AD9D2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（三）样品的采集</w:t>
      </w:r>
    </w:p>
    <w:p w14:paraId="639554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对生鲜乳收购站的储奶罐，采样前首先开动机械式搅拌装置搅拌至少5分钟。对于没有机械搅拌设备的储奶罐，采样前先用人工搅拌器（图2）探入罐底，采取从下至上的方式搅拌30次以上。样品充分混匀后，用液态乳铲斗从表面、中部、底部三点采样，每个点采集1升。将三点采集到的样品混合至4升塑料容器中，充分混合均匀后，用采样瓶分装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仿宋_GB2312"/>
          <w:sz w:val="32"/>
          <w:szCs w:val="32"/>
        </w:rPr>
        <w:t>份，根据监测内容和指标要求，每份样品不少于100毫升。</w:t>
      </w:r>
    </w:p>
    <w:p w14:paraId="19E10E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（四）样品的保存和运输</w:t>
      </w:r>
    </w:p>
    <w:p w14:paraId="031D52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生鲜乳样品采集后采用保温箱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</w:rPr>
        <w:t>内加冷媒运输。运输过程中保持保温箱内温度不高于4℃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</w:rPr>
        <w:t>24小时送抵检测单位，应尽快进行检测。如果不能保证24小时抵达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</w:rPr>
        <w:t>应利用当地制冷设备保存，确保样品不变质。留给受检单位的样品应要求其在冰柜、冰箱等设备中-20℃冷冻保存。</w:t>
      </w:r>
    </w:p>
    <w:p w14:paraId="080966C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28" w:firstLineChars="200"/>
        <w:textAlignment w:val="auto"/>
        <w:rPr>
          <w:rFonts w:ascii="Times New Roman" w:hAnsi="Times New Roman" w:eastAsia="黑体" w:cs="黑体"/>
          <w:spacing w:val="-3"/>
          <w:sz w:val="32"/>
          <w:szCs w:val="32"/>
        </w:rPr>
      </w:pPr>
      <w:r>
        <w:rPr>
          <w:rFonts w:ascii="Times New Roman" w:hAnsi="Times New Roman" w:eastAsia="黑体" w:cs="黑体"/>
          <w:spacing w:val="-3"/>
          <w:sz w:val="32"/>
          <w:szCs w:val="32"/>
        </w:rPr>
        <w:t>检测及判定方法</w:t>
      </w:r>
    </w:p>
    <w:p w14:paraId="72C419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（一）三聚氰胺</w:t>
      </w:r>
    </w:p>
    <w:p w14:paraId="62CA81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 xml:space="preserve">可采用快速法进行初步筛选，快速方法的检出限原则上不高于0.05mg/kg，高出检出限的样品采用《原料乳与乳制品中三聚氰胺检测方法》（GB/T 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22388</w:t>
      </w:r>
      <w:r>
        <w:rPr>
          <w:rFonts w:hint="eastAsia" w:ascii="Times New Roman" w:hAnsi="Times New Roman" w:eastAsia="仿宋_GB2312" w:cs="仿宋_GB2312"/>
          <w:sz w:val="32"/>
          <w:szCs w:val="32"/>
        </w:rPr>
        <w:t>-2008）第二法或第三法进行确证，并依据《卫生部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仿宋_GB2312"/>
          <w:sz w:val="32"/>
          <w:szCs w:val="32"/>
        </w:rPr>
        <w:t>工业和信息化部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仿宋_GB2312"/>
          <w:sz w:val="32"/>
          <w:szCs w:val="32"/>
        </w:rPr>
        <w:t>农业部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仿宋_GB2312"/>
          <w:sz w:val="32"/>
          <w:szCs w:val="32"/>
        </w:rPr>
        <w:t>国家工商行政管理总局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仿宋_GB2312"/>
          <w:sz w:val="32"/>
          <w:szCs w:val="32"/>
        </w:rPr>
        <w:t>国家质检总局公告》（2011年第10号）进行判定。上报的检测结果为具体检测值。</w:t>
      </w:r>
    </w:p>
    <w:p w14:paraId="5F5860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（二）碱类物质</w:t>
      </w:r>
    </w:p>
    <w:p w14:paraId="074068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依据《生乳中碱类物质的测定》（T/TDSTIA 017-2019）进行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现场</w:t>
      </w:r>
      <w:r>
        <w:rPr>
          <w:rFonts w:hint="eastAsia" w:ascii="Times New Roman" w:hAnsi="Times New Roman" w:eastAsia="仿宋_GB2312" w:cs="仿宋_GB2312"/>
          <w:sz w:val="32"/>
          <w:szCs w:val="32"/>
        </w:rPr>
        <w:t>检测，检测结果超出方法检出限即判定为不合格。对不合格的样品，检测单位应书面告知受检单位。受检单位如果对结果有异议，检测单位应在当地立即进行复检。如复检仍不合格，则判定该项指标不合格，并书面通知当地畜牧兽医部门。</w:t>
      </w:r>
    </w:p>
    <w:p w14:paraId="3CA71C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（三）β-内酰胺酶</w:t>
      </w:r>
    </w:p>
    <w:p w14:paraId="7B2B2F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应在当地采用快速法进行检测筛选，生羊乳样品快速法的检出限不高于3U/mL、生水牛乳样品快速法的检出限不高于1U/mL、其他样品快速法的检出限不高于4U/mL。高出检出限的样品，依据《生乳中β-内酰胺酶的测定》（NY/T 3313-2018）（第一法）进行确证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检测结果超出方法检出即判定为不合格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 w14:paraId="74EAF2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（四）硫氰酸钠</w:t>
      </w:r>
    </w:p>
    <w:p w14:paraId="48D76A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依据《生乳中硫氰酸根的测定 离子色谱法》（NY/T 3513-2019）进行确证检测，上报的检测结果为具体检测值。</w:t>
      </w:r>
    </w:p>
    <w:p w14:paraId="49421D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（五）铅</w:t>
      </w:r>
    </w:p>
    <w:p w14:paraId="23C24B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依据《食品安全国家标准 食品中铅的测定》（GB 5009.12-20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23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）进行检测，根据《食品安全国家标准 生乳》（GB 19301-2010）进行判定，含量大于0.0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仿宋_GB2312"/>
          <w:sz w:val="32"/>
          <w:szCs w:val="32"/>
        </w:rPr>
        <w:t>mg/kg即为不合格。上报的检测结果为具体检测值。</w:t>
      </w:r>
    </w:p>
    <w:p w14:paraId="7FFC56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（六）铬</w:t>
      </w:r>
    </w:p>
    <w:p w14:paraId="56D76D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依据《食品安全国家标准 食品中铬的测定》（GB 5009. 123-20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23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）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进行检测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</w:rPr>
        <w:t>根据《食品安全国家标准 生乳》（GB 19301-2010）进行判定，含量大于0.3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</w:rPr>
        <w:t>mg/kg即为不合格。上报的检测结果为具体检测值。</w:t>
      </w:r>
    </w:p>
    <w:p w14:paraId="51D386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（七）汞</w:t>
      </w:r>
    </w:p>
    <w:p w14:paraId="396A7B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依据《食品安全国家标准 食品中总汞及有机汞的测定》（GB 5009.17-20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21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）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进行检测，根据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《食品安全国家标准 生乳》（GB 19301-2010）进行判定，总汞含量大于0.01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</w:rPr>
        <w:t>mg/kg即为不合格。上报的检测结果为具体检测值。</w:t>
      </w:r>
    </w:p>
    <w:p w14:paraId="696115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（八）砷</w:t>
      </w:r>
    </w:p>
    <w:p w14:paraId="1D1DBB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依据《食品安全国家标准 食品中总砷及无机砷的测定》（GB 5009.11-20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仿宋_GB2312"/>
          <w:sz w:val="32"/>
          <w:szCs w:val="32"/>
        </w:rPr>
        <w:t>4）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检测总砷，</w:t>
      </w:r>
      <w:r>
        <w:rPr>
          <w:rFonts w:hint="eastAsia" w:ascii="Times New Roman" w:hAnsi="Times New Roman" w:eastAsia="仿宋_GB2312" w:cs="仿宋_GB2312"/>
          <w:sz w:val="32"/>
          <w:szCs w:val="32"/>
        </w:rPr>
        <w:t>根据《食品安全国家标准 生乳》（GB 19301-2010）进行判定，总砷含量大于0.1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</w:rPr>
        <w:t>mg/kg即为不合格。上报的检测结果为具体检测值。</w:t>
      </w:r>
    </w:p>
    <w:p w14:paraId="3EDB14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（九）黄曲霉毒素M1</w:t>
      </w:r>
    </w:p>
    <w:p w14:paraId="332831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可采用快速法进行初步筛选，快速方法的检出限不高于 0.03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</w:rPr>
        <w:t>µg/kg。高出检出限的样品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依据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《食品安全国家标准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</w:rPr>
        <w:t>食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品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中黄曲霉毒素M族的测定》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仿宋_GB2312"/>
          <w:sz w:val="32"/>
          <w:szCs w:val="32"/>
        </w:rPr>
        <w:t>GB 5009.24-2016）第一法或第二法进行确证。依据《食品安全国家标准 生乳》（GB 19301-2010）进行判定，含量大于0.5 µg/kg即为不合格。上报的检测结果为具体检测值。</w:t>
      </w:r>
    </w:p>
    <w:p w14:paraId="5F27CE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（十）体细胞数</w:t>
      </w:r>
    </w:p>
    <w:p w14:paraId="2702BE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依据《生鲜牛乳中体细胞的测定方法》（NY/T 800-2004）进行检测，上报的检测结果为具体检测值。</w:t>
      </w:r>
    </w:p>
    <w:p w14:paraId="5B67F1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（十一）冰点</w:t>
      </w:r>
    </w:p>
    <w:p w14:paraId="374CFB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依据《食品安全国家标准 生乳冰点的测定》（GB 5413.38-2016）进行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当地</w:t>
      </w:r>
      <w:r>
        <w:rPr>
          <w:rFonts w:hint="eastAsia" w:ascii="Times New Roman" w:hAnsi="Times New Roman" w:eastAsia="仿宋_GB2312" w:cs="仿宋_GB2312"/>
          <w:sz w:val="32"/>
          <w:szCs w:val="32"/>
        </w:rPr>
        <w:t>检测，上报的检测结果为具体检测值。</w:t>
      </w:r>
    </w:p>
    <w:p w14:paraId="588C25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（十二）酸度</w:t>
      </w:r>
    </w:p>
    <w:p w14:paraId="320428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依据《食品安全国家标准 食品酸度的测定》（GB 5009.239-2016）进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当地</w:t>
      </w:r>
      <w:r>
        <w:rPr>
          <w:rFonts w:hint="eastAsia" w:ascii="Times New Roman" w:hAnsi="Times New Roman" w:eastAsia="仿宋_GB2312" w:cs="仿宋_GB2312"/>
          <w:sz w:val="32"/>
          <w:szCs w:val="32"/>
        </w:rPr>
        <w:t>检测，上报的检测结果为具体检测值。</w:t>
      </w:r>
    </w:p>
    <w:p w14:paraId="678909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（十三）非乳脂固体</w:t>
      </w:r>
    </w:p>
    <w:p w14:paraId="3FB80F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依据《食品安全国家标准 乳和乳制品中非脂乳固体的测定》（GB 5413.39-2010）进行检测，上报的检测结果为具体检测值。</w:t>
      </w:r>
    </w:p>
    <w:p w14:paraId="6EF1EB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（十四）杂质度</w:t>
      </w:r>
    </w:p>
    <w:p w14:paraId="5EA6DA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依据《食品安全国家标准 乳和乳制品杂质度的测定》（GB 5413.30-2016）进行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当地</w:t>
      </w:r>
      <w:r>
        <w:rPr>
          <w:rFonts w:hint="eastAsia" w:ascii="Times New Roman" w:hAnsi="Times New Roman" w:eastAsia="仿宋_GB2312" w:cs="仿宋_GB2312"/>
          <w:sz w:val="32"/>
          <w:szCs w:val="32"/>
        </w:rPr>
        <w:t>检测，上报的检测结果为具体检测值。</w:t>
      </w:r>
    </w:p>
    <w:p w14:paraId="64DEF7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（十五）相对密度</w:t>
      </w:r>
    </w:p>
    <w:p w14:paraId="766187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依据《食品安全国家标准 食品相对密度的测定》（GB 5009.2-20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24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）进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当地</w:t>
      </w:r>
      <w:r>
        <w:rPr>
          <w:rFonts w:hint="eastAsia" w:ascii="Times New Roman" w:hAnsi="Times New Roman" w:eastAsia="仿宋_GB2312" w:cs="仿宋_GB2312"/>
          <w:sz w:val="32"/>
          <w:szCs w:val="32"/>
        </w:rPr>
        <w:t>检测，上报的检测结果为具体检测值。</w:t>
      </w:r>
    </w:p>
    <w:p w14:paraId="33C9FD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（十六）蛋白质</w:t>
      </w:r>
    </w:p>
    <w:p w14:paraId="5EEB03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依据《食品安全国家标准 食品中蛋白质的测定》（GB 5009.5-20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25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）进行检测，上报的检测结果为具体检测值。</w:t>
      </w:r>
    </w:p>
    <w:p w14:paraId="1219FB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（十七）脂肪</w:t>
      </w:r>
    </w:p>
    <w:p w14:paraId="2C3EC7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依据《食品安全国家标准 食品中脂肪的测定》（GB 5009.6-20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25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）进行检测，上报的检测结果为具体检测值。</w:t>
      </w:r>
    </w:p>
    <w:p w14:paraId="0E80E6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（十八）菌落总数</w:t>
      </w:r>
    </w:p>
    <w:p w14:paraId="42E78B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依据《食品安全国家标准 食品微生物学检验菌落总数测定》（GB 4789.2-20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22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）进行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当地</w:t>
      </w:r>
      <w:r>
        <w:rPr>
          <w:rFonts w:hint="eastAsia" w:ascii="Times New Roman" w:hAnsi="Times New Roman" w:eastAsia="仿宋_GB2312" w:cs="仿宋_GB2312"/>
          <w:sz w:val="32"/>
          <w:szCs w:val="32"/>
        </w:rPr>
        <w:t>检测，上报的检测结果为具体检测值。</w:t>
      </w:r>
    </w:p>
    <w:p w14:paraId="6EE78F08"/>
    <w:sectPr>
      <w:pgSz w:w="11906" w:h="16838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原版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原版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Liberation Sans">
    <w:altName w:val="华文行楷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Noto Sans CJK SC Regular">
    <w:panose1 w:val="020B0500000000000000"/>
    <w:charset w:val="86"/>
    <w:family w:val="auto"/>
    <w:pitch w:val="default"/>
    <w:sig w:usb0="30000003" w:usb1="2BDF3C10" w:usb2="00000016" w:usb3="00000000" w:csb0="602E0107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2D7DB87"/>
    <w:multiLevelType w:val="singleLevel"/>
    <w:tmpl w:val="D2D7DB8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"/>
  <w:drawingGridVerticalSpacing w:val="1"/>
  <w:displayHorizontalDrawingGridEvery w:val="0"/>
  <w:displayVerticalDrawingGridEvery w:val="0"/>
  <w:doNotUseMarginsForDrawingGridOrigin w:val="1"/>
  <w:drawingGridHorizontalOrigin w:val="0"/>
  <w:drawingGridVerticalOrigin w:val="0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DFD0728"/>
    <w:rsid w:val="BDBDF37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qFormat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styleId="3">
    <w:name w:val="Body Text"/>
    <w:basedOn w:val="1"/>
    <w:qFormat/>
    <w:uiPriority w:val="0"/>
    <w:pPr>
      <w:spacing w:before="0" w:after="140" w:line="276" w:lineRule="auto"/>
    </w:pPr>
  </w:style>
  <w:style w:type="paragraph" w:styleId="4">
    <w:name w:val="List"/>
    <w:basedOn w:val="3"/>
    <w:qFormat/>
    <w:uiPriority w:val="0"/>
  </w:style>
  <w:style w:type="character" w:customStyle="1" w:styleId="7">
    <w:name w:val="默认段落字体1"/>
    <w:qFormat/>
    <w:uiPriority w:val="0"/>
  </w:style>
  <w:style w:type="paragraph" w:customStyle="1" w:styleId="8">
    <w:name w:val="Heading"/>
    <w:basedOn w:val="1"/>
    <w:next w:val="3"/>
    <w:qFormat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 w:cs="Noto Sans CJK SC Regular"/>
      <w:sz w:val="28"/>
      <w:szCs w:val="28"/>
      <w:lang w:bidi="ar-SA"/>
    </w:rPr>
  </w:style>
  <w:style w:type="paragraph" w:customStyle="1" w:styleId="9">
    <w:name w:val="Index"/>
    <w:basedOn w:val="1"/>
    <w:qFormat/>
    <w:uiPriority w:val="0"/>
    <w:pPr>
      <w:widowControl w:val="0"/>
      <w:suppressLineNumbers/>
      <w:suppressAutoHyphens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TotalTime>0</TotalTime>
  <ScaleCrop>false</ScaleCrop>
  <LinksUpToDate>false</LinksUpToDate>
  <Application>WPS Office_12.1.2.23578_F1E327BC-269C-435d-A152-05C5408002CA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2018-11-27T09:47:00Z</dcterms:created>
  <dc:creator>uos</dc:creator>
  <cp:lastModifiedBy>肉装皮师傅</cp:lastModifiedBy>
  <dcterms:modified xsi:type="dcterms:W3CDTF">2026-05-15T17:30:11Z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1F9B22E4883CEB2A62E6066A0EED6534_43</vt:lpwstr>
  </property>
</Properties>
</file>