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43B9" w14:textId="77777777" w:rsidR="00E976EA" w:rsidRDefault="00E976EA">
      <w:pPr>
        <w:spacing w:line="240" w:lineRule="auto"/>
        <w:ind w:firstLine="880"/>
        <w:jc w:val="center"/>
        <w:rPr>
          <w:rFonts w:ascii="宋体" w:eastAsia="宋体" w:hAnsi="宋体" w:cs="宋体"/>
          <w:sz w:val="44"/>
          <w:szCs w:val="44"/>
        </w:rPr>
      </w:pPr>
      <w:bookmarkStart w:id="0" w:name="_Toc20402"/>
    </w:p>
    <w:p w14:paraId="2328FD9B" w14:textId="77777777" w:rsidR="00E976EA" w:rsidRDefault="00E976EA">
      <w:pPr>
        <w:spacing w:line="240" w:lineRule="auto"/>
        <w:ind w:firstLine="880"/>
        <w:jc w:val="center"/>
        <w:rPr>
          <w:rFonts w:ascii="宋体" w:eastAsia="宋体" w:hAnsi="宋体" w:cs="宋体"/>
          <w:sz w:val="44"/>
          <w:szCs w:val="44"/>
        </w:rPr>
      </w:pPr>
    </w:p>
    <w:p w14:paraId="7695DE46" w14:textId="77777777" w:rsidR="00E976EA" w:rsidRDefault="00000000">
      <w:pPr>
        <w:spacing w:line="240" w:lineRule="auto"/>
        <w:ind w:firstLine="880"/>
        <w:jc w:val="center"/>
        <w:rPr>
          <w:rFonts w:ascii="宋体" w:eastAsia="宋体" w:hAnsi="宋体" w:cs="宋体"/>
          <w:sz w:val="44"/>
          <w:szCs w:val="44"/>
        </w:rPr>
      </w:pPr>
      <w:r>
        <w:rPr>
          <w:rFonts w:ascii="宋体" w:eastAsia="宋体" w:hAnsi="宋体" w:cs="宋体" w:hint="eastAsia"/>
          <w:sz w:val="44"/>
          <w:szCs w:val="44"/>
        </w:rPr>
        <w:t>辽宁省规范行政裁量权办法</w:t>
      </w:r>
      <w:bookmarkEnd w:id="0"/>
    </w:p>
    <w:p w14:paraId="6E7D21C2" w14:textId="77777777" w:rsidR="00E976EA" w:rsidRDefault="00000000">
      <w:pPr>
        <w:spacing w:line="240" w:lineRule="auto"/>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（2011年1月20日辽宁省人民政府第252号令公布 自2011年2月20日起施行）</w:t>
      </w:r>
    </w:p>
    <w:p w14:paraId="5184F2E8" w14:textId="77777777" w:rsidR="00E976EA" w:rsidRDefault="00E976EA">
      <w:pPr>
        <w:pStyle w:val="a7"/>
        <w:shd w:val="clear" w:color="auto" w:fill="FFFFFF"/>
        <w:spacing w:beforeAutospacing="0" w:afterAutospacing="0" w:line="240" w:lineRule="auto"/>
        <w:jc w:val="both"/>
        <w:rPr>
          <w:rStyle w:val="a8"/>
          <w:rFonts w:ascii="宋体" w:eastAsia="宋体" w:hAnsi="宋体" w:cs="宋体"/>
          <w:b w:val="0"/>
          <w:sz w:val="36"/>
          <w:szCs w:val="36"/>
          <w:shd w:val="clear" w:color="auto" w:fill="FFFFFF"/>
        </w:rPr>
      </w:pPr>
    </w:p>
    <w:p w14:paraId="7467899E" w14:textId="77777777" w:rsidR="00E976EA" w:rsidRDefault="00000000">
      <w:pPr>
        <w:spacing w:line="240" w:lineRule="auto"/>
        <w:ind w:firstLine="640"/>
        <w:jc w:val="center"/>
        <w:rPr>
          <w:rFonts w:ascii="宋体" w:eastAsia="黑体" w:hAnsi="宋体" w:cs="宋体"/>
          <w:bCs/>
          <w:kern w:val="0"/>
          <w:sz w:val="32"/>
          <w:szCs w:val="32"/>
          <w:shd w:val="clear" w:color="auto" w:fill="FFFFFF"/>
        </w:rPr>
      </w:pPr>
      <w:r>
        <w:rPr>
          <w:rFonts w:ascii="宋体" w:eastAsia="黑体" w:hAnsi="宋体" w:cs="宋体" w:hint="eastAsia"/>
          <w:bCs/>
          <w:kern w:val="0"/>
          <w:sz w:val="32"/>
          <w:szCs w:val="32"/>
          <w:shd w:val="clear" w:color="auto" w:fill="FFFFFF"/>
        </w:rPr>
        <w:t>第一章　总　则</w:t>
      </w:r>
    </w:p>
    <w:p w14:paraId="43175C59" w14:textId="77777777" w:rsidR="00E976EA" w:rsidRDefault="00E976EA">
      <w:pPr>
        <w:pStyle w:val="a7"/>
        <w:shd w:val="clear" w:color="auto" w:fill="FFFFFF"/>
        <w:spacing w:beforeAutospacing="0" w:afterAutospacing="0" w:line="240" w:lineRule="auto"/>
        <w:ind w:firstLine="640"/>
        <w:jc w:val="both"/>
        <w:rPr>
          <w:rFonts w:cs="仿宋_GB2312"/>
          <w:bCs/>
          <w:sz w:val="32"/>
          <w:szCs w:val="32"/>
          <w:shd w:val="clear" w:color="auto" w:fill="FFFFFF"/>
        </w:rPr>
      </w:pPr>
    </w:p>
    <w:p w14:paraId="723E962D"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第一条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为促使行政机关依法、适度行使行政裁量权，维护社会公平正义，保护公民、法人和其他组织的合法权益，根据有关法律、法规，结合我省实际，制定本办法。</w:t>
      </w:r>
    </w:p>
    <w:p w14:paraId="66142000"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本办法所称行政裁量权，是指行政机关在法定职责范围内，依照法律、法规、规章和其他规范性文件规定的条件、种类和幅度等，自主决定处理行政事务的权力。</w:t>
      </w:r>
    </w:p>
    <w:p w14:paraId="2D1C9052"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第三条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我省行政区域内的行政机关行使行政裁量权，应当遵守本办法。</w:t>
      </w:r>
    </w:p>
    <w:p w14:paraId="3BD957FB"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法律、法规对行使行政裁量权另有规定的，从其规定。</w:t>
      </w:r>
    </w:p>
    <w:p w14:paraId="1C1108E2"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第四条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行政机关行使行政裁量权，应当遵循依法、公平、公正、公开、高效的原则。</w:t>
      </w:r>
    </w:p>
    <w:p w14:paraId="548E91A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lastRenderedPageBreak/>
        <w:t>第五条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行政机关应当采取控制源头、制定基准、完善程序、发布案例等方式规范行政裁量权。</w:t>
      </w:r>
    </w:p>
    <w:p w14:paraId="7C75AAEC"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第六条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省、市、县（含县级市、区，下同）政府对本行政区域内规范行政裁量权工作实行统一领导。</w:t>
      </w:r>
    </w:p>
    <w:p w14:paraId="492B0CFB"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省、市、县政府法制部门具体负责组织、指导、协调、监督本行政区域内的规范行政裁量权工作。监察机关依法对行政裁量权的行使实施行政监察。</w:t>
      </w:r>
    </w:p>
    <w:p w14:paraId="139DCCBB"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省、市政府所属工作部门应当加强对下级政府相应工作部门规范行政裁量权工作的指导。省以下实行垂直管理的行政机关，应当加强对下级行政机关规范行政裁量权工作的领导。</w:t>
      </w:r>
    </w:p>
    <w:p w14:paraId="27C3E9B7"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21E9EBC5" w14:textId="77777777" w:rsidR="00E976EA" w:rsidRDefault="00000000">
      <w:pPr>
        <w:spacing w:line="240" w:lineRule="auto"/>
        <w:ind w:firstLine="640"/>
        <w:jc w:val="center"/>
        <w:rPr>
          <w:rFonts w:ascii="宋体" w:eastAsia="黑体" w:hAnsi="宋体" w:cs="宋体"/>
          <w:bCs/>
          <w:kern w:val="0"/>
          <w:sz w:val="32"/>
          <w:szCs w:val="32"/>
          <w:shd w:val="clear" w:color="auto" w:fill="FFFFFF"/>
        </w:rPr>
      </w:pPr>
      <w:bookmarkStart w:id="1" w:name="_Toc9802"/>
      <w:r>
        <w:rPr>
          <w:rFonts w:ascii="宋体" w:eastAsia="黑体" w:hAnsi="宋体" w:cs="宋体" w:hint="eastAsia"/>
          <w:bCs/>
          <w:kern w:val="0"/>
          <w:sz w:val="32"/>
          <w:szCs w:val="32"/>
          <w:shd w:val="clear" w:color="auto" w:fill="FFFFFF"/>
        </w:rPr>
        <w:t>第二章　基本要求</w:t>
      </w:r>
      <w:bookmarkEnd w:id="1"/>
    </w:p>
    <w:p w14:paraId="2606B9B0" w14:textId="77777777" w:rsidR="00E976EA" w:rsidRDefault="00E976EA">
      <w:pPr>
        <w:pStyle w:val="a7"/>
        <w:shd w:val="clear" w:color="auto" w:fill="FFFFFF"/>
        <w:spacing w:beforeAutospacing="0" w:afterAutospacing="0" w:line="240" w:lineRule="auto"/>
        <w:ind w:firstLine="640"/>
        <w:jc w:val="both"/>
        <w:rPr>
          <w:rFonts w:ascii="宋体" w:eastAsia="黑体" w:hAnsi="宋体" w:cs="宋体"/>
          <w:bCs/>
          <w:sz w:val="32"/>
          <w:szCs w:val="32"/>
          <w:shd w:val="clear" w:color="auto" w:fill="FFFFFF"/>
        </w:rPr>
      </w:pPr>
    </w:p>
    <w:p w14:paraId="6B0E5599"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第七条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实行行政裁量权控制源头制度。</w:t>
      </w:r>
    </w:p>
    <w:p w14:paraId="1FF6C56C"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行政机关在法定权限内制定政府规章和规范性文件，不得将下列事项列入行政管理范围：</w:t>
      </w:r>
    </w:p>
    <w:p w14:paraId="5900770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（一）公民、法人或者其他组织能够自主解决的；</w:t>
      </w:r>
    </w:p>
    <w:p w14:paraId="01E2591A"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（二）市场机制能够自行调节的；</w:t>
      </w:r>
    </w:p>
    <w:p w14:paraId="6380F7F6"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（三）行业组织或者中介机构通过自律能够解决的；</w:t>
      </w:r>
    </w:p>
    <w:p w14:paraId="65B57714"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lastRenderedPageBreak/>
        <w:t>（四）法律、法规规定的其他不得列入的事项。</w:t>
      </w:r>
    </w:p>
    <w:p w14:paraId="7DA61B85"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第八条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在法定权限内起草地方性法规草案、制定政府规章和规范性文件，应当合理设定行政处罚、行政审批、行政确认、行政强制、行政检查、行政征收等行政管理措施；对已经设定的不合理的行政管理措施，行政机关应当依照法定权限、期限和程序进行清理，及时修改或者废止。</w:t>
      </w:r>
    </w:p>
    <w:p w14:paraId="687AB4AD"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第九条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行政机关在法定权限内起草地方性法规草案、制定政府规章和规范性文件，应当对行政权力的主体、条件、种类、幅度等作出具体、明确的规定。</w:t>
      </w:r>
    </w:p>
    <w:p w14:paraId="46723853"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实行行政裁量权行使规则制度。</w:t>
      </w:r>
    </w:p>
    <w:p w14:paraId="26E79C13"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行政机关行使行政裁量权应当遵守下列规则：</w:t>
      </w:r>
    </w:p>
    <w:p w14:paraId="1E5B492A"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（一）符合法律目的；</w:t>
      </w:r>
    </w:p>
    <w:p w14:paraId="2F1295F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（二）公正、平等对待公民、法人或者其他组织；</w:t>
      </w:r>
    </w:p>
    <w:p w14:paraId="770F158A"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（三）排除不相关因素的干扰；</w:t>
      </w:r>
    </w:p>
    <w:p w14:paraId="18BA4AEB"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（四）依法可以采取多种方式实现行政目的的，应当选择对当事人权益损害最小的方式，对当事人造成的损害不得与所保护的法定利益显失均衡；</w:t>
      </w:r>
    </w:p>
    <w:p w14:paraId="3DD8CF8B"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（五）除法律依据和客观情况变化以外，处理相同行政事务的决定应当与以往依法作出的决定基本相同。</w:t>
      </w:r>
    </w:p>
    <w:p w14:paraId="419EEDD9"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lastRenderedPageBreak/>
        <w:t>第十一条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实行行政裁量权完善程序制度。</w:t>
      </w:r>
    </w:p>
    <w:p w14:paraId="09177C52"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行政机关行使行政裁量权应当遵守法律、法规和规章有关回避、公开、告知、听证、期限、说明理由等程序规定。</w:t>
      </w:r>
    </w:p>
    <w:p w14:paraId="65090B23"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行政机关应当建立健全各项工作程序，实施行政行为应当明确受理、调查、审查、决定等职责。实施重大行政行为应当由行政机关负责人集体讨论决定。</w:t>
      </w:r>
    </w:p>
    <w:p w14:paraId="26FD2425"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第十二条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实行行政裁量权基准制度。</w:t>
      </w:r>
    </w:p>
    <w:p w14:paraId="58605E88"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省、市、县政府法制部门应当组织本行政区域内行使行政裁量权的行政机关量化和细化法律、法规、规章和规范性文件中的行政裁量权，并制定裁量基准。</w:t>
      </w:r>
    </w:p>
    <w:p w14:paraId="04175F00"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下级行政机关制定行政裁量权基准，应当参照上级行政机关制定的适用范围相同的行政裁量权基准。</w:t>
      </w:r>
    </w:p>
    <w:p w14:paraId="0FA4437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制定的行政裁量权基准适用对规范性文件管理的规定。</w:t>
      </w:r>
    </w:p>
    <w:p w14:paraId="2BBC019F"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第十三条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实行行政裁量权案例指导制度。</w:t>
      </w:r>
    </w:p>
    <w:p w14:paraId="6696F3BF"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典型案例由省、市、县政府定期统一发布，指导行政机关行使行政裁量权。典型案例发布应当遵守政府信息公开的有关规定。</w:t>
      </w:r>
    </w:p>
    <w:p w14:paraId="4811CF10"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行政机关处理相同的行政事务，除法律依据和客观情况变化外，应当参照本级政府发布的典型案例。</w:t>
      </w:r>
    </w:p>
    <w:p w14:paraId="6E416922"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lastRenderedPageBreak/>
        <w:t>第十四条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与公民、法人及其他社会组织日常生活、生产直接相关的行政行为，可以由市、县两级行政机关组织实施。</w:t>
      </w:r>
    </w:p>
    <w:p w14:paraId="5E6B32C3"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除法律、法规和规章规定不得委托的事项外，上级行政机关负责实施的行政行为，可以由上级行政机关委托下级行政机关实施。</w:t>
      </w:r>
    </w:p>
    <w:p w14:paraId="518754F4"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第十五条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行政机关行使行政裁量权除遵守本章所列规则外，还应当遵守本办法规定的行政处罚、行政审批、行政确认、行政强制、行政检查、行政征收、行政给付、行政奖励等相应规则。</w:t>
      </w:r>
    </w:p>
    <w:p w14:paraId="4FD306FB"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6DBFAC10" w14:textId="77777777" w:rsidR="00E976EA" w:rsidRDefault="00000000">
      <w:pPr>
        <w:spacing w:line="240" w:lineRule="auto"/>
        <w:ind w:firstLine="640"/>
        <w:jc w:val="center"/>
        <w:rPr>
          <w:rFonts w:ascii="宋体" w:eastAsia="黑体" w:hAnsi="宋体" w:cs="宋体"/>
          <w:bCs/>
          <w:kern w:val="0"/>
          <w:sz w:val="32"/>
          <w:szCs w:val="32"/>
          <w:shd w:val="clear" w:color="auto" w:fill="FFFFFF"/>
        </w:rPr>
      </w:pPr>
      <w:bookmarkStart w:id="2" w:name="_Toc8813"/>
      <w:r>
        <w:rPr>
          <w:rFonts w:ascii="宋体" w:eastAsia="黑体" w:hAnsi="宋体" w:cs="宋体" w:hint="eastAsia"/>
          <w:bCs/>
          <w:kern w:val="0"/>
          <w:sz w:val="32"/>
          <w:szCs w:val="32"/>
          <w:shd w:val="clear" w:color="auto" w:fill="FFFFFF"/>
        </w:rPr>
        <w:t>第三章　行政处罚</w:t>
      </w:r>
      <w:bookmarkEnd w:id="2"/>
    </w:p>
    <w:p w14:paraId="6D38DCB1" w14:textId="77777777" w:rsidR="00E976EA" w:rsidRDefault="00E976EA">
      <w:pPr>
        <w:pStyle w:val="a7"/>
        <w:shd w:val="clear" w:color="auto" w:fill="FFFFFF"/>
        <w:spacing w:beforeAutospacing="0" w:afterAutospacing="0" w:line="240" w:lineRule="auto"/>
        <w:ind w:firstLine="640"/>
        <w:jc w:val="both"/>
        <w:rPr>
          <w:rFonts w:ascii="宋体" w:eastAsia="黑体" w:hAnsi="宋体" w:cs="宋体"/>
          <w:bCs/>
          <w:sz w:val="32"/>
          <w:szCs w:val="32"/>
          <w:shd w:val="clear" w:color="auto" w:fill="FFFFFF"/>
        </w:rPr>
      </w:pPr>
    </w:p>
    <w:p w14:paraId="39776E4F"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第十六条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行政机关应当采取发布信息、提醒、建议、引导等预防措施，防止公民、法人或者其他组织做出违法行为。</w:t>
      </w:r>
    </w:p>
    <w:p w14:paraId="35CF97DA"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行政机关不得采取利诱、欺诈、胁迫、暴力等不正当手段收集证据，并据此对公民、法人或者其他组织实施行政处罚。</w:t>
      </w:r>
    </w:p>
    <w:p w14:paraId="78016726"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第十七条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行政机关应当及时采取措施纠正违法行为，对可能造成违法的行为不得先放任，待其既成违法事实后，实施行政处罚；不得因已实施行政处罚而放任违法行为持续存在。</w:t>
      </w:r>
    </w:p>
    <w:p w14:paraId="68DF1EA7"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lastRenderedPageBreak/>
        <w:t>第十八条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行政管理相对人的同一个违法行为，同时违反由一个行政机关实施的不同法律、法规和规章的规定，行政机关对其实施行政处罚的，对同一种类的行政处罚不得合并。</w:t>
      </w:r>
    </w:p>
    <w:p w14:paraId="52A7E4A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第十九条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市、县政府对法律、法规和规章规定的罚款幅度，可以根据本地区经济、社会、文化发展情况依法作出控制罚款数额上限的决定。但是，对涉及危害国家安全、公共安全、人身健康、生命财产安全、环境保护等违法行为除外。</w:t>
      </w:r>
    </w:p>
    <w:p w14:paraId="0DFAC6EA"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控制罚款上限的决定，适用制定规范性文件的有关规定。</w:t>
      </w:r>
    </w:p>
    <w:p w14:paraId="68ADAAFD"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69859DA6" w14:textId="77777777" w:rsidR="00E976EA" w:rsidRDefault="00000000">
      <w:pPr>
        <w:spacing w:line="240" w:lineRule="auto"/>
        <w:ind w:firstLine="640"/>
        <w:jc w:val="center"/>
        <w:rPr>
          <w:rFonts w:ascii="宋体" w:eastAsia="黑体" w:hAnsi="宋体" w:cs="宋体"/>
          <w:bCs/>
          <w:kern w:val="0"/>
          <w:sz w:val="32"/>
          <w:szCs w:val="32"/>
          <w:shd w:val="clear" w:color="auto" w:fill="FFFFFF"/>
        </w:rPr>
      </w:pPr>
      <w:bookmarkStart w:id="3" w:name="_Toc16110"/>
      <w:r>
        <w:rPr>
          <w:rFonts w:ascii="宋体" w:eastAsia="黑体" w:hAnsi="宋体" w:cs="宋体" w:hint="eastAsia"/>
          <w:bCs/>
          <w:kern w:val="0"/>
          <w:sz w:val="32"/>
          <w:szCs w:val="32"/>
          <w:shd w:val="clear" w:color="auto" w:fill="FFFFFF"/>
        </w:rPr>
        <w:t>第四章　行政审批</w:t>
      </w:r>
      <w:bookmarkEnd w:id="3"/>
    </w:p>
    <w:p w14:paraId="45FDDF2B" w14:textId="77777777" w:rsidR="00E976EA" w:rsidRDefault="00E976EA">
      <w:pPr>
        <w:pStyle w:val="a7"/>
        <w:shd w:val="clear" w:color="auto" w:fill="FFFFFF"/>
        <w:spacing w:beforeAutospacing="0" w:afterAutospacing="0" w:line="240" w:lineRule="auto"/>
        <w:ind w:firstLine="640"/>
        <w:jc w:val="both"/>
        <w:rPr>
          <w:rFonts w:ascii="宋体" w:eastAsia="黑体" w:hAnsi="宋体" w:cs="宋体"/>
          <w:bCs/>
          <w:sz w:val="32"/>
          <w:szCs w:val="32"/>
          <w:shd w:val="clear" w:color="auto" w:fill="FFFFFF"/>
        </w:rPr>
      </w:pPr>
    </w:p>
    <w:p w14:paraId="376743BF"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第二十条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省、市、县政府所属工作部门应当编制行政许可审批项目和非许可行政审批项目目录，并向社会公布。</w:t>
      </w:r>
    </w:p>
    <w:p w14:paraId="0F9EC909"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行政机关不得继续实施或者变相实施已经取消的行政审批项目。</w:t>
      </w:r>
    </w:p>
    <w:p w14:paraId="59931F28"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第二十一条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省政府所属有关工作部门、市、县政府应当创新行政审批机制，通过“一站式”审批、电子政务等方式，推行行政审批的统一办理、联合办理、集中办理。</w:t>
      </w:r>
    </w:p>
    <w:p w14:paraId="7C1F26E8"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第二十二条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行政机关实施非行政许可审批，应当参照《中</w:t>
      </w:r>
      <w:r>
        <w:rPr>
          <w:rFonts w:ascii="宋体" w:hAnsi="宋体" w:cs="宋体" w:hint="eastAsia"/>
          <w:sz w:val="32"/>
          <w:szCs w:val="32"/>
          <w:shd w:val="clear" w:color="auto" w:fill="FFFFFF"/>
        </w:rPr>
        <w:lastRenderedPageBreak/>
        <w:t>华人民共和国行政许可法》规定的招标、拍卖、考试、考核等审批方式办理。</w:t>
      </w:r>
    </w:p>
    <w:p w14:paraId="52248944"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第二十三条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省、市、县政府所属工作部门，应当对法律、法规和规章规定的行政审批期限进行合理压缩，提高行政审批效率。</w:t>
      </w:r>
    </w:p>
    <w:p w14:paraId="5EB2E0A0"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第二十四条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法律、法规和规章对行政审批条件有明确规定的，行政机关不得增加条件；没有明确规定的，行政机关应当确定条件并向社会公布。</w:t>
      </w:r>
    </w:p>
    <w:p w14:paraId="0F603BAF"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第二十五条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行政机关实施行政审批，不得要求申请人接受无法律、法规和规章依据的中介服务；法律、法规和规章规定需要中介服务的，行政机关不得指定中介服务机构。</w:t>
      </w:r>
    </w:p>
    <w:p w14:paraId="79DE6F14"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65584F8B" w14:textId="77777777" w:rsidR="00E976EA" w:rsidRDefault="00000000">
      <w:pPr>
        <w:spacing w:line="240" w:lineRule="auto"/>
        <w:ind w:firstLine="640"/>
        <w:jc w:val="center"/>
        <w:rPr>
          <w:rFonts w:ascii="宋体" w:eastAsia="黑体" w:hAnsi="宋体" w:cs="宋体"/>
          <w:bCs/>
          <w:kern w:val="0"/>
          <w:sz w:val="32"/>
          <w:szCs w:val="32"/>
          <w:shd w:val="clear" w:color="auto" w:fill="FFFFFF"/>
        </w:rPr>
      </w:pPr>
      <w:bookmarkStart w:id="4" w:name="_Toc17564"/>
      <w:r>
        <w:rPr>
          <w:rFonts w:ascii="宋体" w:eastAsia="黑体" w:hAnsi="宋体" w:cs="宋体" w:hint="eastAsia"/>
          <w:bCs/>
          <w:kern w:val="0"/>
          <w:sz w:val="32"/>
          <w:szCs w:val="32"/>
          <w:shd w:val="clear" w:color="auto" w:fill="FFFFFF"/>
        </w:rPr>
        <w:t>第五章　行政确认</w:t>
      </w:r>
      <w:bookmarkEnd w:id="4"/>
    </w:p>
    <w:p w14:paraId="07F07C50" w14:textId="77777777" w:rsidR="00E976EA" w:rsidRDefault="00E976EA">
      <w:pPr>
        <w:pStyle w:val="a7"/>
        <w:shd w:val="clear" w:color="auto" w:fill="FFFFFF"/>
        <w:spacing w:beforeAutospacing="0" w:afterAutospacing="0" w:line="240" w:lineRule="auto"/>
        <w:ind w:firstLine="640"/>
        <w:jc w:val="both"/>
        <w:rPr>
          <w:rFonts w:ascii="宋体" w:eastAsia="黑体" w:hAnsi="宋体" w:cs="宋体"/>
          <w:bCs/>
          <w:sz w:val="32"/>
          <w:szCs w:val="32"/>
          <w:shd w:val="clear" w:color="auto" w:fill="FFFFFF"/>
        </w:rPr>
      </w:pPr>
    </w:p>
    <w:p w14:paraId="2FDDC35C"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第二十六条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本办法所称行政确认，是指行政机关依法对公民、法人或者其他组织的法律地位、法律关系、法律事实等进行确定和认可的具体行政行为。</w:t>
      </w:r>
    </w:p>
    <w:p w14:paraId="699C6009"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（一）自然资源的所有权和使用权、房屋产权以及专利权、商标权等事项的确定；</w:t>
      </w:r>
    </w:p>
    <w:p w14:paraId="2F1D1B47"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lastRenderedPageBreak/>
        <w:t>（二）学历、学位、居民身份、货物原产地等事项的证明；</w:t>
      </w:r>
    </w:p>
    <w:p w14:paraId="0AAC3CC0"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（三）户口、婚姻等事项的登记；</w:t>
      </w:r>
    </w:p>
    <w:p w14:paraId="0CA34FF2"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（四）事故责任、工伤等事项的认定；</w:t>
      </w:r>
    </w:p>
    <w:p w14:paraId="703EA13F"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（五）产品质量等事项的认证；</w:t>
      </w:r>
    </w:p>
    <w:p w14:paraId="2DBCDFC7"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（六）法律、法规和规章规定的其他行政确认。</w:t>
      </w:r>
    </w:p>
    <w:p w14:paraId="41E1B2BB"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第二十七条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行政机关确认法律地位、法律关系和法律事实及确认文书的内容、形式、取得的方式应当符合有关法律、法规和规章的规定；不得对违法、虚假的法律地位、法律关系和法律事实实施行政确认。</w:t>
      </w:r>
    </w:p>
    <w:p w14:paraId="0A9276D2"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第二十八条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行政机关实施行政确认，应当对申请人提供的申请材料进行审查。</w:t>
      </w:r>
    </w:p>
    <w:p w14:paraId="2FE50353"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申请人提交的申请材料齐全、符合法定形式的，行政机关应当在法定期限内作出书面决定。</w:t>
      </w:r>
    </w:p>
    <w:p w14:paraId="7FBD40FE"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根据法定条件和程序，需要对申请材料实质内容进行核实的，行政机关应当核查。</w:t>
      </w:r>
    </w:p>
    <w:p w14:paraId="1A73592C"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第二十九条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行政机关对行政确认申请进行审查、核查时，发现行政确认事项直接关系他人重大利益的，应当告知该利害关系人。</w:t>
      </w:r>
    </w:p>
    <w:p w14:paraId="56309B10"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申请人、利害关系人有权进行陈述和申辩。</w:t>
      </w:r>
    </w:p>
    <w:p w14:paraId="21B9A9DA"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lastRenderedPageBreak/>
        <w:t>第三十条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法律、法规和规章规定行政确认的申请人必须亲自到场的，行政机关应当当场核实申请人的身份；申请人未亲自到场的，不得进行行政确认，已确认的无效。</w:t>
      </w:r>
    </w:p>
    <w:p w14:paraId="6AB5DF64"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5E47FF4E" w14:textId="77777777" w:rsidR="00E976EA" w:rsidRDefault="00000000">
      <w:pPr>
        <w:numPr>
          <w:ilvl w:val="0"/>
          <w:numId w:val="1"/>
        </w:numPr>
        <w:spacing w:line="240" w:lineRule="auto"/>
        <w:ind w:firstLine="640"/>
        <w:jc w:val="center"/>
        <w:rPr>
          <w:rFonts w:ascii="宋体" w:eastAsia="黑体" w:hAnsi="宋体" w:cs="宋体"/>
          <w:bCs/>
          <w:kern w:val="0"/>
          <w:sz w:val="32"/>
          <w:szCs w:val="32"/>
          <w:shd w:val="clear" w:color="auto" w:fill="FFFFFF"/>
        </w:rPr>
      </w:pPr>
      <w:bookmarkStart w:id="5" w:name="_Toc14386"/>
      <w:r>
        <w:rPr>
          <w:rFonts w:ascii="宋体" w:eastAsia="黑体" w:hAnsi="宋体" w:cs="宋体" w:hint="eastAsia"/>
          <w:bCs/>
          <w:kern w:val="0"/>
          <w:sz w:val="32"/>
          <w:szCs w:val="32"/>
          <w:shd w:val="clear" w:color="auto" w:fill="FFFFFF"/>
        </w:rPr>
        <w:t xml:space="preserve">　行政强制</w:t>
      </w:r>
      <w:bookmarkEnd w:id="5"/>
    </w:p>
    <w:p w14:paraId="0B1A3678" w14:textId="77777777" w:rsidR="00E976EA" w:rsidRDefault="00E976EA">
      <w:pPr>
        <w:spacing w:line="240" w:lineRule="auto"/>
        <w:ind w:firstLineChars="0" w:firstLine="0"/>
        <w:rPr>
          <w:rFonts w:ascii="宋体" w:eastAsia="黑体" w:hAnsi="宋体" w:cs="宋体"/>
          <w:bCs/>
          <w:kern w:val="0"/>
          <w:sz w:val="32"/>
          <w:szCs w:val="32"/>
          <w:shd w:val="clear" w:color="auto" w:fill="FFFFFF"/>
        </w:rPr>
      </w:pPr>
    </w:p>
    <w:p w14:paraId="07A858FD"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第三十一条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行政机关在实施行政强制措施前，应当采用非行政强制措施。采用非行政强制措施可以达到行政管理目的的，不得实施行政强制措施。</w:t>
      </w:r>
    </w:p>
    <w:p w14:paraId="606A88A5"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第三十二条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行政机关实施行政强制措施的，一般不得决定暂扣易腐烂、变质等不宜保管的物品。</w:t>
      </w:r>
    </w:p>
    <w:p w14:paraId="72091E9F"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对查封、扣押、冻结的财物，行政机关应当妥善保管。因保管不善造成财产损毁的，行政机关应当依法承担赔偿责任。</w:t>
      </w:r>
    </w:p>
    <w:p w14:paraId="62E89D3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行政机关在实施查封、扣押、冻结的行政强制措施后，应当及时查清事实，在法定期限内作出处理决定。</w:t>
      </w:r>
    </w:p>
    <w:p w14:paraId="10E33C24"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第三十三条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行政机关依法实施行政强制措施的，应当事先以书面形式进行督促催告，当事人在指定期限内已履行行政决定的，不再实施行政强制措施。</w:t>
      </w:r>
    </w:p>
    <w:p w14:paraId="7886F4A9"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第三十四条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行政机关依法作出金钱给付内容的行政措施，</w:t>
      </w:r>
      <w:r>
        <w:rPr>
          <w:rFonts w:ascii="宋体" w:hAnsi="宋体" w:cs="宋体" w:hint="eastAsia"/>
          <w:sz w:val="32"/>
          <w:szCs w:val="32"/>
          <w:shd w:val="clear" w:color="auto" w:fill="FFFFFF"/>
        </w:rPr>
        <w:lastRenderedPageBreak/>
        <w:t>当事人逾期不履行的，行政机关依法加处罚款或者加收滞纳金的数额，不得超出当事人金钱给付的数额。</w:t>
      </w:r>
    </w:p>
    <w:p w14:paraId="6C64F173"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第三十五条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实施行政强制执行，行政机关可以在不损害国家利益、公共利益和他人利益的情况下，与当事人依法达成执行和解。</w:t>
      </w:r>
    </w:p>
    <w:p w14:paraId="778FC4EE"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6182DDEA" w14:textId="77777777" w:rsidR="00E976EA" w:rsidRDefault="00000000">
      <w:pPr>
        <w:numPr>
          <w:ilvl w:val="0"/>
          <w:numId w:val="2"/>
        </w:numPr>
        <w:spacing w:line="240" w:lineRule="auto"/>
        <w:ind w:firstLine="640"/>
        <w:jc w:val="center"/>
        <w:rPr>
          <w:rFonts w:ascii="宋体" w:eastAsia="黑体" w:hAnsi="宋体" w:cs="宋体"/>
          <w:bCs/>
          <w:kern w:val="0"/>
          <w:sz w:val="32"/>
          <w:szCs w:val="32"/>
          <w:shd w:val="clear" w:color="auto" w:fill="FFFFFF"/>
        </w:rPr>
      </w:pPr>
      <w:bookmarkStart w:id="6" w:name="_Toc19709"/>
      <w:r>
        <w:rPr>
          <w:rFonts w:ascii="宋体" w:eastAsia="黑体" w:hAnsi="宋体" w:cs="宋体" w:hint="eastAsia"/>
          <w:bCs/>
          <w:kern w:val="0"/>
          <w:sz w:val="32"/>
          <w:szCs w:val="32"/>
          <w:shd w:val="clear" w:color="auto" w:fill="FFFFFF"/>
        </w:rPr>
        <w:t xml:space="preserve">　行政检查</w:t>
      </w:r>
      <w:bookmarkEnd w:id="6"/>
    </w:p>
    <w:p w14:paraId="748832CC" w14:textId="77777777" w:rsidR="00E976EA" w:rsidRDefault="00E976EA">
      <w:pPr>
        <w:spacing w:line="240" w:lineRule="auto"/>
        <w:ind w:firstLineChars="0" w:firstLine="0"/>
        <w:rPr>
          <w:rFonts w:ascii="宋体" w:eastAsia="黑体" w:hAnsi="宋体" w:cs="宋体"/>
          <w:bCs/>
          <w:kern w:val="0"/>
          <w:sz w:val="32"/>
          <w:szCs w:val="32"/>
          <w:shd w:val="clear" w:color="auto" w:fill="FFFFFF"/>
        </w:rPr>
      </w:pPr>
    </w:p>
    <w:p w14:paraId="28119F5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第三十六条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行政机关应当控制和规范对公民、法人或者其他组织的一般性行政检查。</w:t>
      </w:r>
    </w:p>
    <w:p w14:paraId="4719ACC9"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行政机关应当加强对涉及国家安全、公共安全、人身健康、生命财产安全、环境保护等重要和特殊事项的行政检查。</w:t>
      </w:r>
    </w:p>
    <w:p w14:paraId="3F066400"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第三十七条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行政机关应当合理确定行政检查的范围和周期。</w:t>
      </w:r>
    </w:p>
    <w:p w14:paraId="73372AB0"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第三十八条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省、市、县政府所属工作部门除对涉及国家安全、公共安全、人身健康、生命财产安全、环境保护等重要和特殊事项的行政检查外，应当在每年年初制定行政检查计划，并报送同级政府法制部门备案。</w:t>
      </w:r>
    </w:p>
    <w:p w14:paraId="266DA836"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第三十九条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由两个以上政府工作部门对同一单位实施的</w:t>
      </w:r>
      <w:r>
        <w:rPr>
          <w:rFonts w:ascii="宋体" w:hAnsi="宋体" w:cs="宋体" w:hint="eastAsia"/>
          <w:sz w:val="32"/>
          <w:szCs w:val="32"/>
          <w:shd w:val="clear" w:color="auto" w:fill="FFFFFF"/>
        </w:rPr>
        <w:lastRenderedPageBreak/>
        <w:t>一般性行政检查，由一个工作部门牵头实行联合检查。</w:t>
      </w:r>
    </w:p>
    <w:p w14:paraId="57DAE646"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不同层级政府的相同工作部门对同一单位同一事项的行政检查，应当由一个工作部门进行检查或者由上级政府的工作部门组织合并检查。</w:t>
      </w:r>
    </w:p>
    <w:p w14:paraId="03C0F04A"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工作部门中多个内设机构和下属机构实施行政检查的，应当在本部门的组织领导下实行综合检查。</w:t>
      </w:r>
    </w:p>
    <w:p w14:paraId="1BCEE6BB"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第四十条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行政机关依法对行政许可证明文件以及其他证明文件进行定期检验的，法律、法规对检验的间隔时间未作明确规定的，其间隔时间不得少于</w:t>
      </w:r>
      <w:r>
        <w:rPr>
          <w:rFonts w:ascii="Times New Roman" w:hAnsi="Times New Roman" w:cs="宋体" w:hint="eastAsia"/>
          <w:sz w:val="32"/>
          <w:szCs w:val="32"/>
          <w:shd w:val="clear" w:color="auto" w:fill="FFFFFF"/>
        </w:rPr>
        <w:t>5</w:t>
      </w:r>
      <w:r>
        <w:rPr>
          <w:rFonts w:ascii="宋体" w:hAnsi="宋体" w:cs="宋体" w:hint="eastAsia"/>
          <w:sz w:val="32"/>
          <w:szCs w:val="32"/>
          <w:shd w:val="clear" w:color="auto" w:fill="FFFFFF"/>
        </w:rPr>
        <w:t>年。</w:t>
      </w:r>
    </w:p>
    <w:p w14:paraId="6B764EFA"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第四十一条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行政机关应当根据法律、行政法规的规定，对直接关系公共安全、人身健康、生命财产安全的重要设备、设施进行检验。</w:t>
      </w:r>
    </w:p>
    <w:p w14:paraId="34C0ABC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法律、行政法规对定期检验的间隔时间未作明确规定的，有关行政机关应当根据设备、设施的客观属性和安全要求确定定期检验的间隔时间，并向社会公布。</w:t>
      </w:r>
    </w:p>
    <w:p w14:paraId="5E89EA58"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6BF02D00" w14:textId="77777777" w:rsidR="00E976EA" w:rsidRDefault="00000000">
      <w:pPr>
        <w:spacing w:line="240" w:lineRule="auto"/>
        <w:ind w:firstLine="640"/>
        <w:jc w:val="center"/>
        <w:rPr>
          <w:rFonts w:ascii="宋体" w:eastAsia="黑体" w:hAnsi="宋体" w:cs="宋体"/>
          <w:bCs/>
          <w:kern w:val="0"/>
          <w:sz w:val="32"/>
          <w:szCs w:val="32"/>
          <w:shd w:val="clear" w:color="auto" w:fill="FFFFFF"/>
        </w:rPr>
      </w:pPr>
      <w:bookmarkStart w:id="7" w:name="_Toc1953"/>
      <w:r>
        <w:rPr>
          <w:rFonts w:ascii="宋体" w:eastAsia="黑体" w:hAnsi="宋体" w:cs="宋体" w:hint="eastAsia"/>
          <w:bCs/>
          <w:kern w:val="0"/>
          <w:sz w:val="32"/>
          <w:szCs w:val="32"/>
          <w:shd w:val="clear" w:color="auto" w:fill="FFFFFF"/>
        </w:rPr>
        <w:t>第八章　行政征收</w:t>
      </w:r>
      <w:bookmarkEnd w:id="7"/>
    </w:p>
    <w:p w14:paraId="77FB3C94" w14:textId="77777777" w:rsidR="00E976EA" w:rsidRDefault="00E976EA">
      <w:pPr>
        <w:pStyle w:val="a7"/>
        <w:shd w:val="clear" w:color="auto" w:fill="FFFFFF"/>
        <w:spacing w:beforeAutospacing="0" w:afterAutospacing="0" w:line="240" w:lineRule="auto"/>
        <w:ind w:firstLine="640"/>
        <w:jc w:val="both"/>
        <w:rPr>
          <w:rStyle w:val="30"/>
          <w:rFonts w:hint="default"/>
          <w:sz w:val="32"/>
          <w:szCs w:val="32"/>
        </w:rPr>
      </w:pPr>
    </w:p>
    <w:p w14:paraId="7C4FE309"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第四十二条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行政机关应当逐步减少行政事业性收费项目。</w:t>
      </w:r>
      <w:r>
        <w:rPr>
          <w:rFonts w:ascii="宋体" w:hAnsi="宋体" w:cs="宋体" w:hint="eastAsia"/>
          <w:sz w:val="32"/>
          <w:szCs w:val="32"/>
          <w:shd w:val="clear" w:color="auto" w:fill="FFFFFF"/>
        </w:rPr>
        <w:lastRenderedPageBreak/>
        <w:t>未经依法批准，不得擅自设立。</w:t>
      </w:r>
    </w:p>
    <w:p w14:paraId="1FC5D86B"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第四十三条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新增行政事业性收费项目和提高行政事业性收费项目的收费标准，应当遵守有关法律、法规和规章规定的权限和程序，并举行听证。</w:t>
      </w:r>
    </w:p>
    <w:p w14:paraId="040C3600"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第四十四条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行政机关不得将职责范围内的行政事务交由其他单位或者个人以有偿服务名义进行服务性收费。</w:t>
      </w:r>
    </w:p>
    <w:p w14:paraId="63804928"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禁止行政机关利用行业协会、中介组织依托或者代行其职能进行服务性收费。</w:t>
      </w:r>
    </w:p>
    <w:p w14:paraId="4B837559"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0D39ADCD" w14:textId="77777777" w:rsidR="00E976EA" w:rsidRDefault="00000000">
      <w:pPr>
        <w:spacing w:line="240" w:lineRule="auto"/>
        <w:ind w:firstLine="640"/>
        <w:jc w:val="center"/>
        <w:rPr>
          <w:rFonts w:ascii="宋体" w:eastAsia="黑体" w:hAnsi="宋体" w:cs="宋体"/>
          <w:bCs/>
          <w:kern w:val="0"/>
          <w:sz w:val="32"/>
          <w:szCs w:val="32"/>
          <w:shd w:val="clear" w:color="auto" w:fill="FFFFFF"/>
        </w:rPr>
      </w:pPr>
      <w:bookmarkStart w:id="8" w:name="_Toc21909"/>
      <w:r>
        <w:rPr>
          <w:rFonts w:ascii="宋体" w:eastAsia="黑体" w:hAnsi="宋体" w:cs="宋体" w:hint="eastAsia"/>
          <w:bCs/>
          <w:kern w:val="0"/>
          <w:sz w:val="32"/>
          <w:szCs w:val="32"/>
          <w:shd w:val="clear" w:color="auto" w:fill="FFFFFF"/>
        </w:rPr>
        <w:t>第九章　行政给付</w:t>
      </w:r>
      <w:bookmarkEnd w:id="8"/>
    </w:p>
    <w:p w14:paraId="78CD5C79" w14:textId="77777777" w:rsidR="00E976EA" w:rsidRDefault="00E976EA">
      <w:pPr>
        <w:pStyle w:val="a7"/>
        <w:shd w:val="clear" w:color="auto" w:fill="FFFFFF"/>
        <w:spacing w:beforeAutospacing="0" w:afterAutospacing="0" w:line="240" w:lineRule="auto"/>
        <w:ind w:firstLine="640"/>
        <w:jc w:val="both"/>
        <w:rPr>
          <w:rStyle w:val="30"/>
          <w:rFonts w:hint="default"/>
          <w:sz w:val="32"/>
          <w:szCs w:val="32"/>
        </w:rPr>
      </w:pPr>
    </w:p>
    <w:p w14:paraId="79618756"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第四十五条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本办法所称行政给付，是指行政机关依法向符合条件的申请人提供物质利益，或者赋予其与物质利益相关权益的行为，包括救助、援助、补助、扶贫、优待、抚恤等。</w:t>
      </w:r>
    </w:p>
    <w:p w14:paraId="2D91F856"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第四十六条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行政机关实施行政给付，应当向社会公开适用的依据、条件、范围和标准。</w:t>
      </w:r>
    </w:p>
    <w:p w14:paraId="53F0CC17"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第四十七条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行政机关确定行政给付对象前，应当组织对申请人的情况进行调查，必要时可以举行听证会。</w:t>
      </w:r>
    </w:p>
    <w:p w14:paraId="57D267D2"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行政机关应当将拟行政给付对象在一定范围内公示。</w:t>
      </w:r>
    </w:p>
    <w:p w14:paraId="3DE5B87C"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lastRenderedPageBreak/>
        <w:t>行政机关决定不予申请人行政给付的，应当充分听取申请人的意见，并说明理由。</w:t>
      </w:r>
    </w:p>
    <w:p w14:paraId="30E334AE"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第四十八条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应对突发事件和其他紧急情况，行政机关可以采取简易程序，及时作出行政给付决定。但突发事件和其他紧急情况消除后，作出给付决定的行政机关应当将给付决定的全部内容向社会公布。</w:t>
      </w:r>
    </w:p>
    <w:p w14:paraId="1768C39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第四十九条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行政机关应当定期对行政给付的实施情况进行调查评议。经调查评议确认行政给付不合理的，应当适时调整。</w:t>
      </w:r>
    </w:p>
    <w:p w14:paraId="292348AD"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49A7D4C3" w14:textId="77777777" w:rsidR="00E976EA" w:rsidRDefault="00000000">
      <w:pPr>
        <w:spacing w:line="240" w:lineRule="auto"/>
        <w:ind w:firstLine="640"/>
        <w:jc w:val="center"/>
        <w:rPr>
          <w:rFonts w:ascii="宋体" w:eastAsia="黑体" w:hAnsi="宋体" w:cs="宋体"/>
          <w:bCs/>
          <w:kern w:val="0"/>
          <w:sz w:val="32"/>
          <w:szCs w:val="32"/>
          <w:shd w:val="clear" w:color="auto" w:fill="FFFFFF"/>
        </w:rPr>
      </w:pPr>
      <w:bookmarkStart w:id="9" w:name="_Toc30540"/>
      <w:r>
        <w:rPr>
          <w:rFonts w:ascii="宋体" w:eastAsia="黑体" w:hAnsi="宋体" w:cs="宋体" w:hint="eastAsia"/>
          <w:bCs/>
          <w:kern w:val="0"/>
          <w:sz w:val="32"/>
          <w:szCs w:val="32"/>
          <w:shd w:val="clear" w:color="auto" w:fill="FFFFFF"/>
        </w:rPr>
        <w:t>第十章　行政奖励</w:t>
      </w:r>
      <w:bookmarkEnd w:id="9"/>
    </w:p>
    <w:p w14:paraId="469A145B" w14:textId="77777777" w:rsidR="00E976EA" w:rsidRDefault="00E976EA">
      <w:pPr>
        <w:pStyle w:val="a7"/>
        <w:shd w:val="clear" w:color="auto" w:fill="FFFFFF"/>
        <w:spacing w:beforeAutospacing="0" w:afterAutospacing="0" w:line="240" w:lineRule="auto"/>
        <w:ind w:firstLine="640"/>
        <w:jc w:val="both"/>
        <w:rPr>
          <w:rStyle w:val="30"/>
          <w:rFonts w:hint="default"/>
          <w:sz w:val="32"/>
          <w:szCs w:val="32"/>
        </w:rPr>
      </w:pPr>
    </w:p>
    <w:p w14:paraId="200BC6E5"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第五十条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行政机关实施行政奖励，遵循平等对待和奖励与贡献相适应的原则。</w:t>
      </w:r>
    </w:p>
    <w:p w14:paraId="7ED9FEE0"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第五十一条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行政机关应当将行政奖励的依据、条件、范围和标准向社会公布。</w:t>
      </w:r>
    </w:p>
    <w:p w14:paraId="0C13E6B7"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行政奖励的条件、范围和标准未明确的，由实施机关予以明确并公布。</w:t>
      </w:r>
    </w:p>
    <w:p w14:paraId="7286C063"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第五十二条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实施行政奖励的行政机关应当成立评审委员会，对拟获奖的单位或者个人进行评审。</w:t>
      </w:r>
    </w:p>
    <w:p w14:paraId="368F81DD"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lastRenderedPageBreak/>
        <w:t>第五十三条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除涉及国家秘密、商业秘密、个人隐私以及可能对当事人产生不利影响的以外，行政机关应当在适当范围内公示拟奖励对象的名单和事迹，听取意见，并向社会公布奖励结果。</w:t>
      </w:r>
    </w:p>
    <w:p w14:paraId="3A75C457"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第五十四条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实施行政奖励的行政机关及其工作人员，不得向获奖对象收取或者变相收取财物。</w:t>
      </w:r>
    </w:p>
    <w:p w14:paraId="52FA1B44"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5FF4DB7D" w14:textId="77777777" w:rsidR="00E976EA" w:rsidRDefault="00000000">
      <w:pPr>
        <w:spacing w:line="240" w:lineRule="auto"/>
        <w:ind w:firstLine="640"/>
        <w:jc w:val="center"/>
        <w:rPr>
          <w:rFonts w:ascii="宋体" w:eastAsia="黑体" w:hAnsi="宋体" w:cs="宋体"/>
          <w:bCs/>
          <w:kern w:val="0"/>
          <w:sz w:val="32"/>
          <w:szCs w:val="32"/>
          <w:shd w:val="clear" w:color="auto" w:fill="FFFFFF"/>
        </w:rPr>
      </w:pPr>
      <w:bookmarkStart w:id="10" w:name="_Toc8164"/>
      <w:r>
        <w:rPr>
          <w:rFonts w:ascii="宋体" w:eastAsia="黑体" w:hAnsi="宋体" w:cs="宋体" w:hint="eastAsia"/>
          <w:bCs/>
          <w:kern w:val="0"/>
          <w:sz w:val="32"/>
          <w:szCs w:val="32"/>
          <w:shd w:val="clear" w:color="auto" w:fill="FFFFFF"/>
        </w:rPr>
        <w:t>第十一章　监</w:t>
      </w:r>
      <w:r>
        <w:rPr>
          <w:rFonts w:ascii="宋体" w:eastAsia="黑体" w:hAnsi="宋体" w:cs="宋体" w:hint="eastAsia"/>
          <w:bCs/>
          <w:kern w:val="0"/>
          <w:sz w:val="32"/>
          <w:szCs w:val="32"/>
          <w:shd w:val="clear" w:color="auto" w:fill="FFFFFF"/>
        </w:rPr>
        <w:t xml:space="preserve">  </w:t>
      </w:r>
      <w:r>
        <w:rPr>
          <w:rFonts w:ascii="宋体" w:eastAsia="黑体" w:hAnsi="宋体" w:cs="宋体" w:hint="eastAsia"/>
          <w:bCs/>
          <w:kern w:val="0"/>
          <w:sz w:val="32"/>
          <w:szCs w:val="32"/>
          <w:shd w:val="clear" w:color="auto" w:fill="FFFFFF"/>
        </w:rPr>
        <w:t>督</w:t>
      </w:r>
      <w:bookmarkEnd w:id="10"/>
    </w:p>
    <w:p w14:paraId="4F9537CE"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2A8ABB2B"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第五十五条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公民、法人或者其他组织认为行政机关违法行使行政裁量权的，可以向本级政府监察部门、法制部门和上级行政机关投诉、举报。</w:t>
      </w:r>
    </w:p>
    <w:p w14:paraId="273B3897"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行政机关对受理的投诉、举报应当进行调查，依照职权在受理之日起</w:t>
      </w:r>
      <w:r>
        <w:rPr>
          <w:rFonts w:ascii="Times New Roman" w:hAnsi="Times New Roman" w:cs="宋体" w:hint="eastAsia"/>
          <w:sz w:val="32"/>
          <w:szCs w:val="32"/>
          <w:shd w:val="clear" w:color="auto" w:fill="FFFFFF"/>
        </w:rPr>
        <w:t>60</w:t>
      </w:r>
      <w:r>
        <w:rPr>
          <w:rFonts w:ascii="宋体" w:hAnsi="宋体" w:cs="宋体" w:hint="eastAsia"/>
          <w:sz w:val="32"/>
          <w:szCs w:val="32"/>
          <w:shd w:val="clear" w:color="auto" w:fill="FFFFFF"/>
        </w:rPr>
        <w:t>日内作出处理决定，并将处理结果告知投诉人、举报人。</w:t>
      </w:r>
    </w:p>
    <w:p w14:paraId="25F6B5C6"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第五十六条</w:t>
      </w:r>
      <w:r>
        <w:rPr>
          <w:rStyle w:val="30"/>
          <w:rFonts w:hint="default"/>
          <w:sz w:val="32"/>
          <w:szCs w:val="32"/>
        </w:rPr>
        <w:t xml:space="preserve"> </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行政机关发现违法行使行政裁量权侵犯公共利益或者其他人合法权益的，应当主动、及时自行纠正。</w:t>
      </w:r>
    </w:p>
    <w:p w14:paraId="04A83A42"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省、市、县政府法制部门对滥用行使行政裁量权的行为，应当向行使行政裁量权的机关发出《行政执法监督通知书》，责令停止执行、限期改正。收到《行政执法监督通知书》的行政机关</w:t>
      </w:r>
      <w:r>
        <w:rPr>
          <w:rFonts w:ascii="宋体" w:hAnsi="宋体" w:cs="宋体" w:hint="eastAsia"/>
          <w:sz w:val="32"/>
          <w:szCs w:val="32"/>
          <w:shd w:val="clear" w:color="auto" w:fill="FFFFFF"/>
        </w:rPr>
        <w:lastRenderedPageBreak/>
        <w:t>应当在</w:t>
      </w:r>
      <w:r>
        <w:rPr>
          <w:rFonts w:ascii="Times New Roman" w:hAnsi="Times New Roman" w:cs="宋体" w:hint="eastAsia"/>
          <w:sz w:val="32"/>
          <w:szCs w:val="32"/>
          <w:shd w:val="clear" w:color="auto" w:fill="FFFFFF"/>
        </w:rPr>
        <w:t>20</w:t>
      </w:r>
      <w:r>
        <w:rPr>
          <w:rFonts w:ascii="宋体" w:hAnsi="宋体" w:cs="宋体" w:hint="eastAsia"/>
          <w:sz w:val="32"/>
          <w:szCs w:val="32"/>
          <w:shd w:val="clear" w:color="auto" w:fill="FFFFFF"/>
        </w:rPr>
        <w:t>日内将处理结果函告政府法制部门。</w:t>
      </w:r>
    </w:p>
    <w:p w14:paraId="44CFBAD6"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第五十七条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行政机关拒不自行纠正滥用行政裁量权行为的，按照层级监督的有关规定，由有监督权的机关作出责令履行、撤销、责令补正或者更正、确认违法行政裁量权的处理决定。</w:t>
      </w:r>
    </w:p>
    <w:p w14:paraId="703F7ACE"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第五十八条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责令履行行政裁量行为、责令补正或者更正行政裁量行为的决定及确认违法行使行政裁量权的决定，由政府法制部门作出。</w:t>
      </w:r>
    </w:p>
    <w:p w14:paraId="4E573396"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第五十九条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行使行政裁量权，有下列情形之一的，应当予以撤销：</w:t>
      </w:r>
    </w:p>
    <w:p w14:paraId="0262D9FD"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（一）超越职权、滥用职权的；</w:t>
      </w:r>
    </w:p>
    <w:p w14:paraId="25515FE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（二）违反法定程序的；</w:t>
      </w:r>
    </w:p>
    <w:p w14:paraId="3DD81195"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（三）严重违反本办法规定行使行政裁量权原则的；</w:t>
      </w:r>
    </w:p>
    <w:p w14:paraId="25275F9E"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（四）未适用行政裁量权基准的；</w:t>
      </w:r>
    </w:p>
    <w:p w14:paraId="728BE5BF"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（五）其他违反法律、法规和规章及本办法规定的。</w:t>
      </w:r>
    </w:p>
    <w:p w14:paraId="7BF9B6CF"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第六十条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撤销行政裁量行为由本级政府法制部门或者上级行政机关决定。</w:t>
      </w:r>
    </w:p>
    <w:p w14:paraId="35E72F17"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行政裁量行为部分被撤销的，其他部分仍然有效，但除去撤销部分后行政裁量行为不能成立的，应当全部撤销。</w:t>
      </w:r>
    </w:p>
    <w:p w14:paraId="010663FE"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行政裁量行为被撤销的，该行政裁量行为自始无效。</w:t>
      </w:r>
    </w:p>
    <w:p w14:paraId="6D36CA8E"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lastRenderedPageBreak/>
        <w:t>被撤销的行政裁量行为对公民、法人或者其他组织造成损害的，应当依法予以赔偿。</w:t>
      </w:r>
    </w:p>
    <w:p w14:paraId="6A05AE22"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第六十一条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行使行政裁量权的行政机关及其工作人员，有下列情形之一的，由其上级行政主管机关或者所在单位给予行政处分：</w:t>
      </w:r>
    </w:p>
    <w:p w14:paraId="76F6402A"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（一）行政裁量行为被撤销的；</w:t>
      </w:r>
    </w:p>
    <w:p w14:paraId="60088816"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（二）不制定行政裁量权基准的；</w:t>
      </w:r>
    </w:p>
    <w:p w14:paraId="4259A582"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Fonts w:ascii="宋体" w:hAnsi="宋体" w:cs="宋体" w:hint="eastAsia"/>
          <w:sz w:val="32"/>
          <w:szCs w:val="32"/>
          <w:shd w:val="clear" w:color="auto" w:fill="FFFFFF"/>
        </w:rPr>
        <w:t>（三）其他严重违反本办法的。</w:t>
      </w:r>
    </w:p>
    <w:p w14:paraId="042F4D30"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25B0DF90" w14:textId="77777777" w:rsidR="00E976EA" w:rsidRDefault="00000000">
      <w:pPr>
        <w:spacing w:line="240" w:lineRule="auto"/>
        <w:ind w:firstLine="640"/>
        <w:jc w:val="center"/>
        <w:rPr>
          <w:rFonts w:ascii="宋体" w:eastAsia="黑体" w:hAnsi="宋体" w:cs="宋体"/>
          <w:bCs/>
          <w:kern w:val="0"/>
          <w:sz w:val="32"/>
          <w:szCs w:val="32"/>
          <w:shd w:val="clear" w:color="auto" w:fill="FFFFFF"/>
        </w:rPr>
      </w:pPr>
      <w:bookmarkStart w:id="11" w:name="_Toc11159"/>
      <w:r>
        <w:rPr>
          <w:rFonts w:ascii="宋体" w:eastAsia="黑体" w:hAnsi="宋体" w:cs="宋体" w:hint="eastAsia"/>
          <w:bCs/>
          <w:kern w:val="0"/>
          <w:sz w:val="32"/>
          <w:szCs w:val="32"/>
          <w:shd w:val="clear" w:color="auto" w:fill="FFFFFF"/>
        </w:rPr>
        <w:t>第十二章　附</w:t>
      </w:r>
      <w:r>
        <w:rPr>
          <w:rFonts w:ascii="宋体" w:eastAsia="黑体" w:hAnsi="宋体" w:cs="宋体" w:hint="eastAsia"/>
          <w:bCs/>
          <w:kern w:val="0"/>
          <w:sz w:val="32"/>
          <w:szCs w:val="32"/>
          <w:shd w:val="clear" w:color="auto" w:fill="FFFFFF"/>
        </w:rPr>
        <w:t xml:space="preserve">  </w:t>
      </w:r>
      <w:r>
        <w:rPr>
          <w:rFonts w:ascii="宋体" w:eastAsia="黑体" w:hAnsi="宋体" w:cs="宋体" w:hint="eastAsia"/>
          <w:bCs/>
          <w:kern w:val="0"/>
          <w:sz w:val="32"/>
          <w:szCs w:val="32"/>
          <w:shd w:val="clear" w:color="auto" w:fill="FFFFFF"/>
        </w:rPr>
        <w:t>则</w:t>
      </w:r>
      <w:bookmarkEnd w:id="11"/>
    </w:p>
    <w:p w14:paraId="0D7D68D7" w14:textId="77777777" w:rsidR="00E976EA" w:rsidRDefault="00E976EA">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p>
    <w:p w14:paraId="1F2BA533"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shd w:val="clear" w:color="auto" w:fill="FFFFFF"/>
        </w:rPr>
      </w:pPr>
      <w:r>
        <w:rPr>
          <w:rStyle w:val="30"/>
          <w:rFonts w:hint="default"/>
          <w:sz w:val="32"/>
          <w:szCs w:val="32"/>
        </w:rPr>
        <w:t>第六十二条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法律、法规授权的组织和依法接受委托的组织行使行政裁量权，适用本办法有关行政机关的规定。</w:t>
      </w:r>
    </w:p>
    <w:p w14:paraId="686D45A1" w14:textId="77777777" w:rsidR="00E976EA" w:rsidRDefault="00000000">
      <w:pPr>
        <w:pStyle w:val="a7"/>
        <w:shd w:val="clear" w:color="auto" w:fill="FFFFFF"/>
        <w:spacing w:beforeAutospacing="0" w:afterAutospacing="0" w:line="240" w:lineRule="auto"/>
        <w:ind w:firstLine="640"/>
        <w:jc w:val="both"/>
        <w:rPr>
          <w:rFonts w:ascii="宋体" w:hAnsi="宋体" w:cs="宋体"/>
          <w:sz w:val="32"/>
          <w:szCs w:val="32"/>
        </w:rPr>
      </w:pPr>
      <w:r>
        <w:rPr>
          <w:rStyle w:val="30"/>
          <w:rFonts w:hint="default"/>
          <w:sz w:val="32"/>
          <w:szCs w:val="32"/>
        </w:rPr>
        <w:t>第六十三条</w:t>
      </w:r>
      <w:r>
        <w:rPr>
          <w:rFonts w:ascii="宋体" w:hAnsi="宋体" w:cs="宋体" w:hint="eastAsia"/>
          <w:bCs/>
          <w:sz w:val="32"/>
          <w:szCs w:val="32"/>
          <w:shd w:val="clear" w:color="auto" w:fill="FFFFFF"/>
        </w:rPr>
        <w:t xml:space="preserve">  </w:t>
      </w:r>
      <w:r>
        <w:rPr>
          <w:rFonts w:ascii="宋体" w:hAnsi="宋体" w:cs="宋体" w:hint="eastAsia"/>
          <w:sz w:val="32"/>
          <w:szCs w:val="32"/>
          <w:shd w:val="clear" w:color="auto" w:fill="FFFFFF"/>
        </w:rPr>
        <w:t>本办法自</w:t>
      </w:r>
      <w:r>
        <w:rPr>
          <w:rFonts w:ascii="Times New Roman" w:hAnsi="Times New Roman" w:cs="宋体" w:hint="eastAsia"/>
          <w:sz w:val="32"/>
          <w:szCs w:val="32"/>
          <w:shd w:val="clear" w:color="auto" w:fill="FFFFFF"/>
        </w:rPr>
        <w:t>2011</w:t>
      </w:r>
      <w:r>
        <w:rPr>
          <w:rFonts w:ascii="宋体" w:hAnsi="宋体" w:cs="宋体" w:hint="eastAsia"/>
          <w:sz w:val="32"/>
          <w:szCs w:val="32"/>
          <w:shd w:val="clear" w:color="auto" w:fill="FFFFFF"/>
        </w:rPr>
        <w:t>年</w:t>
      </w:r>
      <w:r>
        <w:rPr>
          <w:rFonts w:ascii="Times New Roman" w:hAnsi="Times New Roman" w:cs="宋体" w:hint="eastAsia"/>
          <w:sz w:val="32"/>
          <w:szCs w:val="32"/>
          <w:shd w:val="clear" w:color="auto" w:fill="FFFFFF"/>
        </w:rPr>
        <w:t>2</w:t>
      </w:r>
      <w:r>
        <w:rPr>
          <w:rFonts w:ascii="宋体" w:hAnsi="宋体" w:cs="宋体" w:hint="eastAsia"/>
          <w:sz w:val="32"/>
          <w:szCs w:val="32"/>
          <w:shd w:val="clear" w:color="auto" w:fill="FFFFFF"/>
        </w:rPr>
        <w:t>月</w:t>
      </w:r>
      <w:r>
        <w:rPr>
          <w:rFonts w:ascii="Times New Roman" w:hAnsi="Times New Roman" w:cs="宋体" w:hint="eastAsia"/>
          <w:sz w:val="32"/>
          <w:szCs w:val="32"/>
          <w:shd w:val="clear" w:color="auto" w:fill="FFFFFF"/>
        </w:rPr>
        <w:t>20</w:t>
      </w:r>
      <w:r>
        <w:rPr>
          <w:rFonts w:ascii="宋体" w:hAnsi="宋体" w:cs="宋体" w:hint="eastAsia"/>
          <w:sz w:val="32"/>
          <w:szCs w:val="32"/>
          <w:shd w:val="clear" w:color="auto" w:fill="FFFFFF"/>
        </w:rPr>
        <w:t>日起施行。</w:t>
      </w:r>
    </w:p>
    <w:p w14:paraId="431522DB" w14:textId="77777777" w:rsidR="00E976EA" w:rsidRDefault="00E976EA">
      <w:pPr>
        <w:ind w:firstLine="480"/>
      </w:pPr>
    </w:p>
    <w:sectPr w:rsidR="00E976EA">
      <w:headerReference w:type="even" r:id="rId8"/>
      <w:headerReference w:type="default" r:id="rId9"/>
      <w:footerReference w:type="even" r:id="rId10"/>
      <w:footerReference w:type="default" r:id="rId11"/>
      <w:headerReference w:type="first" r:id="rId12"/>
      <w:footerReference w:type="first" r:id="rId13"/>
      <w:pgSz w:w="11906" w:h="16838"/>
      <w:pgMar w:top="1962" w:right="1474" w:bottom="1848" w:left="1587"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DA654" w14:textId="77777777" w:rsidR="00C910C8" w:rsidRDefault="00C910C8">
      <w:pPr>
        <w:spacing w:line="240" w:lineRule="auto"/>
        <w:ind w:firstLine="480"/>
      </w:pPr>
      <w:r>
        <w:separator/>
      </w:r>
    </w:p>
  </w:endnote>
  <w:endnote w:type="continuationSeparator" w:id="0">
    <w:p w14:paraId="3A71AA61" w14:textId="77777777" w:rsidR="00C910C8" w:rsidRDefault="00C910C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1" w:usb1="080E0000" w:usb2="00000000" w:usb3="00000000" w:csb0="00040000" w:csb1="00000000"/>
  </w:font>
  <w:font w:name="方正小标宋简体">
    <w:altName w:val="微软雅黑"/>
    <w:charset w:val="86"/>
    <w:family w:val="auto"/>
    <w:pitch w:val="default"/>
    <w:sig w:usb0="00000001" w:usb1="08000000" w:usb2="00000000" w:usb3="00000000" w:csb0="00040000"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A5B0" w14:textId="77777777" w:rsidR="003D5AC2" w:rsidRDefault="003D5AC2">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2539" w14:textId="560D0FD4" w:rsidR="00E976EA" w:rsidRDefault="003D5AC2">
    <w:pPr>
      <w:pStyle w:val="a6"/>
      <w:ind w:leftChars="2280" w:left="5472" w:firstLineChars="2000" w:firstLine="6400"/>
      <w:rPr>
        <w:rFonts w:eastAsia="仿宋"/>
        <w:sz w:val="32"/>
        <w:szCs w:val="48"/>
      </w:rPr>
    </w:pPr>
    <w:r>
      <w:rPr>
        <w:noProof/>
        <w:sz w:val="32"/>
      </w:rPr>
      <mc:AlternateContent>
        <mc:Choice Requires="wps">
          <w:drawing>
            <wp:anchor distT="0" distB="0" distL="114300" distR="114300" simplePos="0" relativeHeight="251660288" behindDoc="0" locked="0" layoutInCell="1" allowOverlap="1" wp14:anchorId="5BEC1E29" wp14:editId="1D475ED0">
              <wp:simplePos x="0" y="0"/>
              <wp:positionH relativeFrom="margin">
                <wp:align>outside</wp:align>
              </wp:positionH>
              <wp:positionV relativeFrom="paragraph">
                <wp:posOffset>0</wp:posOffset>
              </wp:positionV>
              <wp:extent cx="800735" cy="254000"/>
              <wp:effectExtent l="0" t="0" r="0" b="0"/>
              <wp:wrapNone/>
              <wp:docPr id="3"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7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77E0E" w14:textId="77777777" w:rsidR="00E976EA"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BEC1E29" id="文本框 8" o:spid="_x0000_s1026" style="position:absolute;left:0;text-align:left;margin-left:11.85pt;margin-top:0;width:63.05pt;height:20pt;z-index:25166028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" filled="f" stroked="f">
              <v:textbox style="mso-fit-shape-to-text:t" inset="0,0,0,0">
                <w:txbxContent>
                  <w:p w14:paraId="25077E0E" w14:textId="77777777" w:rsidR="00E976EA"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rect>
          </w:pict>
        </mc:Fallback>
      </mc:AlternateContent>
    </w:r>
    <w:r w:rsidR="00000000">
      <w:rPr>
        <w:rFonts w:eastAsia="仿宋" w:hint="eastAsia"/>
        <w:sz w:val="32"/>
        <w:szCs w:val="48"/>
      </w:rPr>
      <w:t xml:space="preserve">  </w:t>
    </w:r>
  </w:p>
  <w:p w14:paraId="6D58C9A1" w14:textId="10199309" w:rsidR="00E976EA" w:rsidRDefault="003D5AC2">
    <w:pPr>
      <w:pStyle w:val="a6"/>
      <w:wordWrap w:val="0"/>
      <w:ind w:leftChars="2280" w:left="5472"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59264" behindDoc="0" locked="0" layoutInCell="1" allowOverlap="1" wp14:anchorId="0C4DF047" wp14:editId="6BA4107E">
              <wp:simplePos x="0" y="0"/>
              <wp:positionH relativeFrom="column">
                <wp:posOffset>0</wp:posOffset>
              </wp:positionH>
              <wp:positionV relativeFrom="paragraph">
                <wp:posOffset>74295</wp:posOffset>
              </wp:positionV>
              <wp:extent cx="5616575" cy="1905"/>
              <wp:effectExtent l="19050" t="17145" r="12700" b="19050"/>
              <wp:wrapNone/>
              <wp:docPr id="2"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575" cy="1905"/>
                      </a:xfrm>
                      <a:prstGeom prst="line">
                        <a:avLst/>
                      </a:prstGeom>
                      <a:noFill/>
                      <a:ln w="22225">
                        <a:solidFill>
                          <a:srgbClr val="00519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4A116" id="直接连接符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" strokecolor="#005192" strokeweight="1.75pt"/>
          </w:pict>
        </mc:Fallback>
      </mc:AlternateContent>
    </w:r>
    <w:r w:rsidR="00000000">
      <w:rPr>
        <w:rFonts w:eastAsia="仿宋" w:hint="eastAsia"/>
        <w:color w:val="FAFAFA"/>
        <w:sz w:val="32"/>
        <w:szCs w:val="48"/>
      </w:rPr>
      <w:t>X</w:t>
    </w:r>
    <w:r w:rsidR="00000000">
      <w:rPr>
        <w:rFonts w:ascii="宋体" w:eastAsia="宋体" w:hAnsi="宋体" w:cs="宋体" w:hint="eastAsia"/>
        <w:b/>
        <w:bCs/>
        <w:color w:val="005192"/>
        <w:sz w:val="28"/>
        <w:szCs w:val="44"/>
      </w:rPr>
      <w:t>辽宁省人民政府发布</w:t>
    </w:r>
  </w:p>
  <w:p w14:paraId="023C2219" w14:textId="77777777" w:rsidR="00E976EA" w:rsidRDefault="00E976EA">
    <w:pPr>
      <w:pStyle w:val="a6"/>
      <w:wordWrap w:val="0"/>
      <w:ind w:leftChars="2280" w:left="5472"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1E81" w14:textId="77777777" w:rsidR="003D5AC2" w:rsidRDefault="003D5AC2">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720F8" w14:textId="77777777" w:rsidR="00C910C8" w:rsidRDefault="00C910C8">
      <w:pPr>
        <w:spacing w:line="240" w:lineRule="auto"/>
        <w:ind w:firstLine="480"/>
      </w:pPr>
      <w:r>
        <w:separator/>
      </w:r>
    </w:p>
  </w:footnote>
  <w:footnote w:type="continuationSeparator" w:id="0">
    <w:p w14:paraId="7C04C187" w14:textId="77777777" w:rsidR="00C910C8" w:rsidRDefault="00C910C8">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FAFD" w14:textId="77777777" w:rsidR="003D5AC2" w:rsidRDefault="003D5AC2">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89F9" w14:textId="476E99CA" w:rsidR="00E976EA" w:rsidRDefault="003D5AC2">
    <w:pPr>
      <w:pStyle w:val="a6"/>
      <w:ind w:firstLine="643"/>
      <w:textAlignment w:val="center"/>
      <w:rPr>
        <w:rFonts w:ascii="宋体" w:eastAsia="宋体" w:hAnsi="宋体" w:cs="宋体"/>
        <w:b/>
        <w:bCs/>
        <w:color w:val="005192"/>
        <w:sz w:val="32"/>
      </w:rPr>
    </w:pPr>
    <w:r>
      <w:rPr>
        <w:rFonts w:ascii="宋体" w:eastAsia="宋体" w:hAnsi="宋体" w:cs="宋体"/>
        <w:b/>
        <w:bCs/>
        <w:noProof/>
        <w:color w:val="005192"/>
        <w:sz w:val="32"/>
      </w:rPr>
      <mc:AlternateContent>
        <mc:Choice Requires="wps">
          <w:drawing>
            <wp:anchor distT="0" distB="0" distL="114300" distR="114300" simplePos="0" relativeHeight="251658240" behindDoc="0" locked="0" layoutInCell="1" allowOverlap="1" wp14:anchorId="0BA6B739" wp14:editId="6EB596FF">
              <wp:simplePos x="0" y="0"/>
              <wp:positionH relativeFrom="column">
                <wp:posOffset>-3810</wp:posOffset>
              </wp:positionH>
              <wp:positionV relativeFrom="paragraph">
                <wp:posOffset>690245</wp:posOffset>
              </wp:positionV>
              <wp:extent cx="5620385" cy="635"/>
              <wp:effectExtent l="15240" t="13970" r="12700" b="1397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0385" cy="635"/>
                      </a:xfrm>
                      <a:prstGeom prst="line">
                        <a:avLst/>
                      </a:prstGeom>
                      <a:noFill/>
                      <a:ln w="22225">
                        <a:solidFill>
                          <a:srgbClr val="00519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23947" id="直接连接符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4.35pt" to="442.2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" strokecolor="#005192" strokeweight="1.75pt"/>
          </w:pict>
        </mc:Fallback>
      </mc:AlternateContent>
    </w:r>
  </w:p>
  <w:p w14:paraId="34E0D838" w14:textId="725C38F4" w:rsidR="00E976EA" w:rsidRDefault="003D5AC2">
    <w:pPr>
      <w:pStyle w:val="a6"/>
      <w:ind w:firstLineChars="0" w:firstLine="0"/>
      <w:textAlignment w:val="center"/>
      <w:rPr>
        <w:rFonts w:ascii="宋体" w:eastAsia="宋体" w:hAnsi="宋体" w:cs="宋体"/>
        <w:b/>
        <w:bCs/>
        <w:color w:val="005192"/>
        <w:sz w:val="32"/>
        <w:szCs w:val="32"/>
      </w:rPr>
    </w:pPr>
    <w:r>
      <w:rPr>
        <w:rFonts w:ascii="宋体" w:eastAsia="宋体" w:hAnsi="宋体" w:cs="宋体"/>
        <w:b/>
        <w:bCs/>
        <w:noProof/>
        <w:color w:val="005192"/>
        <w:sz w:val="32"/>
      </w:rPr>
      <w:drawing>
        <wp:inline distT="0" distB="0" distL="0" distR="0" wp14:anchorId="15CFB1FE" wp14:editId="0D50DDDE">
          <wp:extent cx="312420" cy="312420"/>
          <wp:effectExtent l="0" t="0" r="0" b="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r w:rsidR="00000000">
      <w:rPr>
        <w:rFonts w:ascii="宋体" w:eastAsia="宋体" w:hAnsi="宋体" w:cs="宋体" w:hint="eastAsia"/>
        <w:b/>
        <w:bCs/>
        <w:color w:val="005192"/>
        <w:sz w:val="32"/>
      </w:rPr>
      <w:t>辽宁省人民政府</w:t>
    </w:r>
    <w:r w:rsidR="00000000">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8163" w14:textId="77777777" w:rsidR="003D5AC2" w:rsidRDefault="003D5AC2">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17151"/>
    <w:multiLevelType w:val="singleLevel"/>
    <w:tmpl w:val="61C17151"/>
    <w:lvl w:ilvl="0">
      <w:start w:val="7"/>
      <w:numFmt w:val="chineseCounting"/>
      <w:suff w:val="nothing"/>
      <w:lvlText w:val="第%1章"/>
      <w:lvlJc w:val="left"/>
    </w:lvl>
  </w:abstractNum>
  <w:abstractNum w:abstractNumId="1" w15:restartNumberingAfterBreak="0">
    <w:nsid w:val="61C17163"/>
    <w:multiLevelType w:val="singleLevel"/>
    <w:tmpl w:val="61C17163"/>
    <w:lvl w:ilvl="0">
      <w:start w:val="6"/>
      <w:numFmt w:val="chineseCounting"/>
      <w:suff w:val="nothing"/>
      <w:lvlText w:val="第%1章"/>
      <w:lvlJc w:val="left"/>
    </w:lvl>
  </w:abstractNum>
  <w:num w:numId="1" w16cid:durableId="239675755">
    <w:abstractNumId w:val="1"/>
  </w:num>
  <w:num w:numId="2" w16cid:durableId="746610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72A27"/>
    <w:rsid w:val="003D5AC2"/>
    <w:rsid w:val="00C910C8"/>
    <w:rsid w:val="00E976EA"/>
    <w:rsid w:val="019E71BD"/>
    <w:rsid w:val="04B679C3"/>
    <w:rsid w:val="080F63D8"/>
    <w:rsid w:val="09341458"/>
    <w:rsid w:val="0B0912D7"/>
    <w:rsid w:val="152D2DCA"/>
    <w:rsid w:val="19C80324"/>
    <w:rsid w:val="1AC85722"/>
    <w:rsid w:val="1DEC284C"/>
    <w:rsid w:val="1E6523AC"/>
    <w:rsid w:val="22440422"/>
    <w:rsid w:val="27F45D35"/>
    <w:rsid w:val="2D41643B"/>
    <w:rsid w:val="2E645478"/>
    <w:rsid w:val="31A15F24"/>
    <w:rsid w:val="379A6DDD"/>
    <w:rsid w:val="39157933"/>
    <w:rsid w:val="395347B5"/>
    <w:rsid w:val="39A232A0"/>
    <w:rsid w:val="39E745AA"/>
    <w:rsid w:val="3B5A6BBB"/>
    <w:rsid w:val="3B792603"/>
    <w:rsid w:val="3EDA13A6"/>
    <w:rsid w:val="42F058B7"/>
    <w:rsid w:val="436109F6"/>
    <w:rsid w:val="441A38D4"/>
    <w:rsid w:val="44F82C8D"/>
    <w:rsid w:val="4BC77339"/>
    <w:rsid w:val="4C9236C5"/>
    <w:rsid w:val="505C172E"/>
    <w:rsid w:val="52F46F0B"/>
    <w:rsid w:val="53D8014D"/>
    <w:rsid w:val="55E064E0"/>
    <w:rsid w:val="572C6D10"/>
    <w:rsid w:val="5A094F47"/>
    <w:rsid w:val="5DC34279"/>
    <w:rsid w:val="60387731"/>
    <w:rsid w:val="608816D1"/>
    <w:rsid w:val="60EF4E7F"/>
    <w:rsid w:val="660254A6"/>
    <w:rsid w:val="665233C1"/>
    <w:rsid w:val="67470A9D"/>
    <w:rsid w:val="67E1476C"/>
    <w:rsid w:val="6AD9688B"/>
    <w:rsid w:val="6D0E3F22"/>
    <w:rsid w:val="70724CD8"/>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36BF06A5"/>
  <w15:docId w15:val="{791D1A5E-3F25-4ED9-AE24-743E0BD66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First Inden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400" w:lineRule="exact"/>
      <w:ind w:firstLineChars="200" w:firstLine="720"/>
      <w:jc w:val="both"/>
    </w:pPr>
    <w:rPr>
      <w:rFonts w:ascii="仿宋_GB2312" w:eastAsia="仿宋_GB2312" w:hAnsi="仿宋_GB2312"/>
      <w:kern w:val="2"/>
      <w:sz w:val="24"/>
      <w:szCs w:val="22"/>
    </w:rPr>
  </w:style>
  <w:style w:type="paragraph" w:styleId="1">
    <w:name w:val="heading 1"/>
    <w:basedOn w:val="a"/>
    <w:next w:val="a"/>
    <w:qFormat/>
    <w:pPr>
      <w:keepNext/>
      <w:keepLines/>
      <w:spacing w:afterLines="100" w:after="100" w:line="600" w:lineRule="exact"/>
      <w:ind w:firstLineChars="0" w:firstLine="0"/>
      <w:jc w:val="center"/>
      <w:outlineLvl w:val="0"/>
    </w:pPr>
    <w:rPr>
      <w:rFonts w:ascii="Times New Roman" w:eastAsia="方正小标宋简体" w:hAnsi="Times New Roman"/>
      <w:kern w:val="44"/>
      <w:sz w:val="36"/>
    </w:rPr>
  </w:style>
  <w:style w:type="paragraph" w:styleId="2">
    <w:name w:val="heading 2"/>
    <w:basedOn w:val="a"/>
    <w:next w:val="a"/>
    <w:qFormat/>
    <w:pPr>
      <w:keepNext/>
      <w:keepLines/>
      <w:ind w:firstLineChars="0" w:firstLine="0"/>
      <w:outlineLvl w:val="1"/>
    </w:pPr>
    <w:rPr>
      <w:rFonts w:ascii="楷体_GB2312" w:eastAsia="楷体_GB2312" w:hAnsi="楷体_GB2312"/>
    </w:rPr>
  </w:style>
  <w:style w:type="paragraph" w:styleId="3">
    <w:name w:val="heading 3"/>
    <w:basedOn w:val="a"/>
    <w:next w:val="a"/>
    <w:link w:val="30"/>
    <w:qFormat/>
    <w:pPr>
      <w:spacing w:before="100" w:beforeAutospacing="1" w:after="100" w:afterAutospacing="1"/>
      <w:jc w:val="left"/>
      <w:outlineLvl w:val="2"/>
    </w:pPr>
    <w:rPr>
      <w:rFonts w:ascii="宋体" w:eastAsia="黑体" w:hAnsi="宋体" w:cs="宋体" w:hint="eastAsia"/>
      <w:kern w:val="0"/>
      <w:szCs w:val="27"/>
    </w:rPr>
  </w:style>
  <w:style w:type="paragraph" w:styleId="4">
    <w:name w:val="heading 4"/>
    <w:basedOn w:val="a"/>
    <w:next w:val="a"/>
    <w:qFormat/>
    <w:pPr>
      <w:keepNext/>
      <w:spacing w:beforeLines="50" w:before="50" w:afterLines="50" w:after="50"/>
      <w:ind w:firstLineChars="0" w:firstLine="0"/>
      <w:jc w:val="center"/>
      <w:outlineLvl w:val="3"/>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First Indent"/>
    <w:basedOn w:val="a"/>
    <w:qFormat/>
    <w:pPr>
      <w:ind w:firstLine="632"/>
    </w:p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7">
    <w:name w:val="Normal (Web)"/>
    <w:basedOn w:val="a"/>
    <w:qFormat/>
    <w:pPr>
      <w:spacing w:beforeAutospacing="1" w:afterAutospacing="1"/>
      <w:jc w:val="left"/>
    </w:pPr>
    <w:rPr>
      <w:kern w:val="0"/>
    </w:rPr>
  </w:style>
  <w:style w:type="character" w:styleId="a8">
    <w:name w:val="Strong"/>
    <w:qFormat/>
    <w:rPr>
      <w:b/>
    </w:rPr>
  </w:style>
  <w:style w:type="character" w:styleId="a9">
    <w:name w:val="Hyperlink"/>
    <w:qFormat/>
    <w:rPr>
      <w:color w:val="0000FF"/>
      <w:u w:val="single"/>
    </w:rPr>
  </w:style>
  <w:style w:type="character" w:customStyle="1" w:styleId="30">
    <w:name w:val="标题 3 字符"/>
    <w:link w:val="3"/>
    <w:qFormat/>
    <w:rPr>
      <w:rFonts w:ascii="宋体" w:eastAsia="黑体" w:hAnsi="宋体" w:cs="宋体" w:hint="eastAsia"/>
      <w:kern w:val="0"/>
      <w:sz w:val="24"/>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887</Words>
  <Characters>5056</Characters>
  <Application>Microsoft Office Word</Application>
  <DocSecurity>0</DocSecurity>
  <Lines>42</Lines>
  <Paragraphs>11</Paragraphs>
  <ScaleCrop>false</ScaleCrop>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辽宁省规章规范性文件定期清理规定</dc:title>
  <dc:creator>t</dc:creator>
  <cp:lastModifiedBy>xu jingling</cp:lastModifiedBy>
  <cp:revision>2</cp:revision>
  <cp:lastPrinted>2021-10-26T03:30:00Z</cp:lastPrinted>
  <dcterms:created xsi:type="dcterms:W3CDTF">2023-03-21T07:35:00Z</dcterms:created>
  <dcterms:modified xsi:type="dcterms:W3CDTF">2023-03-21T07:35:00Z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D94798576BF041EC91DEEED02B32C822</vt:lpwstr>
  </property>
</Properties>
</file>