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6DF93">
      <w:pPr>
        <w:snapToGrid w:val="0"/>
        <w:spacing w:line="440" w:lineRule="exact"/>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重庆市木门产品质量监督抽查实施细则</w:t>
      </w:r>
    </w:p>
    <w:p w14:paraId="11576CE2">
      <w:pPr>
        <w:snapToGrid w:val="0"/>
        <w:spacing w:line="440" w:lineRule="exact"/>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（2</w:t>
      </w:r>
      <w:r>
        <w:rPr>
          <w:rFonts w:ascii="方正小标宋简体" w:hAnsi="仿宋" w:eastAsia="方正小标宋简体" w:cs="方正仿宋简体"/>
          <w:color w:val="000000"/>
          <w:sz w:val="32"/>
          <w:szCs w:val="32"/>
        </w:rPr>
        <w:t>02</w:t>
      </w:r>
      <w:r>
        <w:rPr>
          <w:rFonts w:hint="eastAsia" w:ascii="方正小标宋简体" w:hAnsi="仿宋" w:eastAsia="方正小标宋简体" w:cs="方正仿宋简体"/>
          <w:color w:val="000000"/>
          <w:sz w:val="32"/>
          <w:szCs w:val="32"/>
          <w:lang w:val="en-US" w:eastAsia="zh-CN"/>
        </w:rPr>
        <w:t>6</w:t>
      </w:r>
      <w:r>
        <w:rPr>
          <w:rFonts w:hint="eastAsia" w:ascii="方正小标宋简体" w:hAnsi="仿宋" w:eastAsia="方正小标宋简体" w:cs="方正仿宋简体"/>
          <w:color w:val="000000"/>
          <w:sz w:val="32"/>
          <w:szCs w:val="32"/>
        </w:rPr>
        <w:t>年</w:t>
      </w:r>
      <w:r>
        <w:rPr>
          <w:rFonts w:hint="eastAsia" w:ascii="方正小标宋简体" w:hAnsi="仿宋" w:eastAsia="方正小标宋简体" w:cs="方正仿宋简体"/>
          <w:color w:val="000000"/>
          <w:sz w:val="32"/>
          <w:szCs w:val="32"/>
          <w:lang w:val="en-US" w:eastAsia="zh-CN"/>
        </w:rPr>
        <w:t>版</w:t>
      </w:r>
      <w:r>
        <w:rPr>
          <w:rFonts w:hint="eastAsia" w:ascii="方正小标宋简体" w:hAnsi="仿宋" w:eastAsia="方正小标宋简体" w:cs="方正仿宋简体"/>
          <w:color w:val="000000"/>
          <w:sz w:val="32"/>
          <w:szCs w:val="32"/>
        </w:rPr>
        <w:t>）</w:t>
      </w:r>
    </w:p>
    <w:p w14:paraId="315FE722">
      <w:pPr>
        <w:snapToGrid w:val="0"/>
        <w:spacing w:line="440" w:lineRule="exact"/>
        <w:rPr>
          <w:rFonts w:hint="eastAsia" w:ascii="宋体" w:hAnsi="宋体" w:eastAsia="宋体" w:cs="宋体"/>
          <w:color w:val="000000"/>
          <w:szCs w:val="21"/>
        </w:rPr>
      </w:pPr>
    </w:p>
    <w:p w14:paraId="683B7EDE">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14:paraId="0046E9B1">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1AF05677">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309889D3">
      <w:pPr>
        <w:snapToGrid w:val="0"/>
        <w:spacing w:line="440" w:lineRule="exact"/>
        <w:ind w:firstLine="420" w:firstLineChars="200"/>
        <w:rPr>
          <w:rFonts w:hint="eastAsia" w:ascii="宋体" w:hAnsi="宋体"/>
          <w:color w:val="000000"/>
          <w:szCs w:val="21"/>
        </w:rPr>
      </w:pPr>
      <w:r>
        <w:rPr>
          <w:rFonts w:hint="eastAsia" w:ascii="宋体" w:hAnsi="宋体"/>
          <w:szCs w:val="21"/>
        </w:rPr>
        <w:t>每批次抽取样品</w:t>
      </w:r>
      <w:r>
        <w:rPr>
          <w:rFonts w:hint="eastAsia" w:ascii="宋体" w:hAnsi="宋体"/>
          <w:color w:val="000000"/>
          <w:szCs w:val="21"/>
        </w:rPr>
        <w:t>2樘，其中 1樘作为检验样品，1樘作为备用样品。</w:t>
      </w:r>
    </w:p>
    <w:p w14:paraId="1960C307">
      <w:pPr>
        <w:snapToGrid w:val="0"/>
        <w:spacing w:line="440" w:lineRule="exact"/>
        <w:rPr>
          <w:rFonts w:hint="eastAsia" w:ascii="宋体" w:hAnsi="宋体" w:eastAsia="宋体" w:cs="宋体"/>
          <w:color w:val="000000"/>
          <w:szCs w:val="21"/>
        </w:rPr>
      </w:pPr>
    </w:p>
    <w:p w14:paraId="4BD9F578">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p w14:paraId="34685FE9">
      <w:pPr>
        <w:snapToGrid w:val="0"/>
        <w:spacing w:line="440" w:lineRule="exact"/>
        <w:jc w:val="center"/>
        <w:rPr>
          <w:rFonts w:hint="eastAsia" w:ascii="宋体" w:hAnsi="宋体"/>
          <w:color w:val="000000"/>
          <w:szCs w:val="21"/>
        </w:rPr>
      </w:pPr>
      <w:r>
        <w:rPr>
          <w:rFonts w:hint="eastAsia" w:ascii="宋体" w:hAnsi="宋体"/>
          <w:color w:val="000000"/>
          <w:szCs w:val="21"/>
        </w:rPr>
        <w:t>表1 室内木质门LY/T 1923-2020</w:t>
      </w:r>
    </w:p>
    <w:p w14:paraId="68A28D1C">
      <w:pPr>
        <w:snapToGrid w:val="0"/>
        <w:spacing w:line="440" w:lineRule="exact"/>
        <w:jc w:val="center"/>
        <w:rPr>
          <w:rFonts w:ascii="黑体" w:hAnsi="宋体"/>
          <w:color w:val="000000"/>
          <w:szCs w:val="21"/>
          <w:highlight w:val="none"/>
        </w:rPr>
      </w:pPr>
      <w:r>
        <w:rPr>
          <w:rFonts w:hint="eastAsia" w:ascii="宋体" w:hAnsi="宋体"/>
          <w:szCs w:val="21"/>
          <w:highlight w:val="none"/>
          <w:lang w:val="en-US" w:eastAsia="zh-CN"/>
        </w:rPr>
        <w:t>(2026年6月1日之前）</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8"/>
        <w:gridCol w:w="3850"/>
        <w:gridCol w:w="3932"/>
      </w:tblGrid>
      <w:tr w14:paraId="5B94E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8" w:type="dxa"/>
            <w:noWrap w:val="0"/>
            <w:vAlign w:val="top"/>
          </w:tcPr>
          <w:p w14:paraId="133533DB">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eastAsia" w:ascii="宋体" w:hAnsi="宋体"/>
                <w:color w:val="000000"/>
                <w:szCs w:val="21"/>
              </w:rPr>
            </w:pPr>
            <w:r>
              <w:rPr>
                <w:rFonts w:hint="eastAsia" w:ascii="宋体" w:hAnsi="宋体"/>
                <w:color w:val="000000"/>
                <w:szCs w:val="21"/>
              </w:rPr>
              <w:t>序号</w:t>
            </w:r>
          </w:p>
        </w:tc>
        <w:tc>
          <w:tcPr>
            <w:tcW w:w="3850" w:type="dxa"/>
            <w:noWrap w:val="0"/>
            <w:vAlign w:val="top"/>
          </w:tcPr>
          <w:p w14:paraId="3893BB1C">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eastAsia" w:ascii="宋体" w:hAnsi="宋体"/>
                <w:color w:val="000000"/>
                <w:szCs w:val="21"/>
              </w:rPr>
            </w:pPr>
            <w:r>
              <w:rPr>
                <w:rFonts w:hint="eastAsia" w:ascii="宋体" w:hAnsi="宋体"/>
                <w:color w:val="000000"/>
                <w:szCs w:val="21"/>
              </w:rPr>
              <w:t>检验项目</w:t>
            </w:r>
          </w:p>
        </w:tc>
        <w:tc>
          <w:tcPr>
            <w:tcW w:w="3932" w:type="dxa"/>
            <w:noWrap w:val="0"/>
            <w:vAlign w:val="top"/>
          </w:tcPr>
          <w:p w14:paraId="6372FD31">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eastAsia" w:ascii="宋体" w:hAnsi="宋体"/>
                <w:color w:val="000000"/>
                <w:szCs w:val="21"/>
              </w:rPr>
            </w:pPr>
            <w:r>
              <w:rPr>
                <w:rFonts w:hint="eastAsia" w:ascii="宋体" w:hAnsi="宋体"/>
                <w:color w:val="000000"/>
                <w:szCs w:val="21"/>
              </w:rPr>
              <w:t>检验方法</w:t>
            </w:r>
          </w:p>
        </w:tc>
      </w:tr>
      <w:tr w14:paraId="13E65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1128" w:type="dxa"/>
            <w:noWrap w:val="0"/>
            <w:vAlign w:val="center"/>
          </w:tcPr>
          <w:p w14:paraId="241F6844">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宋体" w:hAnsi="宋体"/>
                <w:color w:val="000000"/>
                <w:szCs w:val="21"/>
              </w:rPr>
            </w:pPr>
            <w:r>
              <w:rPr>
                <w:rFonts w:hint="eastAsia" w:ascii="宋体" w:hAnsi="宋体"/>
                <w:color w:val="000000"/>
                <w:szCs w:val="21"/>
              </w:rPr>
              <w:t>1</w:t>
            </w:r>
          </w:p>
        </w:tc>
        <w:tc>
          <w:tcPr>
            <w:tcW w:w="3850" w:type="dxa"/>
            <w:noWrap w:val="0"/>
            <w:vAlign w:val="center"/>
          </w:tcPr>
          <w:p w14:paraId="397688E3">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宋体" w:hAnsi="宋体"/>
                <w:color w:val="000000"/>
                <w:szCs w:val="21"/>
              </w:rPr>
            </w:pPr>
            <w:r>
              <w:rPr>
                <w:rFonts w:hint="eastAsia" w:ascii="宋体" w:hAnsi="宋体"/>
                <w:color w:val="000000"/>
                <w:szCs w:val="21"/>
              </w:rPr>
              <w:t>含水率</w:t>
            </w:r>
          </w:p>
        </w:tc>
        <w:tc>
          <w:tcPr>
            <w:tcW w:w="3932" w:type="dxa"/>
            <w:noWrap w:val="0"/>
            <w:vAlign w:val="center"/>
          </w:tcPr>
          <w:p w14:paraId="2CFAF21F">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宋体" w:hAnsi="宋体"/>
                <w:color w:val="000000"/>
                <w:szCs w:val="21"/>
              </w:rPr>
            </w:pPr>
            <w:r>
              <w:rPr>
                <w:rFonts w:hint="eastAsia" w:ascii="宋体" w:hAnsi="宋体"/>
                <w:color w:val="000000"/>
                <w:szCs w:val="21"/>
              </w:rPr>
              <w:t>GB/T 17657-2013</w:t>
            </w:r>
          </w:p>
        </w:tc>
      </w:tr>
      <w:tr w14:paraId="6FDD5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1128" w:type="dxa"/>
            <w:noWrap w:val="0"/>
            <w:vAlign w:val="center"/>
          </w:tcPr>
          <w:p w14:paraId="02EF8114">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宋体" w:hAnsi="宋体" w:eastAsia="宋体"/>
                <w:color w:val="000000"/>
                <w:szCs w:val="21"/>
                <w:lang w:val="en-US" w:eastAsia="zh-CN"/>
              </w:rPr>
            </w:pPr>
            <w:r>
              <w:rPr>
                <w:rFonts w:hint="eastAsia" w:ascii="宋体" w:hAnsi="宋体"/>
                <w:color w:val="000000"/>
                <w:szCs w:val="21"/>
                <w:lang w:val="en-US" w:eastAsia="zh-CN"/>
              </w:rPr>
              <w:t>2</w:t>
            </w:r>
          </w:p>
        </w:tc>
        <w:tc>
          <w:tcPr>
            <w:tcW w:w="3850" w:type="dxa"/>
            <w:noWrap w:val="0"/>
            <w:vAlign w:val="center"/>
          </w:tcPr>
          <w:p w14:paraId="77B75AE6">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宋体" w:hAnsi="宋体"/>
                <w:color w:val="000000"/>
                <w:szCs w:val="21"/>
              </w:rPr>
            </w:pPr>
            <w:r>
              <w:rPr>
                <w:rFonts w:hint="eastAsia" w:ascii="宋体" w:hAnsi="宋体"/>
                <w:color w:val="000000"/>
                <w:szCs w:val="21"/>
              </w:rPr>
              <w:t>表面胶合强度</w:t>
            </w:r>
          </w:p>
        </w:tc>
        <w:tc>
          <w:tcPr>
            <w:tcW w:w="3932" w:type="dxa"/>
            <w:noWrap w:val="0"/>
            <w:vAlign w:val="center"/>
          </w:tcPr>
          <w:p w14:paraId="70116CEA">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宋体" w:hAnsi="宋体"/>
                <w:color w:val="000000"/>
                <w:szCs w:val="21"/>
              </w:rPr>
            </w:pPr>
            <w:r>
              <w:rPr>
                <w:rFonts w:hint="eastAsia" w:ascii="宋体" w:hAnsi="宋体"/>
                <w:color w:val="000000"/>
                <w:szCs w:val="21"/>
              </w:rPr>
              <w:t>GB/T 17657-2013</w:t>
            </w:r>
          </w:p>
        </w:tc>
      </w:tr>
      <w:tr w14:paraId="0EA03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1128" w:type="dxa"/>
            <w:noWrap w:val="0"/>
            <w:vAlign w:val="center"/>
          </w:tcPr>
          <w:p w14:paraId="0AD7E53F">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default" w:ascii="宋体" w:hAnsi="宋体"/>
                <w:color w:val="000000"/>
                <w:szCs w:val="21"/>
                <w:lang w:val="en-US" w:eastAsia="zh-CN"/>
              </w:rPr>
            </w:pPr>
            <w:r>
              <w:rPr>
                <w:rFonts w:hint="eastAsia" w:ascii="宋体" w:hAnsi="宋体"/>
                <w:color w:val="000000"/>
                <w:szCs w:val="21"/>
                <w:lang w:val="en-US" w:eastAsia="zh-CN"/>
              </w:rPr>
              <w:t>3</w:t>
            </w:r>
          </w:p>
        </w:tc>
        <w:tc>
          <w:tcPr>
            <w:tcW w:w="3850" w:type="dxa"/>
            <w:noWrap w:val="0"/>
            <w:vAlign w:val="center"/>
          </w:tcPr>
          <w:p w14:paraId="72E883CC">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宋体" w:hAnsi="宋体"/>
                <w:color w:val="000000"/>
                <w:szCs w:val="21"/>
              </w:rPr>
            </w:pPr>
            <w:r>
              <w:rPr>
                <w:rFonts w:hint="eastAsia" w:ascii="宋体" w:hAnsi="宋体"/>
                <w:color w:val="000000"/>
                <w:szCs w:val="21"/>
              </w:rPr>
              <w:t>表面抗冲击性能</w:t>
            </w:r>
          </w:p>
        </w:tc>
        <w:tc>
          <w:tcPr>
            <w:tcW w:w="3932" w:type="dxa"/>
            <w:noWrap w:val="0"/>
            <w:vAlign w:val="center"/>
          </w:tcPr>
          <w:p w14:paraId="14C99A67">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宋体" w:hAnsi="宋体"/>
                <w:color w:val="000000"/>
                <w:szCs w:val="21"/>
              </w:rPr>
            </w:pPr>
            <w:r>
              <w:rPr>
                <w:rFonts w:hint="eastAsia" w:ascii="宋体" w:hAnsi="宋体"/>
                <w:color w:val="000000"/>
                <w:szCs w:val="21"/>
              </w:rPr>
              <w:t>GB/T 17657-2013</w:t>
            </w:r>
          </w:p>
        </w:tc>
      </w:tr>
      <w:tr w14:paraId="0398B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1128" w:type="dxa"/>
            <w:noWrap w:val="0"/>
            <w:vAlign w:val="center"/>
          </w:tcPr>
          <w:p w14:paraId="160C14F5">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default" w:ascii="宋体" w:hAnsi="宋体"/>
                <w:color w:val="000000"/>
                <w:szCs w:val="21"/>
                <w:lang w:val="en-US" w:eastAsia="zh-CN"/>
              </w:rPr>
            </w:pPr>
            <w:r>
              <w:rPr>
                <w:rFonts w:hint="eastAsia" w:ascii="宋体" w:hAnsi="宋体"/>
                <w:color w:val="000000"/>
                <w:szCs w:val="21"/>
                <w:lang w:val="en-US" w:eastAsia="zh-CN"/>
              </w:rPr>
              <w:t>4</w:t>
            </w:r>
          </w:p>
        </w:tc>
        <w:tc>
          <w:tcPr>
            <w:tcW w:w="3850" w:type="dxa"/>
            <w:noWrap w:val="0"/>
            <w:vAlign w:val="center"/>
          </w:tcPr>
          <w:p w14:paraId="120BDF00">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宋体" w:hAnsi="宋体"/>
                <w:color w:val="000000"/>
                <w:szCs w:val="21"/>
              </w:rPr>
            </w:pPr>
            <w:r>
              <w:rPr>
                <w:rFonts w:hint="eastAsia" w:ascii="宋体" w:hAnsi="宋体"/>
                <w:color w:val="000000"/>
                <w:szCs w:val="21"/>
              </w:rPr>
              <w:t xml:space="preserve"> 漆膜附着力</w:t>
            </w:r>
          </w:p>
        </w:tc>
        <w:tc>
          <w:tcPr>
            <w:tcW w:w="3932" w:type="dxa"/>
            <w:noWrap w:val="0"/>
            <w:vAlign w:val="center"/>
          </w:tcPr>
          <w:p w14:paraId="5FE174B4">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宋体" w:hAnsi="宋体"/>
                <w:color w:val="000000"/>
                <w:szCs w:val="21"/>
              </w:rPr>
            </w:pPr>
            <w:r>
              <w:rPr>
                <w:rFonts w:hint="eastAsia" w:ascii="宋体" w:hAnsi="宋体"/>
                <w:color w:val="000000"/>
                <w:szCs w:val="21"/>
              </w:rPr>
              <w:t>GB/T 17657-2013</w:t>
            </w:r>
          </w:p>
        </w:tc>
      </w:tr>
      <w:tr w14:paraId="63638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1128" w:type="dxa"/>
            <w:noWrap w:val="0"/>
            <w:vAlign w:val="center"/>
          </w:tcPr>
          <w:p w14:paraId="7FFD8C39">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default" w:ascii="宋体" w:hAnsi="宋体"/>
                <w:color w:val="000000"/>
                <w:szCs w:val="21"/>
                <w:lang w:val="en-US" w:eastAsia="zh-CN"/>
              </w:rPr>
            </w:pPr>
            <w:r>
              <w:rPr>
                <w:rFonts w:hint="eastAsia" w:ascii="宋体" w:hAnsi="宋体"/>
                <w:color w:val="000000"/>
                <w:szCs w:val="21"/>
                <w:lang w:val="en-US" w:eastAsia="zh-CN"/>
              </w:rPr>
              <w:t>5</w:t>
            </w:r>
          </w:p>
        </w:tc>
        <w:tc>
          <w:tcPr>
            <w:tcW w:w="3850" w:type="dxa"/>
            <w:noWrap w:val="0"/>
            <w:vAlign w:val="center"/>
          </w:tcPr>
          <w:p w14:paraId="6E538E48">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宋体" w:hAnsi="宋体"/>
                <w:color w:val="000000"/>
                <w:szCs w:val="21"/>
              </w:rPr>
            </w:pPr>
            <w:r>
              <w:rPr>
                <w:rFonts w:hint="eastAsia" w:ascii="宋体" w:hAnsi="宋体"/>
                <w:color w:val="000000"/>
                <w:szCs w:val="21"/>
              </w:rPr>
              <w:t>漆膜硬度</w:t>
            </w:r>
          </w:p>
        </w:tc>
        <w:tc>
          <w:tcPr>
            <w:tcW w:w="3932" w:type="dxa"/>
            <w:noWrap w:val="0"/>
            <w:vAlign w:val="center"/>
          </w:tcPr>
          <w:p w14:paraId="5DD83F26">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宋体" w:hAnsi="宋体"/>
                <w:color w:val="000000"/>
                <w:szCs w:val="21"/>
              </w:rPr>
            </w:pPr>
            <w:r>
              <w:rPr>
                <w:rFonts w:hint="eastAsia" w:ascii="宋体" w:hAnsi="宋体"/>
                <w:color w:val="000000"/>
                <w:szCs w:val="21"/>
              </w:rPr>
              <w:t>GB/T 17657-2013</w:t>
            </w:r>
          </w:p>
        </w:tc>
      </w:tr>
      <w:tr w14:paraId="202F3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1128" w:type="dxa"/>
            <w:noWrap w:val="0"/>
            <w:vAlign w:val="center"/>
          </w:tcPr>
          <w:p w14:paraId="348D5A7B">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default" w:ascii="宋体" w:hAnsi="宋体"/>
                <w:color w:val="000000"/>
                <w:szCs w:val="21"/>
                <w:lang w:val="en-US" w:eastAsia="zh-CN"/>
              </w:rPr>
            </w:pPr>
            <w:r>
              <w:rPr>
                <w:rFonts w:hint="eastAsia" w:ascii="宋体" w:hAnsi="宋体"/>
                <w:color w:val="000000"/>
                <w:szCs w:val="21"/>
                <w:lang w:val="en-US" w:eastAsia="zh-CN"/>
              </w:rPr>
              <w:t>6</w:t>
            </w:r>
          </w:p>
        </w:tc>
        <w:tc>
          <w:tcPr>
            <w:tcW w:w="3850" w:type="dxa"/>
            <w:noWrap w:val="0"/>
            <w:vAlign w:val="center"/>
          </w:tcPr>
          <w:p w14:paraId="66E14271">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宋体" w:hAnsi="宋体"/>
                <w:color w:val="000000"/>
                <w:szCs w:val="21"/>
              </w:rPr>
            </w:pPr>
            <w:r>
              <w:rPr>
                <w:rFonts w:hint="eastAsia" w:ascii="宋体" w:hAnsi="宋体"/>
                <w:color w:val="000000"/>
                <w:szCs w:val="21"/>
              </w:rPr>
              <w:t>浸渍剥离性能</w:t>
            </w:r>
          </w:p>
        </w:tc>
        <w:tc>
          <w:tcPr>
            <w:tcW w:w="3932" w:type="dxa"/>
            <w:noWrap w:val="0"/>
            <w:vAlign w:val="center"/>
          </w:tcPr>
          <w:p w14:paraId="58528D62">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宋体" w:hAnsi="宋体"/>
                <w:color w:val="000000"/>
                <w:szCs w:val="21"/>
              </w:rPr>
            </w:pPr>
            <w:r>
              <w:rPr>
                <w:rFonts w:hint="eastAsia" w:ascii="宋体" w:hAnsi="宋体"/>
                <w:color w:val="000000"/>
                <w:szCs w:val="21"/>
              </w:rPr>
              <w:t>GB/T 17657-2013</w:t>
            </w:r>
          </w:p>
        </w:tc>
      </w:tr>
      <w:tr w14:paraId="44BCA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8" w:type="dxa"/>
            <w:noWrap w:val="0"/>
            <w:vAlign w:val="center"/>
          </w:tcPr>
          <w:p w14:paraId="70A6779A">
            <w:pPr>
              <w:keepNext w:val="0"/>
              <w:keepLines w:val="0"/>
              <w:pageBreakBefore w:val="0"/>
              <w:widowControl w:val="0"/>
              <w:kinsoku/>
              <w:wordWrap/>
              <w:overflowPunct/>
              <w:topLinePunct w:val="0"/>
              <w:autoSpaceDE/>
              <w:autoSpaceDN/>
              <w:bidi w:val="0"/>
              <w:adjustRightInd/>
              <w:spacing w:line="440" w:lineRule="exact"/>
              <w:jc w:val="center"/>
              <w:textAlignment w:val="auto"/>
              <w:rPr>
                <w:rFonts w:ascii="宋体" w:hAnsi="宋体"/>
                <w:color w:val="000000"/>
                <w:szCs w:val="21"/>
              </w:rPr>
            </w:pPr>
            <w:r>
              <w:rPr>
                <w:rFonts w:hint="eastAsia" w:ascii="宋体" w:hAnsi="宋体"/>
                <w:color w:val="000000"/>
                <w:szCs w:val="21"/>
                <w:highlight w:val="none"/>
              </w:rPr>
              <w:t>7</w:t>
            </w:r>
          </w:p>
        </w:tc>
        <w:tc>
          <w:tcPr>
            <w:tcW w:w="3850" w:type="dxa"/>
            <w:noWrap w:val="0"/>
            <w:vAlign w:val="center"/>
          </w:tcPr>
          <w:p w14:paraId="7A6D2758">
            <w:pPr>
              <w:keepNext w:val="0"/>
              <w:keepLines w:val="0"/>
              <w:pageBreakBefore w:val="0"/>
              <w:widowControl w:val="0"/>
              <w:kinsoku/>
              <w:wordWrap/>
              <w:overflowPunct/>
              <w:topLinePunct w:val="0"/>
              <w:autoSpaceDE/>
              <w:autoSpaceDN/>
              <w:bidi w:val="0"/>
              <w:adjustRightInd/>
              <w:spacing w:line="440" w:lineRule="exact"/>
              <w:jc w:val="center"/>
              <w:textAlignment w:val="auto"/>
              <w:rPr>
                <w:rFonts w:ascii="宋体" w:hAnsi="宋体"/>
                <w:color w:val="000000"/>
                <w:szCs w:val="21"/>
              </w:rPr>
            </w:pPr>
            <w:r>
              <w:rPr>
                <w:color w:val="000000"/>
                <w:szCs w:val="21"/>
              </w:rPr>
              <w:t>甲醛释放量</w:t>
            </w:r>
          </w:p>
        </w:tc>
        <w:tc>
          <w:tcPr>
            <w:tcW w:w="3932" w:type="dxa"/>
            <w:noWrap w:val="0"/>
            <w:vAlign w:val="center"/>
          </w:tcPr>
          <w:p w14:paraId="095DFD90">
            <w:pPr>
              <w:keepNext w:val="0"/>
              <w:keepLines w:val="0"/>
              <w:pageBreakBefore w:val="0"/>
              <w:widowControl w:val="0"/>
              <w:kinsoku/>
              <w:wordWrap/>
              <w:overflowPunct/>
              <w:topLinePunct w:val="0"/>
              <w:autoSpaceDE/>
              <w:autoSpaceDN/>
              <w:bidi w:val="0"/>
              <w:adjustRightInd/>
              <w:spacing w:line="440" w:lineRule="exact"/>
              <w:jc w:val="center"/>
              <w:textAlignment w:val="auto"/>
              <w:rPr>
                <w:rFonts w:ascii="宋体" w:hAnsi="宋体"/>
                <w:color w:val="000000"/>
                <w:szCs w:val="21"/>
              </w:rPr>
            </w:pPr>
            <w:r>
              <w:rPr>
                <w:rFonts w:ascii="宋体" w:hAnsi="宋体"/>
                <w:color w:val="000000"/>
                <w:szCs w:val="21"/>
              </w:rPr>
              <w:t>GB 18580-20</w:t>
            </w:r>
            <w:r>
              <w:rPr>
                <w:rFonts w:hint="eastAsia" w:ascii="宋体" w:hAnsi="宋体"/>
                <w:color w:val="000000"/>
                <w:szCs w:val="21"/>
              </w:rPr>
              <w:t>17</w:t>
            </w:r>
          </w:p>
        </w:tc>
      </w:tr>
      <w:tr w14:paraId="1E9CC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8" w:type="dxa"/>
            <w:noWrap w:val="0"/>
            <w:vAlign w:val="center"/>
          </w:tcPr>
          <w:p w14:paraId="5FE4019F">
            <w:pPr>
              <w:keepNext w:val="0"/>
              <w:keepLines w:val="0"/>
              <w:pageBreakBefore w:val="0"/>
              <w:widowControl w:val="0"/>
              <w:kinsoku/>
              <w:wordWrap/>
              <w:overflowPunct/>
              <w:topLinePunct w:val="0"/>
              <w:autoSpaceDE/>
              <w:autoSpaceDN/>
              <w:bidi w:val="0"/>
              <w:adjustRightInd/>
              <w:spacing w:line="440" w:lineRule="exact"/>
              <w:jc w:val="center"/>
              <w:textAlignment w:val="auto"/>
              <w:rPr>
                <w:rFonts w:ascii="宋体" w:hAnsi="宋体"/>
                <w:color w:val="000000"/>
                <w:szCs w:val="21"/>
              </w:rPr>
            </w:pPr>
            <w:r>
              <w:rPr>
                <w:rFonts w:hint="eastAsia" w:ascii="宋体" w:hAnsi="宋体"/>
                <w:color w:val="000000"/>
                <w:szCs w:val="21"/>
                <w:highlight w:val="none"/>
              </w:rPr>
              <w:t>8</w:t>
            </w:r>
          </w:p>
        </w:tc>
        <w:tc>
          <w:tcPr>
            <w:tcW w:w="3850" w:type="dxa"/>
            <w:noWrap w:val="0"/>
            <w:vAlign w:val="center"/>
          </w:tcPr>
          <w:p w14:paraId="40A1B239">
            <w:pPr>
              <w:keepNext w:val="0"/>
              <w:keepLines w:val="0"/>
              <w:pageBreakBefore w:val="0"/>
              <w:widowControl w:val="0"/>
              <w:kinsoku/>
              <w:wordWrap/>
              <w:overflowPunct/>
              <w:topLinePunct w:val="0"/>
              <w:autoSpaceDE/>
              <w:autoSpaceDN/>
              <w:bidi w:val="0"/>
              <w:adjustRightInd/>
              <w:spacing w:line="440" w:lineRule="exact"/>
              <w:jc w:val="center"/>
              <w:textAlignment w:val="auto"/>
              <w:rPr>
                <w:rFonts w:ascii="宋体" w:hAnsi="宋体"/>
                <w:color w:val="000000"/>
                <w:szCs w:val="21"/>
              </w:rPr>
            </w:pPr>
            <w:r>
              <w:rPr>
                <w:rFonts w:hint="eastAsia" w:ascii="宋体" w:hAnsi="宋体"/>
                <w:color w:val="000000"/>
                <w:szCs w:val="21"/>
                <w:lang w:eastAsia="zh-CN"/>
              </w:rPr>
              <w:t>可溶性重金属含量</w:t>
            </w:r>
          </w:p>
        </w:tc>
        <w:tc>
          <w:tcPr>
            <w:tcW w:w="3932" w:type="dxa"/>
            <w:noWrap w:val="0"/>
            <w:vAlign w:val="center"/>
          </w:tcPr>
          <w:p w14:paraId="2FE7E8E5">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default" w:ascii="宋体" w:hAnsi="宋体" w:eastAsia="宋体"/>
                <w:color w:val="000000"/>
                <w:szCs w:val="21"/>
                <w:lang w:val="en-US" w:eastAsia="zh-CN"/>
              </w:rPr>
            </w:pPr>
            <w:r>
              <w:rPr>
                <w:rFonts w:ascii="宋体" w:hAnsi="宋体"/>
                <w:color w:val="000000"/>
                <w:szCs w:val="21"/>
                <w:highlight w:val="none"/>
              </w:rPr>
              <w:t>GB 1858</w:t>
            </w:r>
            <w:r>
              <w:rPr>
                <w:rFonts w:hint="eastAsia" w:ascii="宋体" w:hAnsi="宋体"/>
                <w:color w:val="000000"/>
                <w:szCs w:val="21"/>
                <w:highlight w:val="none"/>
              </w:rPr>
              <w:t>4-20</w:t>
            </w:r>
            <w:r>
              <w:rPr>
                <w:rFonts w:hint="eastAsia" w:ascii="宋体" w:hAnsi="宋体"/>
                <w:color w:val="000000"/>
                <w:szCs w:val="21"/>
                <w:highlight w:val="none"/>
                <w:lang w:val="en-US" w:eastAsia="zh-CN"/>
              </w:rPr>
              <w:t>24</w:t>
            </w:r>
          </w:p>
        </w:tc>
      </w:tr>
      <w:tr w14:paraId="1D7C2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10" w:type="dxa"/>
            <w:gridSpan w:val="3"/>
            <w:noWrap w:val="0"/>
            <w:vAlign w:val="center"/>
          </w:tcPr>
          <w:p w14:paraId="6A1D7A8C">
            <w:pPr>
              <w:keepNext w:val="0"/>
              <w:keepLines w:val="0"/>
              <w:pageBreakBefore w:val="0"/>
              <w:widowControl w:val="0"/>
              <w:kinsoku/>
              <w:wordWrap/>
              <w:overflowPunct/>
              <w:topLinePunct w:val="0"/>
              <w:autoSpaceDE/>
              <w:autoSpaceDN/>
              <w:bidi w:val="0"/>
              <w:adjustRightInd/>
              <w:snapToGrid w:val="0"/>
              <w:spacing w:line="440" w:lineRule="exact"/>
              <w:textAlignment w:val="auto"/>
              <w:rPr>
                <w:rFonts w:hint="default" w:asciiTheme="minorEastAsia" w:hAnsiTheme="minorEastAsia" w:eastAsiaTheme="minorEastAsia" w:cstheme="minorEastAsia"/>
                <w:color w:val="000000"/>
                <w:szCs w:val="21"/>
                <w:lang w:val="en-US"/>
              </w:rPr>
            </w:pPr>
            <w:r>
              <w:rPr>
                <w:rFonts w:hint="eastAsia" w:asciiTheme="minorEastAsia" w:hAnsiTheme="minorEastAsia" w:eastAsiaTheme="minorEastAsia" w:cstheme="minorEastAsia"/>
                <w:color w:val="000000"/>
                <w:szCs w:val="21"/>
                <w:lang w:val="en-US" w:eastAsia="zh-CN"/>
              </w:rPr>
              <w:t>注：1.序号2油漆、油蜡饰面木质门不适用</w:t>
            </w:r>
          </w:p>
          <w:p w14:paraId="221AF767">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default" w:asciiTheme="minorEastAsia" w:hAnsiTheme="minorEastAsia" w:eastAsiaTheme="minorEastAsia" w:cstheme="minorEastAsia"/>
                <w:color w:val="000000"/>
                <w:szCs w:val="21"/>
                <w:lang w:val="en-US"/>
              </w:rPr>
            </w:pPr>
            <w:r>
              <w:rPr>
                <w:rFonts w:hint="eastAsia" w:asciiTheme="minorEastAsia" w:hAnsiTheme="minorEastAsia" w:eastAsiaTheme="minorEastAsia" w:cstheme="minorEastAsia"/>
                <w:color w:val="000000"/>
                <w:szCs w:val="21"/>
                <w:lang w:val="en-US" w:eastAsia="zh-CN"/>
              </w:rPr>
              <w:t>2.序号4和序号5木蜡油、开放漆等涂饰及非油漆涂饰木质门不适用</w:t>
            </w:r>
          </w:p>
          <w:p w14:paraId="3EFF5A2B">
            <w:pPr>
              <w:keepNext w:val="0"/>
              <w:keepLines w:val="0"/>
              <w:pageBreakBefore w:val="0"/>
              <w:widowControl w:val="0"/>
              <w:kinsoku/>
              <w:wordWrap/>
              <w:overflowPunct/>
              <w:topLinePunct w:val="0"/>
              <w:autoSpaceDE/>
              <w:autoSpaceDN/>
              <w:bidi w:val="0"/>
              <w:adjustRightInd/>
              <w:snapToGrid w:val="0"/>
              <w:spacing w:line="440" w:lineRule="exact"/>
              <w:textAlignment w:val="auto"/>
              <w:rPr>
                <w:rFonts w:hint="default" w:ascii="宋体" w:hAnsi="宋体"/>
                <w:color w:val="000000"/>
                <w:szCs w:val="21"/>
                <w:lang w:val="en-US" w:eastAsia="zh-CN"/>
              </w:rPr>
            </w:pPr>
            <w:r>
              <w:rPr>
                <w:rFonts w:hint="eastAsia" w:asciiTheme="minorEastAsia" w:hAnsiTheme="minorEastAsia" w:eastAsiaTheme="minorEastAsia" w:cstheme="minorEastAsia"/>
                <w:color w:val="000000"/>
                <w:szCs w:val="21"/>
                <w:lang w:val="en-US" w:eastAsia="zh-CN"/>
              </w:rPr>
              <w:t xml:space="preserve">    3.序号6锯材实木门不适用</w:t>
            </w:r>
          </w:p>
        </w:tc>
      </w:tr>
    </w:tbl>
    <w:p w14:paraId="535046E9">
      <w:pPr>
        <w:snapToGrid w:val="0"/>
        <w:spacing w:line="440" w:lineRule="exact"/>
        <w:jc w:val="center"/>
        <w:rPr>
          <w:rFonts w:hint="eastAsia" w:ascii="宋体" w:hAnsi="宋体"/>
          <w:color w:val="000000"/>
          <w:szCs w:val="21"/>
        </w:rPr>
      </w:pPr>
      <w:r>
        <w:rPr>
          <w:rFonts w:hint="eastAsia" w:ascii="宋体" w:hAnsi="宋体"/>
          <w:color w:val="000000"/>
          <w:szCs w:val="21"/>
        </w:rPr>
        <w:t>表</w:t>
      </w:r>
      <w:r>
        <w:rPr>
          <w:rFonts w:hint="eastAsia" w:ascii="宋体" w:hAnsi="宋体"/>
          <w:color w:val="000000"/>
          <w:szCs w:val="21"/>
          <w:lang w:val="en-US" w:eastAsia="zh-CN"/>
        </w:rPr>
        <w:t>2</w:t>
      </w:r>
      <w:r>
        <w:rPr>
          <w:rFonts w:hint="eastAsia" w:ascii="宋体" w:hAnsi="宋体"/>
          <w:color w:val="000000"/>
          <w:szCs w:val="21"/>
        </w:rPr>
        <w:t xml:space="preserve"> 室内木质门LY/T 1923-2020</w:t>
      </w:r>
    </w:p>
    <w:p w14:paraId="31ED2E49">
      <w:pPr>
        <w:snapToGrid w:val="0"/>
        <w:spacing w:line="440" w:lineRule="exact"/>
        <w:jc w:val="center"/>
        <w:rPr>
          <w:rFonts w:ascii="黑体" w:hAnsi="宋体"/>
          <w:color w:val="000000"/>
          <w:szCs w:val="21"/>
          <w:highlight w:val="none"/>
        </w:rPr>
      </w:pPr>
      <w:r>
        <w:rPr>
          <w:rFonts w:hint="eastAsia" w:ascii="宋体" w:hAnsi="宋体"/>
          <w:szCs w:val="21"/>
          <w:highlight w:val="none"/>
          <w:lang w:val="en-US" w:eastAsia="zh-CN"/>
        </w:rPr>
        <w:t>(2026年6月1日之后）</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8"/>
        <w:gridCol w:w="3850"/>
        <w:gridCol w:w="3932"/>
      </w:tblGrid>
      <w:tr w14:paraId="6335F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128" w:type="dxa"/>
            <w:noWrap w:val="0"/>
            <w:vAlign w:val="top"/>
          </w:tcPr>
          <w:p w14:paraId="17537F57">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eastAsia" w:ascii="宋体" w:hAnsi="宋体"/>
                <w:color w:val="000000"/>
                <w:szCs w:val="21"/>
              </w:rPr>
            </w:pPr>
            <w:r>
              <w:rPr>
                <w:rFonts w:hint="eastAsia" w:ascii="宋体" w:hAnsi="宋体"/>
                <w:color w:val="000000"/>
                <w:szCs w:val="21"/>
              </w:rPr>
              <w:t>序号</w:t>
            </w:r>
          </w:p>
        </w:tc>
        <w:tc>
          <w:tcPr>
            <w:tcW w:w="3850" w:type="dxa"/>
            <w:noWrap w:val="0"/>
            <w:vAlign w:val="top"/>
          </w:tcPr>
          <w:p w14:paraId="48B0FA25">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eastAsia" w:ascii="宋体" w:hAnsi="宋体"/>
                <w:color w:val="000000"/>
                <w:szCs w:val="21"/>
              </w:rPr>
            </w:pPr>
            <w:r>
              <w:rPr>
                <w:rFonts w:hint="eastAsia" w:ascii="宋体" w:hAnsi="宋体"/>
                <w:color w:val="000000"/>
                <w:szCs w:val="21"/>
              </w:rPr>
              <w:t>检验项目</w:t>
            </w:r>
          </w:p>
        </w:tc>
        <w:tc>
          <w:tcPr>
            <w:tcW w:w="3932" w:type="dxa"/>
            <w:noWrap w:val="0"/>
            <w:vAlign w:val="top"/>
          </w:tcPr>
          <w:p w14:paraId="337202BB">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eastAsia" w:ascii="宋体" w:hAnsi="宋体"/>
                <w:color w:val="000000"/>
                <w:szCs w:val="21"/>
              </w:rPr>
            </w:pPr>
            <w:r>
              <w:rPr>
                <w:rFonts w:hint="eastAsia" w:ascii="宋体" w:hAnsi="宋体"/>
                <w:color w:val="000000"/>
                <w:szCs w:val="21"/>
              </w:rPr>
              <w:t>检验方法</w:t>
            </w:r>
          </w:p>
        </w:tc>
      </w:tr>
      <w:tr w14:paraId="206F6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1128" w:type="dxa"/>
            <w:noWrap w:val="0"/>
            <w:vAlign w:val="center"/>
          </w:tcPr>
          <w:p w14:paraId="3EE9DC55">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宋体" w:hAnsi="宋体"/>
                <w:color w:val="000000"/>
                <w:szCs w:val="21"/>
              </w:rPr>
            </w:pPr>
            <w:r>
              <w:rPr>
                <w:rFonts w:hint="eastAsia" w:ascii="宋体" w:hAnsi="宋体"/>
                <w:color w:val="000000"/>
                <w:szCs w:val="21"/>
              </w:rPr>
              <w:t>1</w:t>
            </w:r>
          </w:p>
        </w:tc>
        <w:tc>
          <w:tcPr>
            <w:tcW w:w="3850" w:type="dxa"/>
            <w:noWrap w:val="0"/>
            <w:vAlign w:val="center"/>
          </w:tcPr>
          <w:p w14:paraId="2198A1ED">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宋体" w:hAnsi="宋体"/>
                <w:color w:val="000000"/>
                <w:szCs w:val="21"/>
              </w:rPr>
            </w:pPr>
            <w:r>
              <w:rPr>
                <w:rFonts w:hint="eastAsia" w:ascii="宋体" w:hAnsi="宋体"/>
                <w:color w:val="000000"/>
                <w:szCs w:val="21"/>
              </w:rPr>
              <w:t>含水率</w:t>
            </w:r>
          </w:p>
        </w:tc>
        <w:tc>
          <w:tcPr>
            <w:tcW w:w="3932" w:type="dxa"/>
            <w:noWrap w:val="0"/>
            <w:vAlign w:val="center"/>
          </w:tcPr>
          <w:p w14:paraId="05F5D1D6">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宋体" w:hAnsi="宋体"/>
                <w:color w:val="000000"/>
                <w:szCs w:val="21"/>
              </w:rPr>
            </w:pPr>
            <w:r>
              <w:rPr>
                <w:rFonts w:hint="eastAsia" w:ascii="宋体" w:hAnsi="宋体"/>
                <w:color w:val="000000"/>
                <w:szCs w:val="21"/>
              </w:rPr>
              <w:t>GB/T 17657-2013</w:t>
            </w:r>
          </w:p>
        </w:tc>
      </w:tr>
      <w:tr w14:paraId="7AFF1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1128" w:type="dxa"/>
            <w:noWrap w:val="0"/>
            <w:vAlign w:val="center"/>
          </w:tcPr>
          <w:p w14:paraId="22F80ECB">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宋体" w:hAnsi="宋体" w:eastAsia="宋体"/>
                <w:color w:val="000000"/>
                <w:szCs w:val="21"/>
                <w:lang w:val="en-US" w:eastAsia="zh-CN"/>
              </w:rPr>
            </w:pPr>
            <w:r>
              <w:rPr>
                <w:rFonts w:hint="eastAsia" w:ascii="宋体" w:hAnsi="宋体"/>
                <w:color w:val="000000"/>
                <w:szCs w:val="21"/>
                <w:lang w:val="en-US" w:eastAsia="zh-CN"/>
              </w:rPr>
              <w:t>2</w:t>
            </w:r>
          </w:p>
        </w:tc>
        <w:tc>
          <w:tcPr>
            <w:tcW w:w="3850" w:type="dxa"/>
            <w:noWrap w:val="0"/>
            <w:vAlign w:val="center"/>
          </w:tcPr>
          <w:p w14:paraId="6464CE2E">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宋体" w:hAnsi="宋体"/>
                <w:color w:val="000000"/>
                <w:szCs w:val="21"/>
              </w:rPr>
            </w:pPr>
            <w:r>
              <w:rPr>
                <w:rFonts w:hint="eastAsia" w:ascii="宋体" w:hAnsi="宋体"/>
                <w:color w:val="000000"/>
                <w:szCs w:val="21"/>
              </w:rPr>
              <w:t>表面胶合强度</w:t>
            </w:r>
          </w:p>
        </w:tc>
        <w:tc>
          <w:tcPr>
            <w:tcW w:w="3932" w:type="dxa"/>
            <w:noWrap w:val="0"/>
            <w:vAlign w:val="center"/>
          </w:tcPr>
          <w:p w14:paraId="5B1CF19E">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宋体" w:hAnsi="宋体"/>
                <w:color w:val="000000"/>
                <w:szCs w:val="21"/>
              </w:rPr>
            </w:pPr>
            <w:r>
              <w:rPr>
                <w:rFonts w:hint="eastAsia" w:ascii="宋体" w:hAnsi="宋体"/>
                <w:color w:val="000000"/>
                <w:szCs w:val="21"/>
              </w:rPr>
              <w:t>GB/T 17657-2013</w:t>
            </w:r>
          </w:p>
        </w:tc>
      </w:tr>
      <w:tr w14:paraId="2703F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1128" w:type="dxa"/>
            <w:noWrap w:val="0"/>
            <w:vAlign w:val="center"/>
          </w:tcPr>
          <w:p w14:paraId="7778C040">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default" w:ascii="宋体" w:hAnsi="宋体"/>
                <w:color w:val="000000"/>
                <w:szCs w:val="21"/>
                <w:lang w:val="en-US" w:eastAsia="zh-CN"/>
              </w:rPr>
            </w:pPr>
            <w:r>
              <w:rPr>
                <w:rFonts w:hint="eastAsia" w:ascii="宋体" w:hAnsi="宋体"/>
                <w:color w:val="000000"/>
                <w:szCs w:val="21"/>
                <w:lang w:val="en-US" w:eastAsia="zh-CN"/>
              </w:rPr>
              <w:t>3</w:t>
            </w:r>
          </w:p>
        </w:tc>
        <w:tc>
          <w:tcPr>
            <w:tcW w:w="3850" w:type="dxa"/>
            <w:noWrap w:val="0"/>
            <w:vAlign w:val="center"/>
          </w:tcPr>
          <w:p w14:paraId="61DCAEE8">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宋体" w:hAnsi="宋体"/>
                <w:color w:val="000000"/>
                <w:szCs w:val="21"/>
              </w:rPr>
            </w:pPr>
            <w:r>
              <w:rPr>
                <w:rFonts w:hint="eastAsia" w:ascii="宋体" w:hAnsi="宋体"/>
                <w:color w:val="000000"/>
                <w:szCs w:val="21"/>
              </w:rPr>
              <w:t>表面抗冲击性能</w:t>
            </w:r>
          </w:p>
        </w:tc>
        <w:tc>
          <w:tcPr>
            <w:tcW w:w="3932" w:type="dxa"/>
            <w:noWrap w:val="0"/>
            <w:vAlign w:val="center"/>
          </w:tcPr>
          <w:p w14:paraId="2F948412">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宋体" w:hAnsi="宋体"/>
                <w:color w:val="000000"/>
                <w:szCs w:val="21"/>
              </w:rPr>
            </w:pPr>
            <w:r>
              <w:rPr>
                <w:rFonts w:hint="eastAsia" w:ascii="宋体" w:hAnsi="宋体"/>
                <w:color w:val="000000"/>
                <w:szCs w:val="21"/>
              </w:rPr>
              <w:t>GB/T 17657-2013</w:t>
            </w:r>
          </w:p>
        </w:tc>
      </w:tr>
      <w:tr w14:paraId="24810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1128" w:type="dxa"/>
            <w:noWrap w:val="0"/>
            <w:vAlign w:val="center"/>
          </w:tcPr>
          <w:p w14:paraId="7A97EBEF">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default" w:ascii="宋体" w:hAnsi="宋体"/>
                <w:color w:val="000000"/>
                <w:szCs w:val="21"/>
                <w:lang w:val="en-US" w:eastAsia="zh-CN"/>
              </w:rPr>
            </w:pPr>
            <w:r>
              <w:rPr>
                <w:rFonts w:hint="eastAsia" w:ascii="宋体" w:hAnsi="宋体"/>
                <w:color w:val="000000"/>
                <w:szCs w:val="21"/>
                <w:lang w:val="en-US" w:eastAsia="zh-CN"/>
              </w:rPr>
              <w:t>4</w:t>
            </w:r>
          </w:p>
        </w:tc>
        <w:tc>
          <w:tcPr>
            <w:tcW w:w="3850" w:type="dxa"/>
            <w:noWrap w:val="0"/>
            <w:vAlign w:val="center"/>
          </w:tcPr>
          <w:p w14:paraId="579937F7">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宋体" w:hAnsi="宋体"/>
                <w:color w:val="000000"/>
                <w:szCs w:val="21"/>
              </w:rPr>
            </w:pPr>
            <w:r>
              <w:rPr>
                <w:rFonts w:hint="eastAsia" w:ascii="宋体" w:hAnsi="宋体"/>
                <w:color w:val="000000"/>
                <w:szCs w:val="21"/>
              </w:rPr>
              <w:t xml:space="preserve"> 漆膜附着力</w:t>
            </w:r>
          </w:p>
        </w:tc>
        <w:tc>
          <w:tcPr>
            <w:tcW w:w="3932" w:type="dxa"/>
            <w:noWrap w:val="0"/>
            <w:vAlign w:val="center"/>
          </w:tcPr>
          <w:p w14:paraId="1CB5892D">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宋体" w:hAnsi="宋体"/>
                <w:color w:val="000000"/>
                <w:szCs w:val="21"/>
              </w:rPr>
            </w:pPr>
            <w:r>
              <w:rPr>
                <w:rFonts w:hint="eastAsia" w:ascii="宋体" w:hAnsi="宋体"/>
                <w:color w:val="000000"/>
                <w:szCs w:val="21"/>
              </w:rPr>
              <w:t>GB/T 17657-2013</w:t>
            </w:r>
          </w:p>
        </w:tc>
      </w:tr>
      <w:tr w14:paraId="7B63D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1128" w:type="dxa"/>
            <w:noWrap w:val="0"/>
            <w:vAlign w:val="center"/>
          </w:tcPr>
          <w:p w14:paraId="555BBFF5">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default" w:ascii="宋体" w:hAnsi="宋体"/>
                <w:color w:val="000000"/>
                <w:szCs w:val="21"/>
                <w:lang w:val="en-US" w:eastAsia="zh-CN"/>
              </w:rPr>
            </w:pPr>
            <w:r>
              <w:rPr>
                <w:rFonts w:hint="eastAsia" w:ascii="宋体" w:hAnsi="宋体"/>
                <w:color w:val="000000"/>
                <w:szCs w:val="21"/>
                <w:lang w:val="en-US" w:eastAsia="zh-CN"/>
              </w:rPr>
              <w:t>5</w:t>
            </w:r>
          </w:p>
        </w:tc>
        <w:tc>
          <w:tcPr>
            <w:tcW w:w="3850" w:type="dxa"/>
            <w:noWrap w:val="0"/>
            <w:vAlign w:val="center"/>
          </w:tcPr>
          <w:p w14:paraId="43449ED8">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宋体" w:hAnsi="宋体"/>
                <w:color w:val="000000"/>
                <w:szCs w:val="21"/>
              </w:rPr>
            </w:pPr>
            <w:r>
              <w:rPr>
                <w:rFonts w:hint="eastAsia" w:ascii="宋体" w:hAnsi="宋体"/>
                <w:color w:val="000000"/>
                <w:szCs w:val="21"/>
              </w:rPr>
              <w:t>漆膜硬度</w:t>
            </w:r>
          </w:p>
        </w:tc>
        <w:tc>
          <w:tcPr>
            <w:tcW w:w="3932" w:type="dxa"/>
            <w:noWrap w:val="0"/>
            <w:vAlign w:val="center"/>
          </w:tcPr>
          <w:p w14:paraId="16039A6A">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宋体" w:hAnsi="宋体"/>
                <w:color w:val="000000"/>
                <w:szCs w:val="21"/>
              </w:rPr>
            </w:pPr>
            <w:r>
              <w:rPr>
                <w:rFonts w:hint="eastAsia" w:ascii="宋体" w:hAnsi="宋体"/>
                <w:color w:val="000000"/>
                <w:szCs w:val="21"/>
              </w:rPr>
              <w:t>GB/T 17657-2013</w:t>
            </w:r>
          </w:p>
        </w:tc>
      </w:tr>
      <w:tr w14:paraId="628F0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1128" w:type="dxa"/>
            <w:noWrap w:val="0"/>
            <w:vAlign w:val="center"/>
          </w:tcPr>
          <w:p w14:paraId="14E2CDCA">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default" w:ascii="宋体" w:hAnsi="宋体"/>
                <w:color w:val="000000"/>
                <w:szCs w:val="21"/>
                <w:lang w:val="en-US" w:eastAsia="zh-CN"/>
              </w:rPr>
            </w:pPr>
            <w:r>
              <w:rPr>
                <w:rFonts w:hint="eastAsia" w:ascii="宋体" w:hAnsi="宋体"/>
                <w:color w:val="000000"/>
                <w:szCs w:val="21"/>
                <w:lang w:val="en-US" w:eastAsia="zh-CN"/>
              </w:rPr>
              <w:t>6</w:t>
            </w:r>
          </w:p>
        </w:tc>
        <w:tc>
          <w:tcPr>
            <w:tcW w:w="3850" w:type="dxa"/>
            <w:noWrap w:val="0"/>
            <w:vAlign w:val="center"/>
          </w:tcPr>
          <w:p w14:paraId="5CE2EA5C">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宋体" w:hAnsi="宋体"/>
                <w:color w:val="000000"/>
                <w:szCs w:val="21"/>
              </w:rPr>
            </w:pPr>
            <w:r>
              <w:rPr>
                <w:rFonts w:hint="eastAsia" w:ascii="宋体" w:hAnsi="宋体"/>
                <w:color w:val="000000"/>
                <w:szCs w:val="21"/>
              </w:rPr>
              <w:t>浸渍剥离性能</w:t>
            </w:r>
          </w:p>
        </w:tc>
        <w:tc>
          <w:tcPr>
            <w:tcW w:w="3932" w:type="dxa"/>
            <w:noWrap w:val="0"/>
            <w:vAlign w:val="center"/>
          </w:tcPr>
          <w:p w14:paraId="015F2758">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宋体" w:hAnsi="宋体"/>
                <w:color w:val="000000"/>
                <w:szCs w:val="21"/>
              </w:rPr>
            </w:pPr>
            <w:r>
              <w:rPr>
                <w:rFonts w:hint="eastAsia" w:ascii="宋体" w:hAnsi="宋体"/>
                <w:color w:val="000000"/>
                <w:szCs w:val="21"/>
              </w:rPr>
              <w:t>GB/T 17657-2013</w:t>
            </w:r>
          </w:p>
        </w:tc>
      </w:tr>
      <w:tr w14:paraId="34D3F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8" w:type="dxa"/>
            <w:noWrap w:val="0"/>
            <w:vAlign w:val="center"/>
          </w:tcPr>
          <w:p w14:paraId="74D3469B">
            <w:pPr>
              <w:keepNext w:val="0"/>
              <w:keepLines w:val="0"/>
              <w:pageBreakBefore w:val="0"/>
              <w:widowControl w:val="0"/>
              <w:kinsoku/>
              <w:wordWrap/>
              <w:overflowPunct/>
              <w:topLinePunct w:val="0"/>
              <w:autoSpaceDE/>
              <w:autoSpaceDN/>
              <w:bidi w:val="0"/>
              <w:adjustRightInd/>
              <w:spacing w:line="440" w:lineRule="exact"/>
              <w:jc w:val="center"/>
              <w:textAlignment w:val="auto"/>
              <w:rPr>
                <w:rFonts w:ascii="宋体" w:hAnsi="宋体"/>
                <w:color w:val="000000"/>
                <w:szCs w:val="21"/>
                <w:highlight w:val="none"/>
              </w:rPr>
            </w:pPr>
            <w:r>
              <w:rPr>
                <w:rFonts w:hint="eastAsia" w:ascii="宋体" w:hAnsi="宋体"/>
                <w:color w:val="000000"/>
                <w:szCs w:val="21"/>
                <w:highlight w:val="none"/>
              </w:rPr>
              <w:t>7</w:t>
            </w:r>
          </w:p>
        </w:tc>
        <w:tc>
          <w:tcPr>
            <w:tcW w:w="3850" w:type="dxa"/>
            <w:noWrap w:val="0"/>
            <w:vAlign w:val="center"/>
          </w:tcPr>
          <w:p w14:paraId="281FBC54">
            <w:pPr>
              <w:keepNext w:val="0"/>
              <w:keepLines w:val="0"/>
              <w:pageBreakBefore w:val="0"/>
              <w:widowControl w:val="0"/>
              <w:kinsoku/>
              <w:wordWrap/>
              <w:overflowPunct/>
              <w:topLinePunct w:val="0"/>
              <w:autoSpaceDE/>
              <w:autoSpaceDN/>
              <w:bidi w:val="0"/>
              <w:adjustRightInd/>
              <w:spacing w:line="440" w:lineRule="exact"/>
              <w:jc w:val="center"/>
              <w:textAlignment w:val="auto"/>
              <w:rPr>
                <w:rFonts w:ascii="宋体" w:hAnsi="宋体"/>
                <w:color w:val="000000"/>
                <w:szCs w:val="21"/>
                <w:highlight w:val="none"/>
              </w:rPr>
            </w:pPr>
            <w:r>
              <w:rPr>
                <w:color w:val="000000"/>
                <w:szCs w:val="21"/>
                <w:highlight w:val="none"/>
              </w:rPr>
              <w:t>甲醛释放量</w:t>
            </w:r>
          </w:p>
        </w:tc>
        <w:tc>
          <w:tcPr>
            <w:tcW w:w="3932" w:type="dxa"/>
            <w:noWrap w:val="0"/>
            <w:vAlign w:val="center"/>
          </w:tcPr>
          <w:p w14:paraId="0C3A84F1">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default" w:ascii="宋体" w:hAnsi="宋体" w:eastAsia="宋体"/>
                <w:color w:val="000000"/>
                <w:szCs w:val="21"/>
                <w:highlight w:val="none"/>
                <w:lang w:val="en-US" w:eastAsia="zh-CN"/>
              </w:rPr>
            </w:pPr>
            <w:r>
              <w:rPr>
                <w:rFonts w:ascii="宋体" w:hAnsi="宋体"/>
                <w:color w:val="000000"/>
                <w:szCs w:val="21"/>
                <w:highlight w:val="none"/>
              </w:rPr>
              <w:t>GB 18580-20</w:t>
            </w:r>
            <w:r>
              <w:rPr>
                <w:rFonts w:hint="eastAsia" w:ascii="宋体" w:hAnsi="宋体"/>
                <w:color w:val="000000"/>
                <w:szCs w:val="21"/>
                <w:highlight w:val="none"/>
                <w:lang w:val="en-US" w:eastAsia="zh-CN"/>
              </w:rPr>
              <w:t>25</w:t>
            </w:r>
          </w:p>
        </w:tc>
      </w:tr>
      <w:tr w14:paraId="7CB33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8" w:type="dxa"/>
            <w:noWrap w:val="0"/>
            <w:vAlign w:val="center"/>
          </w:tcPr>
          <w:p w14:paraId="76AF26B4">
            <w:pPr>
              <w:keepNext w:val="0"/>
              <w:keepLines w:val="0"/>
              <w:pageBreakBefore w:val="0"/>
              <w:widowControl w:val="0"/>
              <w:kinsoku/>
              <w:wordWrap/>
              <w:overflowPunct/>
              <w:topLinePunct w:val="0"/>
              <w:autoSpaceDE/>
              <w:autoSpaceDN/>
              <w:bidi w:val="0"/>
              <w:adjustRightInd/>
              <w:spacing w:line="440" w:lineRule="exact"/>
              <w:jc w:val="center"/>
              <w:textAlignment w:val="auto"/>
              <w:rPr>
                <w:rFonts w:ascii="宋体" w:hAnsi="宋体"/>
                <w:color w:val="000000"/>
                <w:szCs w:val="21"/>
                <w:highlight w:val="none"/>
              </w:rPr>
            </w:pPr>
            <w:r>
              <w:rPr>
                <w:rFonts w:hint="eastAsia" w:ascii="宋体" w:hAnsi="宋体"/>
                <w:color w:val="000000"/>
                <w:szCs w:val="21"/>
                <w:highlight w:val="none"/>
              </w:rPr>
              <w:t>8</w:t>
            </w:r>
          </w:p>
        </w:tc>
        <w:tc>
          <w:tcPr>
            <w:tcW w:w="3850" w:type="dxa"/>
            <w:noWrap w:val="0"/>
            <w:vAlign w:val="center"/>
          </w:tcPr>
          <w:p w14:paraId="7D9611AE">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宋体" w:hAnsi="宋体" w:eastAsia="宋体"/>
                <w:color w:val="000000"/>
                <w:szCs w:val="21"/>
                <w:highlight w:val="none"/>
                <w:lang w:eastAsia="zh-CN"/>
              </w:rPr>
            </w:pPr>
            <w:r>
              <w:rPr>
                <w:rFonts w:hint="eastAsia" w:ascii="宋体" w:hAnsi="宋体"/>
                <w:color w:val="000000"/>
                <w:szCs w:val="21"/>
                <w:highlight w:val="none"/>
                <w:lang w:eastAsia="zh-CN"/>
              </w:rPr>
              <w:t>可溶性重金属含量</w:t>
            </w:r>
          </w:p>
        </w:tc>
        <w:tc>
          <w:tcPr>
            <w:tcW w:w="3932" w:type="dxa"/>
            <w:noWrap w:val="0"/>
            <w:vAlign w:val="center"/>
          </w:tcPr>
          <w:p w14:paraId="05C4171C">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default" w:ascii="宋体" w:hAnsi="宋体" w:eastAsia="宋体"/>
                <w:color w:val="000000"/>
                <w:szCs w:val="21"/>
                <w:highlight w:val="none"/>
                <w:lang w:val="en-US" w:eastAsia="zh-CN"/>
              </w:rPr>
            </w:pPr>
            <w:r>
              <w:rPr>
                <w:rFonts w:ascii="宋体" w:hAnsi="宋体"/>
                <w:color w:val="000000"/>
                <w:szCs w:val="21"/>
                <w:highlight w:val="none"/>
              </w:rPr>
              <w:t>GB 1858</w:t>
            </w:r>
            <w:r>
              <w:rPr>
                <w:rFonts w:hint="eastAsia" w:ascii="宋体" w:hAnsi="宋体"/>
                <w:color w:val="000000"/>
                <w:szCs w:val="21"/>
                <w:highlight w:val="none"/>
              </w:rPr>
              <w:t>4-20</w:t>
            </w:r>
            <w:r>
              <w:rPr>
                <w:rFonts w:hint="eastAsia" w:ascii="宋体" w:hAnsi="宋体"/>
                <w:color w:val="000000"/>
                <w:szCs w:val="21"/>
                <w:highlight w:val="none"/>
                <w:lang w:val="en-US" w:eastAsia="zh-CN"/>
              </w:rPr>
              <w:t>24</w:t>
            </w:r>
          </w:p>
        </w:tc>
      </w:tr>
      <w:tr w14:paraId="177F3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10" w:type="dxa"/>
            <w:gridSpan w:val="3"/>
            <w:noWrap w:val="0"/>
            <w:vAlign w:val="center"/>
          </w:tcPr>
          <w:p w14:paraId="127DC7CB">
            <w:pPr>
              <w:keepNext w:val="0"/>
              <w:keepLines w:val="0"/>
              <w:pageBreakBefore w:val="0"/>
              <w:widowControl w:val="0"/>
              <w:kinsoku/>
              <w:wordWrap/>
              <w:overflowPunct/>
              <w:topLinePunct w:val="0"/>
              <w:autoSpaceDE/>
              <w:autoSpaceDN/>
              <w:bidi w:val="0"/>
              <w:adjustRightInd/>
              <w:snapToGrid w:val="0"/>
              <w:spacing w:line="440" w:lineRule="exact"/>
              <w:textAlignment w:val="auto"/>
              <w:rPr>
                <w:rFonts w:hint="default" w:asciiTheme="minorEastAsia" w:hAnsiTheme="minorEastAsia" w:eastAsiaTheme="minorEastAsia" w:cstheme="minorEastAsia"/>
                <w:color w:val="000000"/>
                <w:szCs w:val="21"/>
                <w:highlight w:val="none"/>
                <w:lang w:val="en-US"/>
              </w:rPr>
            </w:pPr>
            <w:r>
              <w:rPr>
                <w:rFonts w:hint="eastAsia" w:asciiTheme="minorEastAsia" w:hAnsiTheme="minorEastAsia" w:eastAsiaTheme="minorEastAsia" w:cstheme="minorEastAsia"/>
                <w:color w:val="000000"/>
                <w:szCs w:val="21"/>
                <w:highlight w:val="none"/>
                <w:lang w:val="en-US" w:eastAsia="zh-CN"/>
              </w:rPr>
              <w:t>注：1.序号2油漆、油蜡饰面木质门不适用</w:t>
            </w:r>
          </w:p>
          <w:p w14:paraId="77598DC0">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default" w:asciiTheme="minorEastAsia" w:hAnsiTheme="minorEastAsia" w:eastAsiaTheme="minorEastAsia" w:cstheme="minorEastAsia"/>
                <w:color w:val="000000"/>
                <w:szCs w:val="21"/>
                <w:highlight w:val="none"/>
                <w:lang w:val="en-US"/>
              </w:rPr>
            </w:pPr>
            <w:r>
              <w:rPr>
                <w:rFonts w:hint="eastAsia" w:asciiTheme="minorEastAsia" w:hAnsiTheme="minorEastAsia" w:eastAsiaTheme="minorEastAsia" w:cstheme="minorEastAsia"/>
                <w:color w:val="000000"/>
                <w:szCs w:val="21"/>
                <w:highlight w:val="none"/>
                <w:lang w:val="en-US" w:eastAsia="zh-CN"/>
              </w:rPr>
              <w:t>2.序号4和序号5木蜡油、开放漆等涂饰及非油漆涂饰木质门不适用</w:t>
            </w:r>
          </w:p>
          <w:p w14:paraId="47DBF151">
            <w:pPr>
              <w:keepNext w:val="0"/>
              <w:keepLines w:val="0"/>
              <w:pageBreakBefore w:val="0"/>
              <w:widowControl w:val="0"/>
              <w:kinsoku/>
              <w:wordWrap/>
              <w:overflowPunct/>
              <w:topLinePunct w:val="0"/>
              <w:autoSpaceDE/>
              <w:autoSpaceDN/>
              <w:bidi w:val="0"/>
              <w:adjustRightInd/>
              <w:snapToGrid w:val="0"/>
              <w:spacing w:line="440" w:lineRule="exact"/>
              <w:ind w:firstLine="420"/>
              <w:textAlignment w:val="auto"/>
              <w:rPr>
                <w:rFonts w:hint="eastAsia" w:asciiTheme="minorEastAsia" w:hAnsiTheme="minorEastAsia" w:eastAsiaTheme="minorEastAsia" w:cstheme="minorEastAsia"/>
                <w:color w:val="000000"/>
                <w:szCs w:val="21"/>
                <w:highlight w:val="none"/>
                <w:lang w:val="en-US" w:eastAsia="zh-CN"/>
              </w:rPr>
            </w:pPr>
            <w:r>
              <w:rPr>
                <w:rFonts w:hint="eastAsia" w:asciiTheme="minorEastAsia" w:hAnsiTheme="minorEastAsia" w:eastAsiaTheme="minorEastAsia" w:cstheme="minorEastAsia"/>
                <w:color w:val="000000"/>
                <w:szCs w:val="21"/>
                <w:highlight w:val="none"/>
                <w:lang w:val="en-US" w:eastAsia="zh-CN"/>
              </w:rPr>
              <w:t>3.序号6锯材实木门不适用</w:t>
            </w:r>
          </w:p>
          <w:p w14:paraId="157B28B6">
            <w:pPr>
              <w:keepNext w:val="0"/>
              <w:keepLines w:val="0"/>
              <w:pageBreakBefore w:val="0"/>
              <w:widowControl w:val="0"/>
              <w:kinsoku/>
              <w:wordWrap/>
              <w:overflowPunct/>
              <w:topLinePunct w:val="0"/>
              <w:autoSpaceDE/>
              <w:autoSpaceDN/>
              <w:bidi w:val="0"/>
              <w:adjustRightInd/>
              <w:snapToGrid w:val="0"/>
              <w:spacing w:line="440" w:lineRule="exact"/>
              <w:ind w:firstLine="420"/>
              <w:textAlignment w:val="auto"/>
              <w:rPr>
                <w:rFonts w:hint="default" w:asciiTheme="minorEastAsia" w:hAnsiTheme="minorEastAsia" w:eastAsiaTheme="minorEastAsia" w:cstheme="minorEastAsia"/>
                <w:color w:val="000000"/>
                <w:szCs w:val="21"/>
                <w:highlight w:val="none"/>
                <w:lang w:val="en-US" w:eastAsia="zh-CN"/>
              </w:rPr>
            </w:pPr>
            <w:r>
              <w:rPr>
                <w:rFonts w:hint="eastAsia" w:asciiTheme="minorEastAsia" w:hAnsiTheme="minorEastAsia" w:eastAsiaTheme="minorEastAsia" w:cstheme="minorEastAsia"/>
                <w:color w:val="000000"/>
                <w:szCs w:val="21"/>
                <w:highlight w:val="none"/>
                <w:lang w:val="en-US" w:eastAsia="zh-CN"/>
              </w:rPr>
              <w:t>4.序号8项目仅检测铅、镉、铬、汞</w:t>
            </w:r>
          </w:p>
        </w:tc>
      </w:tr>
    </w:tbl>
    <w:p w14:paraId="6A60C6CD">
      <w:pPr>
        <w:snapToGrid w:val="0"/>
        <w:spacing w:line="440" w:lineRule="exact"/>
        <w:jc w:val="center"/>
        <w:rPr>
          <w:rFonts w:hint="eastAsia" w:ascii="宋体" w:hAnsi="宋体"/>
          <w:szCs w:val="21"/>
        </w:rPr>
      </w:pPr>
    </w:p>
    <w:p w14:paraId="6317E196">
      <w:pPr>
        <w:snapToGrid w:val="0"/>
        <w:spacing w:line="440" w:lineRule="exact"/>
        <w:jc w:val="center"/>
        <w:rPr>
          <w:rFonts w:hint="eastAsia" w:ascii="宋体" w:hAnsi="宋体"/>
          <w:szCs w:val="21"/>
          <w:highlight w:val="none"/>
        </w:rPr>
      </w:pPr>
      <w:r>
        <w:rPr>
          <w:rFonts w:hint="eastAsia" w:ascii="宋体" w:hAnsi="宋体"/>
          <w:szCs w:val="21"/>
          <w:highlight w:val="none"/>
        </w:rPr>
        <w:t>表</w:t>
      </w:r>
      <w:r>
        <w:rPr>
          <w:rFonts w:hint="eastAsia" w:ascii="宋体" w:hAnsi="宋体"/>
          <w:szCs w:val="21"/>
          <w:highlight w:val="none"/>
          <w:lang w:val="en-US" w:eastAsia="zh-CN"/>
        </w:rPr>
        <w:t>3</w:t>
      </w:r>
      <w:r>
        <w:rPr>
          <w:rFonts w:hint="eastAsia" w:ascii="宋体" w:hAnsi="宋体"/>
          <w:szCs w:val="21"/>
          <w:highlight w:val="none"/>
        </w:rPr>
        <w:t xml:space="preserve"> 木质门WB/T 1024-2006</w:t>
      </w:r>
    </w:p>
    <w:p w14:paraId="6F44B504">
      <w:pPr>
        <w:snapToGrid w:val="0"/>
        <w:spacing w:line="440" w:lineRule="exact"/>
        <w:jc w:val="center"/>
        <w:rPr>
          <w:rFonts w:hint="default" w:ascii="宋体" w:hAnsi="宋体" w:eastAsia="宋体"/>
          <w:szCs w:val="21"/>
          <w:highlight w:val="none"/>
          <w:lang w:val="en-US" w:eastAsia="zh-CN"/>
        </w:rPr>
      </w:pPr>
      <w:r>
        <w:rPr>
          <w:rFonts w:hint="eastAsia" w:ascii="宋体" w:hAnsi="宋体"/>
          <w:szCs w:val="21"/>
          <w:highlight w:val="none"/>
          <w:lang w:val="en-US" w:eastAsia="zh-CN"/>
        </w:rPr>
        <w:t>(2026年6月1日之前）</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1"/>
        <w:gridCol w:w="3833"/>
        <w:gridCol w:w="3928"/>
      </w:tblGrid>
      <w:tr w14:paraId="406D6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41" w:type="dxa"/>
            <w:noWrap w:val="0"/>
            <w:vAlign w:val="top"/>
          </w:tcPr>
          <w:p w14:paraId="5C2ADD39">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eastAsia" w:ascii="宋体" w:hAnsi="宋体"/>
                <w:szCs w:val="21"/>
                <w:highlight w:val="none"/>
              </w:rPr>
            </w:pPr>
            <w:r>
              <w:rPr>
                <w:rFonts w:hint="eastAsia" w:ascii="宋体" w:hAnsi="宋体"/>
                <w:szCs w:val="21"/>
                <w:highlight w:val="none"/>
              </w:rPr>
              <w:t>序号</w:t>
            </w:r>
          </w:p>
        </w:tc>
        <w:tc>
          <w:tcPr>
            <w:tcW w:w="3833" w:type="dxa"/>
            <w:noWrap w:val="0"/>
            <w:vAlign w:val="top"/>
          </w:tcPr>
          <w:p w14:paraId="3739647B">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eastAsia" w:ascii="宋体" w:hAnsi="宋体"/>
                <w:szCs w:val="21"/>
                <w:highlight w:val="none"/>
              </w:rPr>
            </w:pPr>
            <w:r>
              <w:rPr>
                <w:rFonts w:hint="eastAsia" w:ascii="宋体" w:hAnsi="宋体"/>
                <w:szCs w:val="21"/>
                <w:highlight w:val="none"/>
              </w:rPr>
              <w:t>检验项目</w:t>
            </w:r>
          </w:p>
        </w:tc>
        <w:tc>
          <w:tcPr>
            <w:tcW w:w="3928" w:type="dxa"/>
            <w:noWrap w:val="0"/>
            <w:vAlign w:val="top"/>
          </w:tcPr>
          <w:p w14:paraId="69E86EAF">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eastAsia" w:ascii="宋体" w:hAnsi="宋体"/>
                <w:szCs w:val="21"/>
                <w:highlight w:val="none"/>
              </w:rPr>
            </w:pPr>
            <w:r>
              <w:rPr>
                <w:rFonts w:hint="eastAsia" w:ascii="宋体" w:hAnsi="宋体"/>
                <w:color w:val="000000"/>
                <w:szCs w:val="21"/>
                <w:highlight w:val="none"/>
              </w:rPr>
              <w:t>检验方法</w:t>
            </w:r>
          </w:p>
        </w:tc>
      </w:tr>
      <w:tr w14:paraId="230FC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1141" w:type="dxa"/>
            <w:noWrap w:val="0"/>
            <w:vAlign w:val="center"/>
          </w:tcPr>
          <w:p w14:paraId="491357AC">
            <w:pPr>
              <w:keepNext w:val="0"/>
              <w:keepLines w:val="0"/>
              <w:pageBreakBefore w:val="0"/>
              <w:widowControl w:val="0"/>
              <w:kinsoku/>
              <w:wordWrap/>
              <w:overflowPunct/>
              <w:topLinePunct w:val="0"/>
              <w:autoSpaceDE/>
              <w:autoSpaceDN/>
              <w:bidi w:val="0"/>
              <w:adjustRightInd/>
              <w:spacing w:line="440" w:lineRule="exact"/>
              <w:jc w:val="center"/>
              <w:textAlignment w:val="auto"/>
              <w:rPr>
                <w:rFonts w:ascii="宋体" w:hAnsi="宋体"/>
                <w:szCs w:val="21"/>
                <w:highlight w:val="none"/>
              </w:rPr>
            </w:pPr>
            <w:r>
              <w:rPr>
                <w:rFonts w:hint="eastAsia" w:ascii="宋体" w:hAnsi="宋体"/>
                <w:szCs w:val="21"/>
                <w:highlight w:val="none"/>
              </w:rPr>
              <w:t>1</w:t>
            </w:r>
          </w:p>
        </w:tc>
        <w:tc>
          <w:tcPr>
            <w:tcW w:w="3833" w:type="dxa"/>
            <w:noWrap w:val="0"/>
            <w:vAlign w:val="center"/>
          </w:tcPr>
          <w:p w14:paraId="3B818027">
            <w:pPr>
              <w:keepNext w:val="0"/>
              <w:keepLines w:val="0"/>
              <w:pageBreakBefore w:val="0"/>
              <w:widowControl w:val="0"/>
              <w:kinsoku/>
              <w:wordWrap/>
              <w:overflowPunct/>
              <w:topLinePunct w:val="0"/>
              <w:autoSpaceDE/>
              <w:autoSpaceDN/>
              <w:bidi w:val="0"/>
              <w:adjustRightInd/>
              <w:spacing w:line="440" w:lineRule="exact"/>
              <w:jc w:val="center"/>
              <w:textAlignment w:val="auto"/>
              <w:rPr>
                <w:rFonts w:ascii="宋体" w:hAnsi="宋体"/>
                <w:szCs w:val="21"/>
                <w:highlight w:val="none"/>
              </w:rPr>
            </w:pPr>
            <w:r>
              <w:rPr>
                <w:rFonts w:hint="eastAsia" w:ascii="宋体" w:hAnsi="宋体"/>
                <w:szCs w:val="21"/>
                <w:highlight w:val="none"/>
              </w:rPr>
              <w:t>含水率</w:t>
            </w:r>
          </w:p>
        </w:tc>
        <w:tc>
          <w:tcPr>
            <w:tcW w:w="3928" w:type="dxa"/>
            <w:noWrap w:val="0"/>
            <w:vAlign w:val="center"/>
          </w:tcPr>
          <w:p w14:paraId="026C8FFC">
            <w:pPr>
              <w:keepNext w:val="0"/>
              <w:keepLines w:val="0"/>
              <w:pageBreakBefore w:val="0"/>
              <w:widowControl w:val="0"/>
              <w:kinsoku/>
              <w:wordWrap/>
              <w:overflowPunct/>
              <w:topLinePunct w:val="0"/>
              <w:autoSpaceDE/>
              <w:autoSpaceDN/>
              <w:bidi w:val="0"/>
              <w:adjustRightInd/>
              <w:spacing w:line="440" w:lineRule="exact"/>
              <w:jc w:val="center"/>
              <w:textAlignment w:val="auto"/>
              <w:rPr>
                <w:rFonts w:ascii="宋体" w:hAnsi="宋体"/>
                <w:szCs w:val="21"/>
                <w:highlight w:val="none"/>
              </w:rPr>
            </w:pPr>
            <w:r>
              <w:rPr>
                <w:rFonts w:hint="eastAsia" w:ascii="宋体" w:hAnsi="宋体"/>
                <w:szCs w:val="21"/>
                <w:highlight w:val="none"/>
                <w:lang w:val="en-US" w:eastAsia="zh-CN"/>
              </w:rPr>
              <w:t xml:space="preserve">   </w:t>
            </w:r>
            <w:r>
              <w:rPr>
                <w:rFonts w:ascii="宋体" w:hAnsi="宋体"/>
                <w:szCs w:val="21"/>
                <w:highlight w:val="none"/>
              </w:rPr>
              <w:t>GB/T 1927.4-2021  </w:t>
            </w:r>
          </w:p>
        </w:tc>
      </w:tr>
      <w:tr w14:paraId="5FF4A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41" w:type="dxa"/>
            <w:noWrap w:val="0"/>
            <w:vAlign w:val="center"/>
          </w:tcPr>
          <w:p w14:paraId="73C440A2">
            <w:pPr>
              <w:keepNext w:val="0"/>
              <w:keepLines w:val="0"/>
              <w:pageBreakBefore w:val="0"/>
              <w:widowControl w:val="0"/>
              <w:kinsoku/>
              <w:wordWrap/>
              <w:overflowPunct/>
              <w:topLinePunct w:val="0"/>
              <w:autoSpaceDE/>
              <w:autoSpaceDN/>
              <w:bidi w:val="0"/>
              <w:adjustRightInd/>
              <w:spacing w:line="440" w:lineRule="exact"/>
              <w:jc w:val="center"/>
              <w:textAlignment w:val="auto"/>
              <w:rPr>
                <w:rFonts w:ascii="宋体" w:hAnsi="宋体"/>
                <w:szCs w:val="21"/>
                <w:highlight w:val="none"/>
              </w:rPr>
            </w:pPr>
            <w:r>
              <w:rPr>
                <w:rFonts w:hint="eastAsia" w:ascii="宋体" w:hAnsi="宋体"/>
                <w:szCs w:val="21"/>
                <w:highlight w:val="none"/>
              </w:rPr>
              <w:t>2</w:t>
            </w:r>
          </w:p>
        </w:tc>
        <w:tc>
          <w:tcPr>
            <w:tcW w:w="3833" w:type="dxa"/>
            <w:noWrap w:val="0"/>
            <w:vAlign w:val="center"/>
          </w:tcPr>
          <w:p w14:paraId="2F4EC93D">
            <w:pPr>
              <w:keepNext w:val="0"/>
              <w:keepLines w:val="0"/>
              <w:pageBreakBefore w:val="0"/>
              <w:widowControl w:val="0"/>
              <w:kinsoku/>
              <w:wordWrap/>
              <w:overflowPunct/>
              <w:topLinePunct w:val="0"/>
              <w:autoSpaceDE/>
              <w:autoSpaceDN/>
              <w:bidi w:val="0"/>
              <w:adjustRightInd/>
              <w:spacing w:line="440" w:lineRule="exact"/>
              <w:jc w:val="center"/>
              <w:textAlignment w:val="auto"/>
              <w:rPr>
                <w:rFonts w:ascii="宋体" w:hAnsi="宋体"/>
                <w:szCs w:val="21"/>
                <w:highlight w:val="none"/>
              </w:rPr>
            </w:pPr>
            <w:r>
              <w:rPr>
                <w:color w:val="000000"/>
                <w:szCs w:val="21"/>
                <w:highlight w:val="none"/>
              </w:rPr>
              <w:t>甲醛释放量</w:t>
            </w:r>
          </w:p>
        </w:tc>
        <w:tc>
          <w:tcPr>
            <w:tcW w:w="3928" w:type="dxa"/>
            <w:noWrap w:val="0"/>
            <w:vAlign w:val="center"/>
          </w:tcPr>
          <w:p w14:paraId="4B5C67A3">
            <w:pPr>
              <w:keepNext w:val="0"/>
              <w:keepLines w:val="0"/>
              <w:pageBreakBefore w:val="0"/>
              <w:widowControl w:val="0"/>
              <w:kinsoku/>
              <w:wordWrap/>
              <w:overflowPunct/>
              <w:topLinePunct w:val="0"/>
              <w:autoSpaceDE/>
              <w:autoSpaceDN/>
              <w:bidi w:val="0"/>
              <w:adjustRightInd/>
              <w:spacing w:line="440" w:lineRule="exact"/>
              <w:jc w:val="center"/>
              <w:textAlignment w:val="auto"/>
              <w:rPr>
                <w:rFonts w:ascii="宋体" w:hAnsi="宋体"/>
                <w:szCs w:val="21"/>
                <w:highlight w:val="none"/>
              </w:rPr>
            </w:pPr>
            <w:r>
              <w:rPr>
                <w:rFonts w:ascii="宋体" w:hAnsi="宋体"/>
                <w:szCs w:val="21"/>
                <w:highlight w:val="none"/>
              </w:rPr>
              <w:t>GB 18580-20</w:t>
            </w:r>
            <w:r>
              <w:rPr>
                <w:rFonts w:hint="eastAsia" w:ascii="宋体" w:hAnsi="宋体"/>
                <w:szCs w:val="21"/>
                <w:highlight w:val="none"/>
              </w:rPr>
              <w:t>17</w:t>
            </w:r>
          </w:p>
        </w:tc>
      </w:tr>
      <w:tr w14:paraId="39402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41" w:type="dxa"/>
            <w:noWrap w:val="0"/>
            <w:vAlign w:val="center"/>
          </w:tcPr>
          <w:p w14:paraId="57585F55">
            <w:pPr>
              <w:keepNext w:val="0"/>
              <w:keepLines w:val="0"/>
              <w:pageBreakBefore w:val="0"/>
              <w:widowControl w:val="0"/>
              <w:kinsoku/>
              <w:wordWrap/>
              <w:overflowPunct/>
              <w:topLinePunct w:val="0"/>
              <w:autoSpaceDE/>
              <w:autoSpaceDN/>
              <w:bidi w:val="0"/>
              <w:adjustRightInd/>
              <w:spacing w:line="440" w:lineRule="exact"/>
              <w:jc w:val="center"/>
              <w:textAlignment w:val="auto"/>
              <w:rPr>
                <w:rFonts w:ascii="宋体" w:hAnsi="宋体"/>
                <w:szCs w:val="21"/>
                <w:highlight w:val="none"/>
              </w:rPr>
            </w:pPr>
            <w:r>
              <w:rPr>
                <w:rFonts w:hint="eastAsia" w:ascii="宋体" w:hAnsi="宋体"/>
                <w:szCs w:val="21"/>
                <w:highlight w:val="none"/>
              </w:rPr>
              <w:t>3</w:t>
            </w:r>
          </w:p>
        </w:tc>
        <w:tc>
          <w:tcPr>
            <w:tcW w:w="3833" w:type="dxa"/>
            <w:noWrap w:val="0"/>
            <w:vAlign w:val="center"/>
          </w:tcPr>
          <w:p w14:paraId="667689AA">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宋体" w:hAnsi="宋体" w:eastAsia="宋体"/>
                <w:szCs w:val="21"/>
                <w:highlight w:val="none"/>
                <w:lang w:val="en-US" w:eastAsia="zh-CN"/>
              </w:rPr>
            </w:pPr>
            <w:r>
              <w:rPr>
                <w:rFonts w:hint="eastAsia" w:ascii="宋体" w:hAnsi="宋体"/>
                <w:szCs w:val="21"/>
                <w:highlight w:val="none"/>
                <w:lang w:val="en-US" w:eastAsia="zh-CN"/>
              </w:rPr>
              <w:t>可迁移有害元素</w:t>
            </w:r>
          </w:p>
        </w:tc>
        <w:tc>
          <w:tcPr>
            <w:tcW w:w="3928" w:type="dxa"/>
            <w:noWrap w:val="0"/>
            <w:vAlign w:val="center"/>
          </w:tcPr>
          <w:p w14:paraId="3F63E6E7">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default" w:ascii="宋体" w:hAnsi="宋体" w:eastAsia="宋体"/>
                <w:szCs w:val="21"/>
                <w:highlight w:val="none"/>
                <w:lang w:val="en-US" w:eastAsia="zh-CN"/>
              </w:rPr>
            </w:pPr>
            <w:r>
              <w:rPr>
                <w:rFonts w:ascii="宋体" w:hAnsi="宋体"/>
                <w:szCs w:val="21"/>
                <w:highlight w:val="none"/>
              </w:rPr>
              <w:t>GB 1858</w:t>
            </w:r>
            <w:r>
              <w:rPr>
                <w:rFonts w:hint="eastAsia" w:ascii="宋体" w:hAnsi="宋体"/>
                <w:szCs w:val="21"/>
                <w:highlight w:val="none"/>
              </w:rPr>
              <w:t>4-20</w:t>
            </w:r>
            <w:r>
              <w:rPr>
                <w:rFonts w:hint="eastAsia" w:ascii="宋体" w:hAnsi="宋体"/>
                <w:szCs w:val="21"/>
                <w:highlight w:val="none"/>
                <w:lang w:val="en-US" w:eastAsia="zh-CN"/>
              </w:rPr>
              <w:t>24</w:t>
            </w:r>
          </w:p>
        </w:tc>
      </w:tr>
      <w:tr w14:paraId="1238E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02" w:type="dxa"/>
            <w:gridSpan w:val="3"/>
            <w:noWrap w:val="0"/>
            <w:vAlign w:val="center"/>
          </w:tcPr>
          <w:p w14:paraId="6379D3A5">
            <w:pPr>
              <w:keepNext w:val="0"/>
              <w:keepLines w:val="0"/>
              <w:pageBreakBefore w:val="0"/>
              <w:widowControl w:val="0"/>
              <w:kinsoku/>
              <w:wordWrap/>
              <w:overflowPunct/>
              <w:topLinePunct w:val="0"/>
              <w:autoSpaceDE/>
              <w:autoSpaceDN/>
              <w:bidi w:val="0"/>
              <w:adjustRightInd/>
              <w:spacing w:line="440" w:lineRule="exact"/>
              <w:jc w:val="left"/>
              <w:textAlignment w:val="auto"/>
              <w:rPr>
                <w:rFonts w:hint="default" w:ascii="宋体" w:hAnsi="宋体"/>
                <w:szCs w:val="21"/>
                <w:highlight w:val="none"/>
                <w:lang w:val="en-US"/>
              </w:rPr>
            </w:pPr>
            <w:r>
              <w:rPr>
                <w:rFonts w:hint="eastAsia" w:asciiTheme="minorEastAsia" w:hAnsiTheme="minorEastAsia" w:eastAsiaTheme="minorEastAsia" w:cstheme="minorEastAsia"/>
                <w:color w:val="000000"/>
                <w:szCs w:val="21"/>
                <w:highlight w:val="none"/>
                <w:lang w:val="en-US" w:eastAsia="zh-CN"/>
              </w:rPr>
              <w:t>注：1.序号3项目</w:t>
            </w:r>
            <w:r>
              <w:rPr>
                <w:rFonts w:hint="eastAsia" w:ascii="宋体" w:hAnsi="宋体"/>
                <w:szCs w:val="21"/>
                <w:highlight w:val="none"/>
                <w:lang w:val="en-US" w:eastAsia="zh-CN"/>
              </w:rPr>
              <w:t>仅适用于色漆涂层</w:t>
            </w:r>
          </w:p>
        </w:tc>
      </w:tr>
    </w:tbl>
    <w:p w14:paraId="31DC05B6">
      <w:pPr>
        <w:snapToGrid w:val="0"/>
        <w:spacing w:line="440" w:lineRule="exact"/>
        <w:jc w:val="center"/>
        <w:rPr>
          <w:rFonts w:hint="eastAsia" w:ascii="宋体" w:hAnsi="宋体"/>
          <w:szCs w:val="21"/>
          <w:highlight w:val="yellow"/>
        </w:rPr>
      </w:pPr>
    </w:p>
    <w:p w14:paraId="13760047">
      <w:pPr>
        <w:snapToGrid w:val="0"/>
        <w:spacing w:line="440" w:lineRule="exact"/>
        <w:jc w:val="center"/>
        <w:rPr>
          <w:rFonts w:hint="eastAsia" w:ascii="宋体" w:hAnsi="宋体"/>
          <w:szCs w:val="21"/>
          <w:highlight w:val="none"/>
        </w:rPr>
      </w:pPr>
      <w:r>
        <w:rPr>
          <w:rFonts w:hint="eastAsia" w:ascii="宋体" w:hAnsi="宋体"/>
          <w:szCs w:val="21"/>
          <w:highlight w:val="none"/>
        </w:rPr>
        <w:t>表</w:t>
      </w:r>
      <w:r>
        <w:rPr>
          <w:rFonts w:hint="eastAsia" w:ascii="宋体" w:hAnsi="宋体"/>
          <w:szCs w:val="21"/>
          <w:highlight w:val="none"/>
          <w:lang w:val="en-US" w:eastAsia="zh-CN"/>
        </w:rPr>
        <w:t>4</w:t>
      </w:r>
      <w:r>
        <w:rPr>
          <w:rFonts w:hint="eastAsia" w:ascii="宋体" w:hAnsi="宋体"/>
          <w:szCs w:val="21"/>
          <w:highlight w:val="none"/>
        </w:rPr>
        <w:t xml:space="preserve">  木质门WB/T 1024-2006</w:t>
      </w:r>
    </w:p>
    <w:p w14:paraId="51B46611">
      <w:pPr>
        <w:snapToGrid w:val="0"/>
        <w:spacing w:line="440" w:lineRule="exact"/>
        <w:jc w:val="center"/>
        <w:rPr>
          <w:rFonts w:hint="default" w:ascii="宋体" w:hAnsi="宋体" w:eastAsia="宋体"/>
          <w:szCs w:val="21"/>
          <w:highlight w:val="none"/>
          <w:lang w:val="en-US" w:eastAsia="zh-CN"/>
        </w:rPr>
      </w:pPr>
      <w:r>
        <w:rPr>
          <w:rFonts w:hint="eastAsia" w:ascii="宋体" w:hAnsi="宋体"/>
          <w:szCs w:val="21"/>
          <w:highlight w:val="none"/>
          <w:lang w:val="en-US" w:eastAsia="zh-CN"/>
        </w:rPr>
        <w:t>(2026年6月1日之后）</w:t>
      </w:r>
      <w:bookmarkStart w:id="0" w:name="_GoBack"/>
      <w:bookmarkEnd w:id="0"/>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1"/>
        <w:gridCol w:w="3833"/>
        <w:gridCol w:w="3928"/>
      </w:tblGrid>
      <w:tr w14:paraId="6EF1F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41" w:type="dxa"/>
            <w:noWrap w:val="0"/>
            <w:vAlign w:val="top"/>
          </w:tcPr>
          <w:p w14:paraId="36745AAF">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eastAsia" w:ascii="宋体" w:hAnsi="宋体"/>
                <w:szCs w:val="21"/>
                <w:highlight w:val="none"/>
              </w:rPr>
            </w:pPr>
            <w:r>
              <w:rPr>
                <w:rFonts w:hint="eastAsia" w:ascii="宋体" w:hAnsi="宋体"/>
                <w:szCs w:val="21"/>
                <w:highlight w:val="none"/>
              </w:rPr>
              <w:t>序号</w:t>
            </w:r>
          </w:p>
        </w:tc>
        <w:tc>
          <w:tcPr>
            <w:tcW w:w="3833" w:type="dxa"/>
            <w:noWrap w:val="0"/>
            <w:vAlign w:val="top"/>
          </w:tcPr>
          <w:p w14:paraId="7C430FAA">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eastAsia" w:ascii="宋体" w:hAnsi="宋体"/>
                <w:szCs w:val="21"/>
                <w:highlight w:val="none"/>
              </w:rPr>
            </w:pPr>
            <w:r>
              <w:rPr>
                <w:rFonts w:hint="eastAsia" w:ascii="宋体" w:hAnsi="宋体"/>
                <w:szCs w:val="21"/>
                <w:highlight w:val="none"/>
              </w:rPr>
              <w:t>检验项目</w:t>
            </w:r>
          </w:p>
        </w:tc>
        <w:tc>
          <w:tcPr>
            <w:tcW w:w="3928" w:type="dxa"/>
            <w:noWrap w:val="0"/>
            <w:vAlign w:val="top"/>
          </w:tcPr>
          <w:p w14:paraId="0746E82C">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eastAsia" w:ascii="宋体" w:hAnsi="宋体"/>
                <w:szCs w:val="21"/>
                <w:highlight w:val="none"/>
              </w:rPr>
            </w:pPr>
            <w:r>
              <w:rPr>
                <w:rFonts w:hint="eastAsia" w:ascii="宋体" w:hAnsi="宋体"/>
                <w:color w:val="000000"/>
                <w:szCs w:val="21"/>
                <w:highlight w:val="none"/>
              </w:rPr>
              <w:t>检验方法</w:t>
            </w:r>
          </w:p>
        </w:tc>
      </w:tr>
      <w:tr w14:paraId="66709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1141" w:type="dxa"/>
            <w:noWrap w:val="0"/>
            <w:vAlign w:val="center"/>
          </w:tcPr>
          <w:p w14:paraId="72E5425B">
            <w:pPr>
              <w:keepNext w:val="0"/>
              <w:keepLines w:val="0"/>
              <w:pageBreakBefore w:val="0"/>
              <w:widowControl w:val="0"/>
              <w:kinsoku/>
              <w:wordWrap/>
              <w:overflowPunct/>
              <w:topLinePunct w:val="0"/>
              <w:autoSpaceDE/>
              <w:autoSpaceDN/>
              <w:bidi w:val="0"/>
              <w:adjustRightInd/>
              <w:spacing w:line="440" w:lineRule="exact"/>
              <w:jc w:val="center"/>
              <w:textAlignment w:val="auto"/>
              <w:rPr>
                <w:rFonts w:ascii="宋体" w:hAnsi="宋体"/>
                <w:szCs w:val="21"/>
                <w:highlight w:val="none"/>
              </w:rPr>
            </w:pPr>
            <w:r>
              <w:rPr>
                <w:rFonts w:hint="eastAsia" w:ascii="宋体" w:hAnsi="宋体"/>
                <w:szCs w:val="21"/>
                <w:highlight w:val="none"/>
              </w:rPr>
              <w:t>1</w:t>
            </w:r>
          </w:p>
        </w:tc>
        <w:tc>
          <w:tcPr>
            <w:tcW w:w="3833" w:type="dxa"/>
            <w:noWrap w:val="0"/>
            <w:vAlign w:val="center"/>
          </w:tcPr>
          <w:p w14:paraId="36809388">
            <w:pPr>
              <w:keepNext w:val="0"/>
              <w:keepLines w:val="0"/>
              <w:pageBreakBefore w:val="0"/>
              <w:widowControl w:val="0"/>
              <w:kinsoku/>
              <w:wordWrap/>
              <w:overflowPunct/>
              <w:topLinePunct w:val="0"/>
              <w:autoSpaceDE/>
              <w:autoSpaceDN/>
              <w:bidi w:val="0"/>
              <w:adjustRightInd/>
              <w:spacing w:line="440" w:lineRule="exact"/>
              <w:jc w:val="center"/>
              <w:textAlignment w:val="auto"/>
              <w:rPr>
                <w:rFonts w:ascii="宋体" w:hAnsi="宋体"/>
                <w:szCs w:val="21"/>
                <w:highlight w:val="none"/>
              </w:rPr>
            </w:pPr>
            <w:r>
              <w:rPr>
                <w:rFonts w:hint="eastAsia" w:ascii="宋体" w:hAnsi="宋体"/>
                <w:szCs w:val="21"/>
                <w:highlight w:val="none"/>
              </w:rPr>
              <w:t>含水率</w:t>
            </w:r>
          </w:p>
        </w:tc>
        <w:tc>
          <w:tcPr>
            <w:tcW w:w="3928" w:type="dxa"/>
            <w:noWrap w:val="0"/>
            <w:vAlign w:val="center"/>
          </w:tcPr>
          <w:p w14:paraId="6F3D6A81">
            <w:pPr>
              <w:keepNext w:val="0"/>
              <w:keepLines w:val="0"/>
              <w:pageBreakBefore w:val="0"/>
              <w:widowControl w:val="0"/>
              <w:kinsoku/>
              <w:wordWrap/>
              <w:overflowPunct/>
              <w:topLinePunct w:val="0"/>
              <w:autoSpaceDE/>
              <w:autoSpaceDN/>
              <w:bidi w:val="0"/>
              <w:adjustRightInd/>
              <w:spacing w:line="440" w:lineRule="exact"/>
              <w:jc w:val="center"/>
              <w:textAlignment w:val="auto"/>
              <w:rPr>
                <w:rFonts w:ascii="宋体" w:hAnsi="宋体"/>
                <w:szCs w:val="21"/>
                <w:highlight w:val="none"/>
              </w:rPr>
            </w:pPr>
            <w:r>
              <w:rPr>
                <w:rFonts w:hint="eastAsia" w:ascii="宋体" w:hAnsi="宋体"/>
                <w:szCs w:val="21"/>
                <w:highlight w:val="none"/>
                <w:lang w:val="en-US" w:eastAsia="zh-CN"/>
              </w:rPr>
              <w:t xml:space="preserve">   </w:t>
            </w:r>
            <w:r>
              <w:rPr>
                <w:rFonts w:ascii="宋体" w:hAnsi="宋体"/>
                <w:szCs w:val="21"/>
                <w:highlight w:val="none"/>
              </w:rPr>
              <w:t>GB/T 1927.4-2021  </w:t>
            </w:r>
          </w:p>
        </w:tc>
      </w:tr>
      <w:tr w14:paraId="01B4F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41" w:type="dxa"/>
            <w:noWrap w:val="0"/>
            <w:vAlign w:val="center"/>
          </w:tcPr>
          <w:p w14:paraId="49B04845">
            <w:pPr>
              <w:keepNext w:val="0"/>
              <w:keepLines w:val="0"/>
              <w:pageBreakBefore w:val="0"/>
              <w:widowControl w:val="0"/>
              <w:kinsoku/>
              <w:wordWrap/>
              <w:overflowPunct/>
              <w:topLinePunct w:val="0"/>
              <w:autoSpaceDE/>
              <w:autoSpaceDN/>
              <w:bidi w:val="0"/>
              <w:adjustRightInd/>
              <w:spacing w:line="440" w:lineRule="exact"/>
              <w:jc w:val="center"/>
              <w:textAlignment w:val="auto"/>
              <w:rPr>
                <w:rFonts w:ascii="宋体" w:hAnsi="宋体"/>
                <w:szCs w:val="21"/>
                <w:highlight w:val="none"/>
              </w:rPr>
            </w:pPr>
            <w:r>
              <w:rPr>
                <w:rFonts w:hint="eastAsia" w:ascii="宋体" w:hAnsi="宋体"/>
                <w:szCs w:val="21"/>
                <w:highlight w:val="none"/>
              </w:rPr>
              <w:t>2</w:t>
            </w:r>
          </w:p>
        </w:tc>
        <w:tc>
          <w:tcPr>
            <w:tcW w:w="3833" w:type="dxa"/>
            <w:noWrap w:val="0"/>
            <w:vAlign w:val="center"/>
          </w:tcPr>
          <w:p w14:paraId="68D9FC51">
            <w:pPr>
              <w:keepNext w:val="0"/>
              <w:keepLines w:val="0"/>
              <w:pageBreakBefore w:val="0"/>
              <w:widowControl w:val="0"/>
              <w:kinsoku/>
              <w:wordWrap/>
              <w:overflowPunct/>
              <w:topLinePunct w:val="0"/>
              <w:autoSpaceDE/>
              <w:autoSpaceDN/>
              <w:bidi w:val="0"/>
              <w:adjustRightInd/>
              <w:spacing w:line="440" w:lineRule="exact"/>
              <w:jc w:val="center"/>
              <w:textAlignment w:val="auto"/>
              <w:rPr>
                <w:rFonts w:ascii="宋体" w:hAnsi="宋体"/>
                <w:szCs w:val="21"/>
                <w:highlight w:val="none"/>
              </w:rPr>
            </w:pPr>
            <w:r>
              <w:rPr>
                <w:color w:val="000000"/>
                <w:szCs w:val="21"/>
                <w:highlight w:val="none"/>
              </w:rPr>
              <w:t>甲醛释放量</w:t>
            </w:r>
          </w:p>
        </w:tc>
        <w:tc>
          <w:tcPr>
            <w:tcW w:w="3928" w:type="dxa"/>
            <w:noWrap w:val="0"/>
            <w:vAlign w:val="center"/>
          </w:tcPr>
          <w:p w14:paraId="473D55F0">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default" w:ascii="宋体" w:hAnsi="宋体" w:eastAsia="宋体"/>
                <w:szCs w:val="21"/>
                <w:highlight w:val="none"/>
                <w:lang w:val="en-US" w:eastAsia="zh-CN"/>
              </w:rPr>
            </w:pPr>
            <w:r>
              <w:rPr>
                <w:rFonts w:ascii="宋体" w:hAnsi="宋体"/>
                <w:szCs w:val="21"/>
                <w:highlight w:val="none"/>
              </w:rPr>
              <w:t>GB 18580-20</w:t>
            </w:r>
            <w:r>
              <w:rPr>
                <w:rFonts w:hint="eastAsia" w:ascii="宋体" w:hAnsi="宋体"/>
                <w:szCs w:val="21"/>
                <w:highlight w:val="none"/>
                <w:lang w:val="en-US" w:eastAsia="zh-CN"/>
              </w:rPr>
              <w:t>25</w:t>
            </w:r>
          </w:p>
        </w:tc>
      </w:tr>
      <w:tr w14:paraId="551BF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41" w:type="dxa"/>
            <w:noWrap w:val="0"/>
            <w:vAlign w:val="center"/>
          </w:tcPr>
          <w:p w14:paraId="0A2ED5D8">
            <w:pPr>
              <w:keepNext w:val="0"/>
              <w:keepLines w:val="0"/>
              <w:pageBreakBefore w:val="0"/>
              <w:widowControl w:val="0"/>
              <w:kinsoku/>
              <w:wordWrap/>
              <w:overflowPunct/>
              <w:topLinePunct w:val="0"/>
              <w:autoSpaceDE/>
              <w:autoSpaceDN/>
              <w:bidi w:val="0"/>
              <w:adjustRightInd/>
              <w:spacing w:line="440" w:lineRule="exact"/>
              <w:jc w:val="center"/>
              <w:textAlignment w:val="auto"/>
              <w:rPr>
                <w:rFonts w:ascii="宋体" w:hAnsi="宋体"/>
                <w:szCs w:val="21"/>
                <w:highlight w:val="none"/>
              </w:rPr>
            </w:pPr>
            <w:r>
              <w:rPr>
                <w:rFonts w:hint="eastAsia" w:ascii="宋体" w:hAnsi="宋体"/>
                <w:szCs w:val="21"/>
                <w:highlight w:val="none"/>
              </w:rPr>
              <w:t>3</w:t>
            </w:r>
          </w:p>
        </w:tc>
        <w:tc>
          <w:tcPr>
            <w:tcW w:w="3833" w:type="dxa"/>
            <w:noWrap w:val="0"/>
            <w:vAlign w:val="center"/>
          </w:tcPr>
          <w:p w14:paraId="3E9C0B1D">
            <w:pPr>
              <w:keepNext w:val="0"/>
              <w:keepLines w:val="0"/>
              <w:pageBreakBefore w:val="0"/>
              <w:widowControl w:val="0"/>
              <w:kinsoku/>
              <w:wordWrap/>
              <w:overflowPunct/>
              <w:topLinePunct w:val="0"/>
              <w:autoSpaceDE/>
              <w:autoSpaceDN/>
              <w:bidi w:val="0"/>
              <w:adjustRightInd/>
              <w:spacing w:line="440" w:lineRule="exact"/>
              <w:jc w:val="center"/>
              <w:textAlignment w:val="auto"/>
              <w:rPr>
                <w:rFonts w:ascii="宋体" w:hAnsi="宋体"/>
                <w:szCs w:val="21"/>
                <w:highlight w:val="none"/>
              </w:rPr>
            </w:pPr>
            <w:r>
              <w:rPr>
                <w:rFonts w:hint="eastAsia" w:ascii="宋体" w:hAnsi="宋体"/>
                <w:szCs w:val="21"/>
                <w:highlight w:val="none"/>
                <w:lang w:val="en-US" w:eastAsia="zh-CN"/>
              </w:rPr>
              <w:t>可迁移有害元素</w:t>
            </w:r>
          </w:p>
        </w:tc>
        <w:tc>
          <w:tcPr>
            <w:tcW w:w="3928" w:type="dxa"/>
            <w:noWrap w:val="0"/>
            <w:vAlign w:val="center"/>
          </w:tcPr>
          <w:p w14:paraId="0CA1BD14">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default" w:ascii="宋体" w:hAnsi="宋体" w:eastAsia="宋体"/>
                <w:szCs w:val="21"/>
                <w:highlight w:val="none"/>
                <w:lang w:val="en-US" w:eastAsia="zh-CN"/>
              </w:rPr>
            </w:pPr>
            <w:r>
              <w:rPr>
                <w:rFonts w:ascii="宋体" w:hAnsi="宋体"/>
                <w:szCs w:val="21"/>
                <w:highlight w:val="none"/>
              </w:rPr>
              <w:t>GB 1858</w:t>
            </w:r>
            <w:r>
              <w:rPr>
                <w:rFonts w:hint="eastAsia" w:ascii="宋体" w:hAnsi="宋体"/>
                <w:szCs w:val="21"/>
                <w:highlight w:val="none"/>
              </w:rPr>
              <w:t>4-20</w:t>
            </w:r>
            <w:r>
              <w:rPr>
                <w:rFonts w:hint="eastAsia" w:ascii="宋体" w:hAnsi="宋体"/>
                <w:szCs w:val="21"/>
                <w:highlight w:val="none"/>
                <w:lang w:val="en-US" w:eastAsia="zh-CN"/>
              </w:rPr>
              <w:t>24</w:t>
            </w:r>
          </w:p>
        </w:tc>
      </w:tr>
      <w:tr w14:paraId="156CA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02" w:type="dxa"/>
            <w:gridSpan w:val="3"/>
            <w:noWrap w:val="0"/>
            <w:vAlign w:val="center"/>
          </w:tcPr>
          <w:p w14:paraId="75D55417">
            <w:pPr>
              <w:keepNext w:val="0"/>
              <w:keepLines w:val="0"/>
              <w:pageBreakBefore w:val="0"/>
              <w:widowControl w:val="0"/>
              <w:kinsoku/>
              <w:wordWrap/>
              <w:overflowPunct/>
              <w:topLinePunct w:val="0"/>
              <w:autoSpaceDE/>
              <w:autoSpaceDN/>
              <w:bidi w:val="0"/>
              <w:adjustRightInd/>
              <w:spacing w:line="440" w:lineRule="exact"/>
              <w:jc w:val="left"/>
              <w:textAlignment w:val="auto"/>
              <w:rPr>
                <w:rFonts w:ascii="宋体" w:hAnsi="宋体"/>
                <w:szCs w:val="21"/>
                <w:highlight w:val="none"/>
              </w:rPr>
            </w:pPr>
            <w:r>
              <w:rPr>
                <w:rFonts w:hint="eastAsia" w:asciiTheme="minorEastAsia" w:hAnsiTheme="minorEastAsia" w:eastAsiaTheme="minorEastAsia" w:cstheme="minorEastAsia"/>
                <w:color w:val="000000"/>
                <w:szCs w:val="21"/>
                <w:highlight w:val="none"/>
                <w:lang w:val="en-US" w:eastAsia="zh-CN"/>
              </w:rPr>
              <w:t>注：1.序号3项目</w:t>
            </w:r>
            <w:r>
              <w:rPr>
                <w:rFonts w:hint="eastAsia" w:ascii="宋体" w:hAnsi="宋体"/>
                <w:szCs w:val="21"/>
                <w:highlight w:val="none"/>
                <w:lang w:val="en-US" w:eastAsia="zh-CN"/>
              </w:rPr>
              <w:t>仅适用于色漆涂层</w:t>
            </w:r>
          </w:p>
        </w:tc>
      </w:tr>
    </w:tbl>
    <w:p w14:paraId="48F7986D">
      <w:pPr>
        <w:adjustRightInd w:val="0"/>
        <w:snapToGrid w:val="0"/>
        <w:spacing w:line="440" w:lineRule="exact"/>
        <w:ind w:firstLine="420" w:firstLineChars="200"/>
        <w:rPr>
          <w:rFonts w:hint="eastAsia"/>
          <w:color w:val="000000"/>
          <w:szCs w:val="21"/>
        </w:rPr>
      </w:pPr>
    </w:p>
    <w:p w14:paraId="3E0A06DD">
      <w:pPr>
        <w:adjustRightInd w:val="0"/>
        <w:snapToGrid w:val="0"/>
        <w:spacing w:line="440" w:lineRule="exact"/>
        <w:ind w:firstLine="420" w:firstLineChars="200"/>
        <w:rPr>
          <w:rFonts w:ascii="宋体" w:hAnsi="宋体"/>
          <w:color w:val="000000"/>
          <w:szCs w:val="21"/>
        </w:rPr>
      </w:pPr>
      <w:r>
        <w:rPr>
          <w:rFonts w:hint="eastAsia"/>
          <w:color w:val="000000"/>
          <w:szCs w:val="21"/>
        </w:rPr>
        <w:t>执行企业标准、团体标准、地方标准的产品，检验项目参照上述内容执行。</w:t>
      </w:r>
    </w:p>
    <w:p w14:paraId="759B35AC">
      <w:pPr>
        <w:spacing w:line="440" w:lineRule="exact"/>
        <w:ind w:firstLine="420" w:firstLineChars="200"/>
        <w:rPr>
          <w:rFonts w:hint="eastAsia" w:ascii="宋体" w:hAnsi="宋体" w:eastAsia="宋体"/>
          <w:color w:val="000000"/>
          <w:szCs w:val="21"/>
          <w:lang w:val="en-US" w:eastAsia="zh-CN"/>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r>
        <w:rPr>
          <w:rFonts w:hint="eastAsia" w:ascii="宋体" w:hAnsi="宋体"/>
          <w:color w:val="000000"/>
          <w:szCs w:val="21"/>
          <w:lang w:eastAsia="zh-CN"/>
        </w:rPr>
        <w:t>。</w:t>
      </w:r>
    </w:p>
    <w:p w14:paraId="057DACA0">
      <w:pPr>
        <w:spacing w:line="440" w:lineRule="exact"/>
        <w:ind w:firstLine="420" w:firstLineChars="200"/>
        <w:rPr>
          <w:rFonts w:hint="eastAsia" w:ascii="宋体" w:hAnsi="宋体"/>
          <w:color w:val="000000"/>
          <w:szCs w:val="21"/>
          <w:lang w:val="en-US" w:eastAsia="zh-CN"/>
        </w:rPr>
      </w:pPr>
    </w:p>
    <w:p w14:paraId="02B62496">
      <w:pPr>
        <w:spacing w:line="440" w:lineRule="exact"/>
        <w:rPr>
          <w:rFonts w:ascii="黑体" w:hAnsi="黑体" w:eastAsia="黑体"/>
          <w:color w:val="000000"/>
          <w:szCs w:val="21"/>
        </w:rPr>
      </w:pPr>
      <w:r>
        <w:rPr>
          <w:rFonts w:hint="eastAsia" w:ascii="黑体" w:hAnsi="黑体" w:eastAsia="黑体"/>
          <w:color w:val="000000"/>
          <w:szCs w:val="21"/>
        </w:rPr>
        <w:t>3 判定规则</w:t>
      </w:r>
    </w:p>
    <w:p w14:paraId="2EC72CA9">
      <w:pPr>
        <w:spacing w:line="440" w:lineRule="exact"/>
        <w:rPr>
          <w:rFonts w:hint="eastAsia" w:ascii="黑体" w:hAnsi="黑体" w:eastAsia="黑体"/>
          <w:color w:val="000000"/>
          <w:szCs w:val="21"/>
        </w:rPr>
      </w:pPr>
      <w:r>
        <w:rPr>
          <w:rFonts w:hint="eastAsia" w:ascii="黑体" w:hAnsi="黑体" w:eastAsia="黑体"/>
          <w:color w:val="000000"/>
          <w:szCs w:val="21"/>
        </w:rPr>
        <w:t>3.1依据标准</w:t>
      </w:r>
    </w:p>
    <w:p w14:paraId="010231A0">
      <w:pPr>
        <w:snapToGrid w:val="0"/>
        <w:spacing w:line="440" w:lineRule="exact"/>
        <w:ind w:firstLine="417" w:firstLineChars="199"/>
        <w:rPr>
          <w:rFonts w:hint="eastAsia" w:ascii="宋体" w:hAnsi="宋体"/>
          <w:color w:val="000000"/>
          <w:szCs w:val="21"/>
          <w:highlight w:val="none"/>
        </w:rPr>
      </w:pPr>
      <w:r>
        <w:rPr>
          <w:rFonts w:hint="eastAsia" w:ascii="宋体" w:hAnsi="宋体"/>
          <w:color w:val="000000"/>
          <w:szCs w:val="21"/>
          <w:highlight w:val="none"/>
        </w:rPr>
        <w:t>GB 18580-2017 室内装饰装修材料 人造板及其制品中甲醛释放</w:t>
      </w:r>
      <w:r>
        <w:rPr>
          <w:rFonts w:hint="eastAsia" w:ascii="宋体" w:hAnsi="宋体"/>
          <w:color w:val="000000"/>
          <w:szCs w:val="21"/>
          <w:highlight w:val="none"/>
          <w:lang w:eastAsia="zh-CN"/>
        </w:rPr>
        <w:t>限</w:t>
      </w:r>
      <w:r>
        <w:rPr>
          <w:rFonts w:hint="eastAsia" w:ascii="宋体" w:hAnsi="宋体"/>
          <w:color w:val="000000"/>
          <w:szCs w:val="21"/>
          <w:highlight w:val="none"/>
        </w:rPr>
        <w:t>量</w:t>
      </w:r>
    </w:p>
    <w:p w14:paraId="1F49FC9C">
      <w:pPr>
        <w:snapToGrid w:val="0"/>
        <w:spacing w:line="440" w:lineRule="exact"/>
        <w:ind w:firstLine="417" w:firstLineChars="199"/>
        <w:rPr>
          <w:rFonts w:hint="eastAsia" w:ascii="宋体" w:hAnsi="宋体"/>
          <w:color w:val="000000"/>
          <w:szCs w:val="21"/>
          <w:highlight w:val="none"/>
        </w:rPr>
      </w:pPr>
      <w:r>
        <w:rPr>
          <w:rFonts w:hint="eastAsia" w:ascii="宋体" w:hAnsi="宋体"/>
          <w:color w:val="000000"/>
          <w:szCs w:val="21"/>
          <w:highlight w:val="none"/>
        </w:rPr>
        <w:t>GB 18580-20</w:t>
      </w:r>
      <w:r>
        <w:rPr>
          <w:rFonts w:hint="eastAsia" w:ascii="宋体" w:hAnsi="宋体"/>
          <w:color w:val="000000"/>
          <w:szCs w:val="21"/>
          <w:highlight w:val="none"/>
          <w:lang w:val="en-US" w:eastAsia="zh-CN"/>
        </w:rPr>
        <w:t>25</w:t>
      </w:r>
      <w:r>
        <w:rPr>
          <w:rFonts w:hint="eastAsia" w:ascii="宋体" w:hAnsi="宋体"/>
          <w:color w:val="000000"/>
          <w:szCs w:val="21"/>
          <w:highlight w:val="none"/>
        </w:rPr>
        <w:t xml:space="preserve"> 室内装饰装修材料 人造板及其制品中甲醛释放</w:t>
      </w:r>
      <w:r>
        <w:rPr>
          <w:rFonts w:hint="eastAsia" w:ascii="宋体" w:hAnsi="宋体"/>
          <w:color w:val="000000"/>
          <w:szCs w:val="21"/>
          <w:highlight w:val="none"/>
          <w:lang w:eastAsia="zh-CN"/>
        </w:rPr>
        <w:t>限</w:t>
      </w:r>
      <w:r>
        <w:rPr>
          <w:rFonts w:hint="eastAsia" w:ascii="宋体" w:hAnsi="宋体"/>
          <w:color w:val="000000"/>
          <w:szCs w:val="21"/>
          <w:highlight w:val="none"/>
        </w:rPr>
        <w:t>量</w:t>
      </w:r>
    </w:p>
    <w:p w14:paraId="327EB52C">
      <w:pPr>
        <w:snapToGrid w:val="0"/>
        <w:spacing w:line="440" w:lineRule="exact"/>
        <w:ind w:firstLine="417" w:firstLineChars="199"/>
        <w:rPr>
          <w:rFonts w:hint="eastAsia" w:ascii="宋体" w:hAnsi="宋体"/>
          <w:color w:val="000000"/>
          <w:szCs w:val="21"/>
          <w:highlight w:val="none"/>
        </w:rPr>
      </w:pPr>
      <w:r>
        <w:rPr>
          <w:rFonts w:hint="eastAsia" w:ascii="宋体" w:hAnsi="宋体"/>
          <w:color w:val="000000"/>
          <w:szCs w:val="21"/>
          <w:highlight w:val="none"/>
        </w:rPr>
        <w:t>GB 18584-20</w:t>
      </w:r>
      <w:r>
        <w:rPr>
          <w:rFonts w:hint="eastAsia" w:ascii="宋体" w:hAnsi="宋体"/>
          <w:color w:val="000000"/>
          <w:szCs w:val="21"/>
          <w:highlight w:val="none"/>
          <w:lang w:val="en-US" w:eastAsia="zh-CN"/>
        </w:rPr>
        <w:t>24</w:t>
      </w:r>
      <w:r>
        <w:rPr>
          <w:rFonts w:hint="eastAsia" w:ascii="宋体" w:hAnsi="宋体"/>
          <w:color w:val="000000"/>
          <w:szCs w:val="21"/>
          <w:highlight w:val="none"/>
        </w:rPr>
        <w:t xml:space="preserve"> </w:t>
      </w:r>
      <w:r>
        <w:rPr>
          <w:rFonts w:hint="eastAsia" w:ascii="宋体" w:hAnsi="宋体"/>
          <w:color w:val="000000"/>
          <w:szCs w:val="21"/>
          <w:highlight w:val="none"/>
          <w:lang w:eastAsia="zh-CN"/>
        </w:rPr>
        <w:t>家具中</w:t>
      </w:r>
      <w:r>
        <w:rPr>
          <w:rFonts w:hint="eastAsia" w:ascii="宋体" w:hAnsi="宋体"/>
          <w:color w:val="000000"/>
          <w:szCs w:val="21"/>
          <w:highlight w:val="none"/>
        </w:rPr>
        <w:t>有害物质限量</w:t>
      </w:r>
    </w:p>
    <w:p w14:paraId="7685F1B7">
      <w:pPr>
        <w:snapToGrid w:val="0"/>
        <w:spacing w:line="440" w:lineRule="exact"/>
        <w:ind w:firstLine="417" w:firstLineChars="199"/>
        <w:rPr>
          <w:rFonts w:hint="eastAsia" w:ascii="宋体" w:hAnsi="宋体"/>
          <w:strike/>
          <w:color w:val="000000"/>
          <w:szCs w:val="21"/>
          <w:highlight w:val="none"/>
        </w:rPr>
      </w:pPr>
      <w:r>
        <w:rPr>
          <w:rFonts w:hint="eastAsia" w:ascii="宋体" w:hAnsi="宋体"/>
          <w:color w:val="000000"/>
          <w:szCs w:val="21"/>
          <w:highlight w:val="none"/>
        </w:rPr>
        <w:t>LY/T 1923-2020 室内木质门</w:t>
      </w:r>
    </w:p>
    <w:p w14:paraId="565A71E2">
      <w:pPr>
        <w:snapToGrid w:val="0"/>
        <w:spacing w:line="440" w:lineRule="exact"/>
        <w:ind w:firstLine="417" w:firstLineChars="199"/>
        <w:rPr>
          <w:rFonts w:hint="eastAsia" w:ascii="宋体" w:hAnsi="宋体"/>
          <w:color w:val="000000"/>
          <w:szCs w:val="21"/>
          <w:highlight w:val="none"/>
        </w:rPr>
      </w:pPr>
      <w:r>
        <w:rPr>
          <w:rFonts w:hint="eastAsia" w:ascii="宋体" w:hAnsi="宋体"/>
          <w:szCs w:val="21"/>
          <w:highlight w:val="none"/>
        </w:rPr>
        <w:t xml:space="preserve">WB/T 1024-2006 </w:t>
      </w:r>
      <w:r>
        <w:rPr>
          <w:rFonts w:hint="eastAsia" w:ascii="宋体" w:hAnsi="宋体"/>
          <w:color w:val="000000"/>
          <w:szCs w:val="21"/>
          <w:highlight w:val="none"/>
        </w:rPr>
        <w:t>木质门</w:t>
      </w:r>
    </w:p>
    <w:p w14:paraId="4D886DE8">
      <w:pPr>
        <w:snapToGrid w:val="0"/>
        <w:spacing w:line="440" w:lineRule="exact"/>
        <w:ind w:firstLine="420" w:firstLineChars="200"/>
        <w:rPr>
          <w:rFonts w:ascii="宋体" w:hAnsi="宋体"/>
          <w:color w:val="000000"/>
          <w:szCs w:val="21"/>
        </w:rPr>
      </w:pPr>
      <w:r>
        <w:rPr>
          <w:rFonts w:hint="eastAsia" w:ascii="宋体" w:hAnsi="宋体"/>
          <w:color w:val="000000"/>
          <w:szCs w:val="21"/>
        </w:rPr>
        <w:t>相关的法律、行政法规、部门规章、规范性文件</w:t>
      </w:r>
    </w:p>
    <w:p w14:paraId="7550A485">
      <w:pPr>
        <w:snapToGrid w:val="0"/>
        <w:spacing w:line="440" w:lineRule="exact"/>
        <w:ind w:firstLine="420" w:firstLineChars="200"/>
        <w:rPr>
          <w:rFonts w:ascii="宋体" w:hAnsi="宋体"/>
          <w:color w:val="000000"/>
          <w:szCs w:val="21"/>
        </w:rPr>
      </w:pPr>
      <w:r>
        <w:rPr>
          <w:rFonts w:hint="eastAsia" w:ascii="宋体" w:hAnsi="宋体"/>
          <w:color w:val="000000"/>
          <w:szCs w:val="21"/>
        </w:rPr>
        <w:t>现行有效的企业标准、团体标准、地方标准及产品明示质量要求</w:t>
      </w:r>
    </w:p>
    <w:p w14:paraId="790EC536">
      <w:pPr>
        <w:spacing w:line="440" w:lineRule="exact"/>
        <w:rPr>
          <w:rFonts w:hint="eastAsia" w:ascii="黑体" w:hAnsi="黑体" w:eastAsia="黑体"/>
          <w:color w:val="000000"/>
          <w:szCs w:val="21"/>
        </w:rPr>
      </w:pPr>
      <w:r>
        <w:rPr>
          <w:rFonts w:hint="eastAsia" w:ascii="黑体" w:hAnsi="黑体" w:eastAsia="黑体"/>
          <w:color w:val="000000"/>
          <w:szCs w:val="21"/>
        </w:rPr>
        <w:t>3.2判定原则</w:t>
      </w:r>
    </w:p>
    <w:p w14:paraId="5C96B3CB">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14:paraId="6C6EB93C">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069291E9">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6C1EBB91">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14:paraId="705CD321">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34D69ABF">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14:paraId="31219C41">
      <w:pPr>
        <w:snapToGrid w:val="0"/>
        <w:spacing w:line="440" w:lineRule="exact"/>
        <w:rPr>
          <w:rFonts w:ascii="宋体" w:hAnsi="宋体"/>
          <w:color w:val="000000"/>
          <w:szCs w:val="21"/>
        </w:rPr>
      </w:pPr>
    </w:p>
    <w:p w14:paraId="22F61A8E">
      <w:pPr>
        <w:snapToGrid w:val="0"/>
        <w:spacing w:line="440" w:lineRule="exact"/>
        <w:rPr>
          <w:rFonts w:ascii="宋体" w:hAnsi="宋体"/>
          <w:color w:val="000000"/>
          <w:szCs w:val="21"/>
        </w:rPr>
      </w:pPr>
    </w:p>
    <w:p w14:paraId="6A0C92C2">
      <w:pPr>
        <w:snapToGrid w:val="0"/>
        <w:spacing w:line="440" w:lineRule="exact"/>
        <w:rPr>
          <w:rFonts w:ascii="宋体" w:hAnsi="宋体"/>
          <w:color w:val="000000"/>
          <w:szCs w:val="21"/>
        </w:rPr>
      </w:pPr>
    </w:p>
    <w:p w14:paraId="4DDC7F54">
      <w:pPr>
        <w:snapToGrid w:val="0"/>
        <w:spacing w:line="440" w:lineRule="exact"/>
        <w:rPr>
          <w:rFonts w:ascii="宋体" w:hAnsi="宋体"/>
          <w:color w:val="000000"/>
          <w:szCs w:val="21"/>
        </w:rPr>
      </w:pPr>
    </w:p>
    <w:p w14:paraId="1347FB31"/>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0544FD5-A294-4DE2-94BF-CEB40B26E7B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0C78CA2A-18BF-4DC6-86A8-3F708D3C83F7}"/>
  </w:font>
  <w:font w:name="仿宋">
    <w:panose1 w:val="02010609060101010101"/>
    <w:charset w:val="86"/>
    <w:family w:val="modern"/>
    <w:pitch w:val="default"/>
    <w:sig w:usb0="800002BF" w:usb1="38CF7CFA" w:usb2="00000016" w:usb3="00000000" w:csb0="00040001" w:csb1="00000000"/>
    <w:embedRegular r:id="rId3" w:fontKey="{394785D0-F3B9-4F4C-A1CE-15757D0DCE5A}"/>
  </w:font>
  <w:font w:name="方正仿宋简体">
    <w:panose1 w:val="02000000000000000000"/>
    <w:charset w:val="86"/>
    <w:family w:val="auto"/>
    <w:pitch w:val="default"/>
    <w:sig w:usb0="A00002BF" w:usb1="184F6CFA" w:usb2="00000012" w:usb3="00000000" w:csb0="00040001" w:csb1="00000000"/>
    <w:embedRegular r:id="rId4" w:fontKey="{23E7BEB6-052A-4C96-B6CD-1CB2EB2C6445}"/>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D29B1">
    <w:pPr>
      <w:pStyle w:val="2"/>
      <w:jc w:val="center"/>
    </w:pPr>
    <w:r>
      <w:rPr>
        <w:lang w:val="zh-CN"/>
      </w:rPr>
      <w:fldChar w:fldCharType="begin"/>
    </w:r>
    <w:r>
      <w:rPr>
        <w:lang w:val="zh-CN"/>
      </w:rPr>
      <w:instrText xml:space="preserve"> PAGE   \* MERGEFORMAT </w:instrText>
    </w:r>
    <w:r>
      <w:rPr>
        <w:lang w:val="zh-CN"/>
      </w:rPr>
      <w:fldChar w:fldCharType="separate"/>
    </w:r>
    <w:r>
      <w:t>6</w:t>
    </w:r>
    <w:r>
      <w:rPr>
        <w:lang w:val="zh-CN"/>
      </w:rPr>
      <w:fldChar w:fldCharType="end"/>
    </w:r>
  </w:p>
  <w:p w14:paraId="066A999D">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1AB9B">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2</w:t>
    </w:r>
    <w:r>
      <w:fldChar w:fldCharType="end"/>
    </w:r>
  </w:p>
  <w:p w14:paraId="062C77D2">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696D1">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77F"/>
    <w:rsid w:val="00013143"/>
    <w:rsid w:val="000406C6"/>
    <w:rsid w:val="000D13B0"/>
    <w:rsid w:val="000E07F3"/>
    <w:rsid w:val="00106909"/>
    <w:rsid w:val="002B07F5"/>
    <w:rsid w:val="002E086C"/>
    <w:rsid w:val="002E6C28"/>
    <w:rsid w:val="00380B4C"/>
    <w:rsid w:val="00386070"/>
    <w:rsid w:val="0038618A"/>
    <w:rsid w:val="003B72EE"/>
    <w:rsid w:val="004A03E2"/>
    <w:rsid w:val="00532942"/>
    <w:rsid w:val="00611A7B"/>
    <w:rsid w:val="006454A2"/>
    <w:rsid w:val="00716D63"/>
    <w:rsid w:val="007C6A8A"/>
    <w:rsid w:val="00870941"/>
    <w:rsid w:val="008913A8"/>
    <w:rsid w:val="008A1C5D"/>
    <w:rsid w:val="008A6666"/>
    <w:rsid w:val="0091437C"/>
    <w:rsid w:val="0092777F"/>
    <w:rsid w:val="00A27E15"/>
    <w:rsid w:val="00A704E3"/>
    <w:rsid w:val="00B51C89"/>
    <w:rsid w:val="00B71EC7"/>
    <w:rsid w:val="00D007DD"/>
    <w:rsid w:val="00D17756"/>
    <w:rsid w:val="00D41B8A"/>
    <w:rsid w:val="00D462DD"/>
    <w:rsid w:val="00D674FB"/>
    <w:rsid w:val="00D912C7"/>
    <w:rsid w:val="072E6CF9"/>
    <w:rsid w:val="080A356B"/>
    <w:rsid w:val="099D5561"/>
    <w:rsid w:val="09A330F2"/>
    <w:rsid w:val="0AAC0A42"/>
    <w:rsid w:val="0B741557"/>
    <w:rsid w:val="125E048F"/>
    <w:rsid w:val="1281245E"/>
    <w:rsid w:val="14257919"/>
    <w:rsid w:val="14684B1C"/>
    <w:rsid w:val="158F79C6"/>
    <w:rsid w:val="17D82FB5"/>
    <w:rsid w:val="187C668D"/>
    <w:rsid w:val="1E0345E3"/>
    <w:rsid w:val="20920EDB"/>
    <w:rsid w:val="224B4B86"/>
    <w:rsid w:val="25034FC3"/>
    <w:rsid w:val="29DA78D5"/>
    <w:rsid w:val="2BEF449D"/>
    <w:rsid w:val="2C970D19"/>
    <w:rsid w:val="2EFE6C41"/>
    <w:rsid w:val="31701B38"/>
    <w:rsid w:val="333C6176"/>
    <w:rsid w:val="383A32BC"/>
    <w:rsid w:val="3D3B5241"/>
    <w:rsid w:val="3E2D60E2"/>
    <w:rsid w:val="3ECD54F7"/>
    <w:rsid w:val="453F71A4"/>
    <w:rsid w:val="45E86BF9"/>
    <w:rsid w:val="4B214DE0"/>
    <w:rsid w:val="50C921F2"/>
    <w:rsid w:val="525A6150"/>
    <w:rsid w:val="5266470B"/>
    <w:rsid w:val="52D06C86"/>
    <w:rsid w:val="53E95146"/>
    <w:rsid w:val="55553B98"/>
    <w:rsid w:val="5BE56AFB"/>
    <w:rsid w:val="5E3B680D"/>
    <w:rsid w:val="62C570DA"/>
    <w:rsid w:val="63D413DB"/>
    <w:rsid w:val="65160501"/>
    <w:rsid w:val="66B54DFB"/>
    <w:rsid w:val="676515F6"/>
    <w:rsid w:val="67E87104"/>
    <w:rsid w:val="69E27F1C"/>
    <w:rsid w:val="6AC75E81"/>
    <w:rsid w:val="6C0A6CDB"/>
    <w:rsid w:val="6C857F37"/>
    <w:rsid w:val="6EE72846"/>
    <w:rsid w:val="7273249F"/>
    <w:rsid w:val="77813724"/>
    <w:rsid w:val="784C4B30"/>
    <w:rsid w:val="78955947"/>
    <w:rsid w:val="797A667D"/>
    <w:rsid w:val="79B73DDF"/>
    <w:rsid w:val="7D043457"/>
    <w:rsid w:val="7D136906"/>
    <w:rsid w:val="7EAF0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page number"/>
    <w:basedOn w:val="5"/>
    <w:qFormat/>
    <w:uiPriority w:val="0"/>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80cc325c-dbd2-4efc-a315-28fdaf8c99d2</errorID>
      <errorWord>(</errorWord>
      <group>L1_Format</group>
      <groupName>格式问题</groupName>
      <ability>L2_HalfPunc</ability>
      <abilityName>全半角检查</abilityName>
      <candidateList>
        <item>（</item>
      </candidateList>
      <explain>文本全半角错误。</explain>
      <paraID>68A28D1C</paraID>
      <start>0</start>
      <end>1</end>
      <status>unmodified</status>
      <modifiedWord/>
      <trackRevisions>false</trackRevisions>
    </reviewItem>
    <reviewItem>
      <errorID>637f82bb-6467-45c2-9f78-63da59ee0cb3</errorID>
      <errorWord>序号</errorWord>
      <group>L1_Word</group>
      <groupName>字词问题</groupName>
      <ability>L2_Typo</ability>
      <abilityName>字词错误</abilityName>
      <candidateList>
        <item> 序号</item>
      </candidateList>
      <explain/>
      <paraID>6A1D7A8C</paraID>
      <start>4</start>
      <end>6</end>
      <status>unmodified</status>
      <modifiedWord/>
      <trackRevisions>false</trackRevisions>
    </reviewItem>
    <reviewItem>
      <errorID>38aea8c3-2957-4022-9eca-bcb76dc2354f</errorID>
      <errorWord>油漆</errorWord>
      <group>L1_Punc</group>
      <groupName>标点问题</groupName>
      <ability>L2_Punc</ability>
      <abilityName>标点符号检查</abilityName>
      <candidateList>
        <item>：油漆</item>
      </candidateList>
      <explain/>
      <paraID>6A1D7A8C</paraID>
      <start>7</start>
      <end>9</end>
      <status>unmodified</status>
      <modifiedWord/>
      <trackRevisions>false</trackRevisions>
    </reviewItem>
    <reviewItem>
      <errorID>a3fb6f50-efcc-4005-8081-28f5941c982c</errorID>
      <errorWord>序号</errorWord>
      <group>L1_Word</group>
      <groupName>字词问题</groupName>
      <ability>L2_Typo</ability>
      <abilityName>字词错误</abilityName>
      <candidateList>
        <item> 序号</item>
      </candidateList>
      <explain/>
      <paraID>221AF767</paraID>
      <start>2</start>
      <end>4</end>
      <status>unmodified</status>
      <modifiedWord/>
      <trackRevisions>false</trackRevisions>
    </reviewItem>
    <reviewItem>
      <errorID>78d453b5-6610-48df-a3f0-9b6574647487</errorID>
      <errorWord>木</errorWord>
      <group>L1_Punc</group>
      <groupName>标点问题</groupName>
      <ability>L2_Punc</ability>
      <abilityName>标点符号检查</abilityName>
      <candidateList>
        <item>：木</item>
      </candidateList>
      <explain/>
      <paraID>221AF767</paraID>
      <start>9</start>
      <end>10</end>
      <status>unmodified</status>
      <modifiedWord/>
      <trackRevisions>false</trackRevisions>
    </reviewItem>
    <reviewItem>
      <errorID>fb487b6e-7768-4da9-bf8a-634a15a7f944</errorID>
      <errorWord>(</errorWord>
      <group>L1_Format</group>
      <groupName>格式问题</groupName>
      <ability>L2_HalfPunc</ability>
      <abilityName>全半角检查</abilityName>
      <candidateList>
        <item>（</item>
      </candidateList>
      <explain>文本全半角错误。</explain>
      <paraID>31ED2E49</paraID>
      <start>0</start>
      <end>1</end>
      <status>unmodified</status>
      <modifiedWord/>
      <trackRevisions>false</trackRevisions>
    </reviewItem>
    <reviewItem>
      <errorID>964bbff4-3741-41b8-8594-9d7b17ba4606</errorID>
      <errorWord>序号</errorWord>
      <group>L1_Word</group>
      <groupName>字词问题</groupName>
      <ability>L2_Typo</ability>
      <abilityName>字词错误</abilityName>
      <candidateList>
        <item> 序号</item>
      </candidateList>
      <explain/>
      <paraID>127DC7CB</paraID>
      <start>4</start>
      <end>6</end>
      <status>unmodified</status>
      <modifiedWord/>
      <trackRevisions>false</trackRevisions>
    </reviewItem>
    <reviewItem>
      <errorID>e50409ce-ded8-4347-a730-45c57b4e3aec</errorID>
      <errorWord>油漆</errorWord>
      <group>L1_Punc</group>
      <groupName>标点问题</groupName>
      <ability>L2_Punc</ability>
      <abilityName>标点符号检查</abilityName>
      <candidateList>
        <item>：油漆</item>
      </candidateList>
      <explain/>
      <paraID>127DC7CB</paraID>
      <start>7</start>
      <end>9</end>
      <status>unmodified</status>
      <modifiedWord/>
      <trackRevisions>false</trackRevisions>
    </reviewItem>
    <reviewItem>
      <errorID>7fae8823-4b7a-4ca2-830a-dff6ff99b57d</errorID>
      <errorWord>序号</errorWord>
      <group>L1_Word</group>
      <groupName>字词问题</groupName>
      <ability>L2_Typo</ability>
      <abilityName>字词错误</abilityName>
      <candidateList>
        <item> 序号</item>
      </candidateList>
      <explain/>
      <paraID>77598DC0</paraID>
      <start>2</start>
      <end>4</end>
      <status>unmodified</status>
      <modifiedWord/>
      <trackRevisions>false</trackRevisions>
    </reviewItem>
    <reviewItem>
      <errorID>86c2799a-b04d-4b00-ab58-4b73a7b995d2</errorID>
      <errorWord>木</errorWord>
      <group>L1_Punc</group>
      <groupName>标点问题</groupName>
      <ability>L2_Punc</ability>
      <abilityName>标点符号检查</abilityName>
      <candidateList>
        <item>：木</item>
      </candidateList>
      <explain/>
      <paraID>77598DC0</paraID>
      <start>9</start>
      <end>10</end>
      <status>unmodified</status>
      <modifiedWord/>
      <trackRevisions>false</trackRevisions>
    </reviewItem>
    <reviewItem>
      <errorID>3b30b196-bb59-4cbe-bcd1-c23a931ede60</errorID>
      <errorWord>(</errorWord>
      <group>L1_Format</group>
      <groupName>格式问题</groupName>
      <ability>L2_HalfPunc</ability>
      <abilityName>全半角检查</abilityName>
      <candidateList>
        <item>（</item>
      </candidateList>
      <explain>文本全半角错误。</explain>
      <paraID>6F44B504</paraID>
      <start>0</start>
      <end>1</end>
      <status>unmodified</status>
      <modifiedWord/>
      <trackRevisions>false</trackRevisions>
    </reviewItem>
    <reviewItem>
      <errorID>b8c1690c-c752-4954-bbeb-157122c31faa</errorID>
      <errorWord>序号</errorWord>
      <group>L1_Word</group>
      <groupName>字词问题</groupName>
      <ability>L2_Typo</ability>
      <abilityName>字词错误</abilityName>
      <candidateList>
        <item> 序号</item>
      </candidateList>
      <explain/>
      <paraID>6379D3A5</paraID>
      <start>4</start>
      <end>6</end>
      <status>unmodified</status>
      <modifiedWord/>
      <trackRevisions>false</trackRevisions>
    </reviewItem>
    <reviewItem>
      <errorID>01e9c2aa-59df-4f05-bc60-84a0f8c0dfd7</errorID>
      <errorWord>项目</errorWord>
      <group>L1_Punc</group>
      <groupName>标点问题</groupName>
      <ability>L2_Punc</ability>
      <abilityName>标点符号检查</abilityName>
      <candidateList>
        <item>：项目</item>
      </candidateList>
      <explain/>
      <paraID>6379D3A5</paraID>
      <start>7</start>
      <end>9</end>
      <status>unmodified</status>
      <modifiedWord/>
      <trackRevisions>false</trackRevisions>
    </reviewItem>
    <reviewItem>
      <errorID>e475a973-0b16-4fa7-b8d2-040ec3191de0</errorID>
      <errorWord>(</errorWord>
      <group>L1_Format</group>
      <groupName>格式问题</groupName>
      <ability>L2_HalfPunc</ability>
      <abilityName>全半角检查</abilityName>
      <candidateList>
        <item>（</item>
      </candidateList>
      <explain>文本全半角错误。</explain>
      <paraID>51B46611</paraID>
      <start>0</start>
      <end>1</end>
      <status>unmodified</status>
      <modifiedWord/>
      <trackRevisions>false</trackRevisions>
    </reviewItem>
    <reviewItem>
      <errorID>c1845a3c-34cb-49ab-84fe-1efeea6e6636</errorID>
      <errorWord>序号</errorWord>
      <group>L1_Word</group>
      <groupName>字词问题</groupName>
      <ability>L2_Typo</ability>
      <abilityName>字词错误</abilityName>
      <candidateList>
        <item> 序号</item>
      </candidateList>
      <explain/>
      <paraID>75D55417</paraID>
      <start>4</start>
      <end>6</end>
      <status>unmodified</status>
      <modifiedWord/>
      <trackRevisions>false</trackRevisions>
    </reviewItem>
    <reviewItem>
      <errorID>15aff0ae-633f-43c5-b8d0-5551a65c4780</errorID>
      <errorWord>项目</errorWord>
      <group>L1_Punc</group>
      <groupName>标点问题</groupName>
      <ability>L2_Punc</ability>
      <abilityName>标点符号检查</abilityName>
      <candidateList>
        <item>：项目</item>
      </candidateList>
      <explain/>
      <paraID>75D55417</paraID>
      <start>7</start>
      <end>9</end>
      <status>unmodified</status>
      <modifiedWord/>
      <trackRevisions>false</trackRevisions>
    </reviewItem>
  </reviewItems>
  <config/>
</contractReview>
</file>

<file path=customXml/itemProps1.xml><?xml version="1.0" encoding="utf-8"?>
<ds:datastoreItem xmlns:ds="http://schemas.openxmlformats.org/officeDocument/2006/customXml" ds:itemID="{2641d222-0809-4870-85d8-fc916f4d2ff7}">
  <ds:schemaRefs/>
</ds:datastoreItem>
</file>

<file path=docProps/app.xml><?xml version="1.0" encoding="utf-8"?>
<Properties xmlns="http://schemas.openxmlformats.org/officeDocument/2006/extended-properties" xmlns:vt="http://schemas.openxmlformats.org/officeDocument/2006/docPropsVTypes">
  <Template>Normal</Template>
  <Pages>3</Pages>
  <Words>1098</Words>
  <Characters>1476</Characters>
  <Lines>35</Lines>
  <Paragraphs>9</Paragraphs>
  <TotalTime>7</TotalTime>
  <ScaleCrop>false</ScaleCrop>
  <LinksUpToDate>false</LinksUpToDate>
  <CharactersWithSpaces>1539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2024-03-14T00:55:00Z</dcterms:created>
  <dc:creator>huanghongyu</dc:creator>
  <cp:lastModifiedBy>王达达</cp:lastModifiedBy>
  <dcterms:modified xsi:type="dcterms:W3CDTF">2026-04-07T09:23:31Z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eyJoZGlkIjoiMzA2OWU5ODBiYTQ1ZDhlNWNhMGE0ZmQ3OWIzYWVkMDIiLCJ1c2VySWQiOiIxMTYxMTc2NjMxIn0=</vt:lpwstr>
  </property>
  <property fmtid="{D5CDD505-2E9C-101B-9397-08002B2CF9AE}" pid="3" name="KSOProductBuildVer">
    <vt:lpwstr>2052-12.1.0.24657</vt:lpwstr>
  </property>
  <property fmtid="{D5CDD505-2E9C-101B-9397-08002B2CF9AE}" pid="4" name="ICV">
    <vt:lpwstr>3FF8ABCBDA964273A030508B08D7F336_13</vt:lpwstr>
  </property>
</Properties>
</file>