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05E273">
      <w:pPr>
        <w:snapToGrid w:val="0"/>
        <w:spacing w:line="440" w:lineRule="exact"/>
        <w:jc w:val="center"/>
        <w:rPr>
          <w:rFonts w:hint="eastAsia"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重庆市</w:t>
      </w:r>
      <w:r>
        <w:rPr>
          <w:rFonts w:hint="eastAsia" w:ascii="方正小标宋简体" w:hAnsi="仿宋" w:eastAsia="方正小标宋简体" w:cs="方正仿宋简体"/>
          <w:color w:val="000000"/>
          <w:sz w:val="32"/>
          <w:szCs w:val="32"/>
          <w:lang w:val="en-US" w:eastAsia="zh-CN"/>
        </w:rPr>
        <w:t>婴幼儿床垫</w:t>
      </w:r>
      <w:r>
        <w:rPr>
          <w:rFonts w:hint="eastAsia" w:ascii="方正小标宋简体" w:hAnsi="仿宋" w:eastAsia="方正小标宋简体" w:cs="方正仿宋简体"/>
          <w:color w:val="000000"/>
          <w:sz w:val="32"/>
          <w:szCs w:val="32"/>
        </w:rPr>
        <w:t>产品质量监督抽查实施细则</w:t>
      </w:r>
    </w:p>
    <w:p w14:paraId="06073567">
      <w:pPr>
        <w:snapToGrid w:val="0"/>
        <w:spacing w:line="440" w:lineRule="exact"/>
        <w:jc w:val="center"/>
        <w:rPr>
          <w:rFonts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（2</w:t>
      </w:r>
      <w:r>
        <w:rPr>
          <w:rFonts w:ascii="方正小标宋简体" w:hAnsi="仿宋" w:eastAsia="方正小标宋简体" w:cs="方正仿宋简体"/>
          <w:color w:val="000000"/>
          <w:sz w:val="32"/>
          <w:szCs w:val="32"/>
        </w:rPr>
        <w:t>02</w:t>
      </w:r>
      <w:r>
        <w:rPr>
          <w:rFonts w:hint="eastAsia" w:ascii="方正小标宋简体" w:hAnsi="仿宋" w:eastAsia="方正小标宋简体" w:cs="方正仿宋简体"/>
          <w:color w:val="000000"/>
          <w:sz w:val="32"/>
          <w:szCs w:val="32"/>
          <w:lang w:val="en-US" w:eastAsia="zh-CN"/>
        </w:rPr>
        <w:t>6</w:t>
      </w:r>
      <w:r>
        <w:rPr>
          <w:rFonts w:hint="eastAsia" w:ascii="方正小标宋简体" w:hAnsi="仿宋" w:eastAsia="方正小标宋简体" w:cs="方正仿宋简体"/>
          <w:color w:val="000000"/>
          <w:sz w:val="32"/>
          <w:szCs w:val="32"/>
        </w:rPr>
        <w:t>年</w:t>
      </w:r>
      <w:r>
        <w:rPr>
          <w:rFonts w:hint="eastAsia" w:ascii="方正小标宋简体" w:hAnsi="仿宋" w:eastAsia="方正小标宋简体" w:cs="方正仿宋简体"/>
          <w:color w:val="000000"/>
          <w:sz w:val="32"/>
          <w:szCs w:val="32"/>
          <w:lang w:val="en-US" w:eastAsia="zh-CN"/>
        </w:rPr>
        <w:t>版</w:t>
      </w:r>
      <w:r>
        <w:rPr>
          <w:rFonts w:hint="eastAsia" w:ascii="方正小标宋简体" w:hAnsi="仿宋" w:eastAsia="方正小标宋简体" w:cs="方正仿宋简体"/>
          <w:color w:val="000000"/>
          <w:sz w:val="32"/>
          <w:szCs w:val="32"/>
        </w:rPr>
        <w:t>）</w:t>
      </w:r>
    </w:p>
    <w:p w14:paraId="596CBE00">
      <w:pPr>
        <w:snapToGrid w:val="0"/>
        <w:spacing w:line="360" w:lineRule="auto"/>
        <w:jc w:val="left"/>
        <w:rPr>
          <w:rFonts w:hint="eastAsia" w:ascii="黑体" w:hAnsi="宋体" w:eastAsia="黑体"/>
          <w:szCs w:val="21"/>
        </w:rPr>
      </w:pPr>
    </w:p>
    <w:p w14:paraId="5EDD00D7">
      <w:pPr>
        <w:snapToGrid w:val="0"/>
        <w:spacing w:line="360" w:lineRule="auto"/>
        <w:jc w:val="left"/>
        <w:rPr>
          <w:rFonts w:ascii="黑体" w:hAnsi="宋体" w:eastAsia="黑体"/>
          <w:szCs w:val="21"/>
        </w:rPr>
      </w:pPr>
      <w:r>
        <w:rPr>
          <w:rFonts w:hint="eastAsia" w:ascii="黑体" w:hAnsi="宋体" w:eastAsia="黑体"/>
          <w:szCs w:val="21"/>
        </w:rPr>
        <w:t>1 抽样方法</w:t>
      </w:r>
    </w:p>
    <w:p w14:paraId="15A1B4B9">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14:paraId="21C8BB69">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14:paraId="38D4EBBD">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每批次抽取样品</w:t>
      </w:r>
      <w:r>
        <w:rPr>
          <w:rFonts w:hint="eastAsia" w:ascii="宋体" w:hAnsi="宋体"/>
          <w:color w:val="000000"/>
          <w:szCs w:val="21"/>
          <w:lang w:val="en-US" w:eastAsia="zh-CN"/>
        </w:rPr>
        <w:t>2</w:t>
      </w:r>
      <w:r>
        <w:rPr>
          <w:rFonts w:hint="eastAsia" w:ascii="宋体" w:hAnsi="宋体"/>
          <w:color w:val="000000"/>
          <w:szCs w:val="21"/>
        </w:rPr>
        <w:t>件，其中</w:t>
      </w:r>
      <w:r>
        <w:rPr>
          <w:rFonts w:hint="eastAsia" w:ascii="宋体" w:hAnsi="宋体"/>
          <w:color w:val="000000"/>
          <w:szCs w:val="21"/>
          <w:lang w:val="en-US" w:eastAsia="zh-CN"/>
        </w:rPr>
        <w:t>1</w:t>
      </w:r>
      <w:r>
        <w:rPr>
          <w:rFonts w:hint="eastAsia" w:ascii="宋体" w:hAnsi="宋体"/>
          <w:color w:val="000000"/>
          <w:szCs w:val="21"/>
        </w:rPr>
        <w:t>件作为检验样品，1件作为备用样品。</w:t>
      </w:r>
    </w:p>
    <w:p w14:paraId="4851D938">
      <w:pPr>
        <w:snapToGrid w:val="0"/>
        <w:spacing w:line="440" w:lineRule="exact"/>
        <w:ind w:firstLine="420" w:firstLineChars="200"/>
        <w:rPr>
          <w:rFonts w:hint="eastAsia" w:ascii="宋体" w:hAnsi="宋体"/>
          <w:color w:val="000000"/>
          <w:szCs w:val="21"/>
        </w:rPr>
      </w:pPr>
    </w:p>
    <w:p w14:paraId="44FB63BF">
      <w:pPr>
        <w:snapToGrid w:val="0"/>
        <w:spacing w:line="440" w:lineRule="exact"/>
        <w:rPr>
          <w:rFonts w:hint="eastAsia" w:ascii="黑体" w:hAnsi="宋体" w:eastAsia="黑体"/>
          <w:szCs w:val="21"/>
        </w:rPr>
      </w:pPr>
      <w:r>
        <w:rPr>
          <w:rFonts w:hint="eastAsia" w:ascii="黑体" w:hAnsi="宋体" w:eastAsia="黑体"/>
          <w:szCs w:val="21"/>
        </w:rPr>
        <w:t>2 检验依据</w:t>
      </w:r>
    </w:p>
    <w:p w14:paraId="4AE3AB6C">
      <w:pPr>
        <w:snapToGrid w:val="0"/>
        <w:spacing w:line="440" w:lineRule="exact"/>
        <w:ind w:firstLine="200"/>
        <w:jc w:val="center"/>
        <w:rPr>
          <w:szCs w:val="21"/>
        </w:rPr>
      </w:pPr>
      <w:r>
        <w:rPr>
          <w:szCs w:val="21"/>
        </w:rPr>
        <w:t>表</w:t>
      </w:r>
      <w:r>
        <w:rPr>
          <w:rFonts w:hint="eastAsia"/>
          <w:szCs w:val="21"/>
          <w:lang w:val="en-US" w:eastAsia="zh-CN"/>
        </w:rPr>
        <w:t>1</w:t>
      </w:r>
      <w:r>
        <w:rPr>
          <w:szCs w:val="21"/>
        </w:rPr>
        <w:t>棕纤维弹性床垫</w:t>
      </w:r>
      <w:r>
        <w:rPr>
          <w:rFonts w:hint="eastAsia" w:ascii="宋体" w:hAnsi="宋体" w:eastAsia="宋体" w:cs="宋体"/>
          <w:szCs w:val="21"/>
          <w:lang w:eastAsia="zh-CN"/>
        </w:rPr>
        <w:t>（</w:t>
      </w:r>
      <w:r>
        <w:rPr>
          <w:rFonts w:hint="eastAsia" w:ascii="宋体" w:hAnsi="宋体" w:eastAsia="宋体" w:cs="宋体"/>
          <w:szCs w:val="21"/>
        </w:rPr>
        <w:t>GB/T 26706—2011</w:t>
      </w:r>
      <w:r>
        <w:rPr>
          <w:rFonts w:hint="eastAsia" w:ascii="宋体" w:hAnsi="宋体" w:eastAsia="宋体" w:cs="宋体"/>
          <w:szCs w:val="21"/>
          <w:lang w:eastAsia="zh-CN"/>
        </w:rPr>
        <w:t>）</w:t>
      </w:r>
    </w:p>
    <w:tbl>
      <w:tblPr>
        <w:tblStyle w:val="11"/>
        <w:tblW w:w="475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0"/>
        <w:gridCol w:w="1450"/>
        <w:gridCol w:w="3366"/>
        <w:gridCol w:w="3300"/>
      </w:tblGrid>
      <w:tr w14:paraId="12039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4" w:hRule="atLeast"/>
          <w:jc w:val="center"/>
        </w:trPr>
        <w:tc>
          <w:tcPr>
            <w:tcW w:w="344" w:type="pct"/>
            <w:tcBorders>
              <w:top w:val="single" w:color="auto" w:sz="4" w:space="0"/>
              <w:left w:val="single" w:color="auto" w:sz="4" w:space="0"/>
              <w:bottom w:val="single" w:color="auto" w:sz="4" w:space="0"/>
              <w:right w:val="single" w:color="auto" w:sz="4" w:space="0"/>
            </w:tcBorders>
            <w:noWrap w:val="0"/>
            <w:vAlign w:val="center"/>
          </w:tcPr>
          <w:p w14:paraId="54A89188">
            <w:pPr>
              <w:snapToGrid w:val="0"/>
              <w:spacing w:line="300" w:lineRule="exact"/>
              <w:jc w:val="center"/>
              <w:rPr>
                <w:rFonts w:hint="eastAsia" w:ascii="宋体" w:hAnsi="宋体" w:eastAsia="宋体" w:cs="宋体"/>
                <w:szCs w:val="21"/>
              </w:rPr>
            </w:pPr>
            <w:r>
              <w:rPr>
                <w:rFonts w:hint="eastAsia" w:ascii="宋体" w:hAnsi="宋体" w:eastAsia="宋体" w:cs="宋体"/>
                <w:szCs w:val="21"/>
              </w:rPr>
              <w:t>序号</w:t>
            </w:r>
          </w:p>
        </w:tc>
        <w:tc>
          <w:tcPr>
            <w:tcW w:w="2763" w:type="pct"/>
            <w:gridSpan w:val="2"/>
            <w:noWrap w:val="0"/>
            <w:vAlign w:val="center"/>
          </w:tcPr>
          <w:p w14:paraId="5C06582B">
            <w:pPr>
              <w:snapToGrid w:val="0"/>
              <w:spacing w:line="300" w:lineRule="exact"/>
              <w:jc w:val="center"/>
              <w:rPr>
                <w:rFonts w:hint="eastAsia" w:ascii="宋体" w:hAnsi="宋体" w:eastAsia="宋体" w:cs="宋体"/>
                <w:szCs w:val="21"/>
              </w:rPr>
            </w:pPr>
            <w:r>
              <w:rPr>
                <w:rFonts w:hint="eastAsia" w:ascii="宋体" w:hAnsi="宋体" w:eastAsia="宋体" w:cs="宋体"/>
                <w:szCs w:val="21"/>
              </w:rPr>
              <w:t>检验项目</w:t>
            </w:r>
          </w:p>
        </w:tc>
        <w:tc>
          <w:tcPr>
            <w:tcW w:w="1892" w:type="pct"/>
            <w:noWrap w:val="0"/>
            <w:vAlign w:val="center"/>
          </w:tcPr>
          <w:p w14:paraId="49258283">
            <w:pPr>
              <w:snapToGrid w:val="0"/>
              <w:spacing w:line="300" w:lineRule="exact"/>
              <w:jc w:val="center"/>
              <w:rPr>
                <w:rFonts w:hint="eastAsia" w:ascii="宋体" w:hAnsi="宋体" w:eastAsia="宋体" w:cs="宋体"/>
                <w:szCs w:val="21"/>
              </w:rPr>
            </w:pPr>
            <w:r>
              <w:rPr>
                <w:rFonts w:hint="eastAsia" w:ascii="宋体" w:hAnsi="宋体" w:eastAsia="宋体" w:cs="宋体"/>
                <w:szCs w:val="21"/>
              </w:rPr>
              <w:t>检验方法</w:t>
            </w:r>
          </w:p>
        </w:tc>
      </w:tr>
      <w:tr w14:paraId="2C78F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4" w:hRule="atLeast"/>
          <w:jc w:val="center"/>
        </w:trPr>
        <w:tc>
          <w:tcPr>
            <w:tcW w:w="344" w:type="pct"/>
            <w:tcBorders>
              <w:top w:val="single" w:color="auto" w:sz="4" w:space="0"/>
              <w:left w:val="single" w:color="auto" w:sz="4" w:space="0"/>
              <w:bottom w:val="single" w:color="auto" w:sz="4" w:space="0"/>
              <w:right w:val="single" w:color="auto" w:sz="4" w:space="0"/>
            </w:tcBorders>
            <w:noWrap w:val="0"/>
            <w:vAlign w:val="center"/>
          </w:tcPr>
          <w:p w14:paraId="5C4AA06C">
            <w:pPr>
              <w:pStyle w:val="6"/>
              <w:spacing w:line="300" w:lineRule="exact"/>
              <w:jc w:val="center"/>
              <w:rPr>
                <w:rFonts w:hint="eastAsia" w:ascii="宋体" w:hAnsi="宋体" w:eastAsia="宋体" w:cs="宋体"/>
                <w:kern w:val="2"/>
                <w:sz w:val="21"/>
                <w:szCs w:val="21"/>
              </w:rPr>
            </w:pPr>
            <w:r>
              <w:rPr>
                <w:rFonts w:hint="eastAsia" w:ascii="宋体" w:hAnsi="宋体" w:eastAsia="宋体" w:cs="宋体"/>
                <w:kern w:val="2"/>
                <w:sz w:val="21"/>
                <w:szCs w:val="21"/>
              </w:rPr>
              <w:t>1</w:t>
            </w:r>
          </w:p>
        </w:tc>
        <w:tc>
          <w:tcPr>
            <w:tcW w:w="2763" w:type="pct"/>
            <w:gridSpan w:val="2"/>
            <w:noWrap w:val="0"/>
            <w:vAlign w:val="center"/>
          </w:tcPr>
          <w:p w14:paraId="39CBCACA">
            <w:pPr>
              <w:spacing w:line="300" w:lineRule="exact"/>
              <w:jc w:val="center"/>
              <w:rPr>
                <w:rFonts w:hint="eastAsia" w:ascii="宋体" w:hAnsi="宋体" w:eastAsia="宋体" w:cs="宋体"/>
                <w:szCs w:val="21"/>
              </w:rPr>
            </w:pPr>
            <w:r>
              <w:rPr>
                <w:rFonts w:hint="eastAsia" w:ascii="宋体" w:hAnsi="宋体" w:eastAsia="宋体" w:cs="宋体"/>
                <w:szCs w:val="21"/>
              </w:rPr>
              <w:t>面料及复合面料物理性能—耐摩擦色牢度</w:t>
            </w:r>
          </w:p>
        </w:tc>
        <w:tc>
          <w:tcPr>
            <w:tcW w:w="1892" w:type="pct"/>
            <w:noWrap w:val="0"/>
            <w:vAlign w:val="center"/>
          </w:tcPr>
          <w:p w14:paraId="7B3B5266">
            <w:pPr>
              <w:spacing w:line="300" w:lineRule="exact"/>
              <w:jc w:val="center"/>
              <w:rPr>
                <w:rFonts w:hint="eastAsia" w:ascii="宋体" w:hAnsi="宋体" w:eastAsia="宋体" w:cs="宋体"/>
                <w:szCs w:val="21"/>
              </w:rPr>
            </w:pPr>
            <w:r>
              <w:rPr>
                <w:rFonts w:hint="eastAsia" w:ascii="宋体" w:hAnsi="宋体" w:eastAsia="宋体" w:cs="宋体"/>
                <w:szCs w:val="21"/>
              </w:rPr>
              <w:t>GB/T 3920—2008</w:t>
            </w:r>
          </w:p>
        </w:tc>
      </w:tr>
      <w:tr w14:paraId="5A7D8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 w:hRule="atLeast"/>
          <w:jc w:val="center"/>
        </w:trPr>
        <w:tc>
          <w:tcPr>
            <w:tcW w:w="344" w:type="pct"/>
            <w:vMerge w:val="restart"/>
            <w:tcBorders>
              <w:top w:val="single" w:color="auto" w:sz="4" w:space="0"/>
              <w:left w:val="single" w:color="auto" w:sz="4" w:space="0"/>
              <w:right w:val="single" w:color="auto" w:sz="4" w:space="0"/>
            </w:tcBorders>
            <w:noWrap w:val="0"/>
            <w:vAlign w:val="center"/>
          </w:tcPr>
          <w:p w14:paraId="6F2D12BE">
            <w:pPr>
              <w:pStyle w:val="6"/>
              <w:spacing w:line="300" w:lineRule="exact"/>
              <w:jc w:val="center"/>
              <w:rPr>
                <w:rFonts w:hint="eastAsia" w:ascii="宋体" w:hAnsi="宋体" w:eastAsia="宋体" w:cs="宋体"/>
                <w:kern w:val="2"/>
                <w:sz w:val="21"/>
                <w:szCs w:val="21"/>
              </w:rPr>
            </w:pPr>
            <w:r>
              <w:rPr>
                <w:rFonts w:hint="eastAsia" w:ascii="宋体" w:hAnsi="宋体" w:eastAsia="宋体" w:cs="宋体"/>
                <w:kern w:val="2"/>
                <w:sz w:val="21"/>
                <w:szCs w:val="21"/>
              </w:rPr>
              <w:t>2</w:t>
            </w:r>
          </w:p>
        </w:tc>
        <w:tc>
          <w:tcPr>
            <w:tcW w:w="832" w:type="pct"/>
            <w:vMerge w:val="restart"/>
            <w:noWrap w:val="0"/>
            <w:vAlign w:val="center"/>
          </w:tcPr>
          <w:p w14:paraId="5ADC9DA8">
            <w:pPr>
              <w:spacing w:line="300" w:lineRule="exact"/>
              <w:jc w:val="center"/>
              <w:rPr>
                <w:rFonts w:hint="eastAsia" w:ascii="宋体" w:hAnsi="宋体" w:eastAsia="宋体" w:cs="宋体"/>
                <w:szCs w:val="21"/>
              </w:rPr>
            </w:pPr>
            <w:r>
              <w:rPr>
                <w:rFonts w:hint="eastAsia" w:ascii="宋体" w:hAnsi="宋体" w:eastAsia="宋体" w:cs="宋体"/>
                <w:szCs w:val="21"/>
              </w:rPr>
              <w:t>芯料物理性能</w:t>
            </w:r>
          </w:p>
        </w:tc>
        <w:tc>
          <w:tcPr>
            <w:tcW w:w="1931" w:type="pct"/>
            <w:noWrap w:val="0"/>
            <w:vAlign w:val="center"/>
          </w:tcPr>
          <w:p w14:paraId="13EA9FD1">
            <w:pPr>
              <w:spacing w:line="300" w:lineRule="exact"/>
              <w:jc w:val="center"/>
              <w:rPr>
                <w:rFonts w:hint="eastAsia" w:ascii="宋体" w:hAnsi="宋体" w:eastAsia="宋体" w:cs="宋体"/>
                <w:szCs w:val="21"/>
              </w:rPr>
            </w:pPr>
            <w:r>
              <w:rPr>
                <w:rFonts w:hint="eastAsia" w:ascii="宋体" w:hAnsi="宋体" w:eastAsia="宋体" w:cs="宋体"/>
                <w:szCs w:val="21"/>
              </w:rPr>
              <w:t>含水率</w:t>
            </w:r>
          </w:p>
        </w:tc>
        <w:tc>
          <w:tcPr>
            <w:tcW w:w="1892" w:type="pct"/>
            <w:noWrap w:val="0"/>
            <w:vAlign w:val="center"/>
          </w:tcPr>
          <w:p w14:paraId="62C3384C">
            <w:pPr>
              <w:spacing w:line="300" w:lineRule="exact"/>
              <w:jc w:val="center"/>
              <w:rPr>
                <w:rFonts w:hint="eastAsia" w:ascii="宋体" w:hAnsi="宋体" w:eastAsia="宋体" w:cs="宋体"/>
                <w:szCs w:val="21"/>
              </w:rPr>
            </w:pPr>
            <w:r>
              <w:rPr>
                <w:rFonts w:hint="eastAsia" w:ascii="宋体" w:hAnsi="宋体" w:eastAsia="宋体" w:cs="宋体"/>
                <w:szCs w:val="21"/>
              </w:rPr>
              <w:t>GB/T 26706—2011</w:t>
            </w:r>
          </w:p>
        </w:tc>
      </w:tr>
      <w:tr w14:paraId="6990A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 w:hRule="atLeast"/>
          <w:jc w:val="center"/>
        </w:trPr>
        <w:tc>
          <w:tcPr>
            <w:tcW w:w="344" w:type="pct"/>
            <w:vMerge w:val="continue"/>
            <w:tcBorders>
              <w:left w:val="single" w:color="auto" w:sz="4" w:space="0"/>
              <w:bottom w:val="single" w:color="auto" w:sz="4" w:space="0"/>
              <w:right w:val="single" w:color="auto" w:sz="4" w:space="0"/>
            </w:tcBorders>
            <w:noWrap w:val="0"/>
            <w:vAlign w:val="center"/>
          </w:tcPr>
          <w:p w14:paraId="43244492">
            <w:pPr>
              <w:pStyle w:val="6"/>
              <w:spacing w:line="300" w:lineRule="exact"/>
              <w:jc w:val="center"/>
              <w:rPr>
                <w:rFonts w:hint="eastAsia" w:ascii="宋体" w:hAnsi="宋体" w:eastAsia="宋体" w:cs="宋体"/>
                <w:kern w:val="2"/>
                <w:sz w:val="21"/>
                <w:szCs w:val="21"/>
              </w:rPr>
            </w:pPr>
          </w:p>
        </w:tc>
        <w:tc>
          <w:tcPr>
            <w:tcW w:w="832" w:type="pct"/>
            <w:vMerge w:val="continue"/>
            <w:noWrap w:val="0"/>
            <w:vAlign w:val="center"/>
          </w:tcPr>
          <w:p w14:paraId="0B3C91A0">
            <w:pPr>
              <w:spacing w:line="300" w:lineRule="exact"/>
              <w:jc w:val="center"/>
              <w:rPr>
                <w:rFonts w:hint="eastAsia" w:ascii="宋体" w:hAnsi="宋体" w:eastAsia="宋体" w:cs="宋体"/>
                <w:szCs w:val="21"/>
              </w:rPr>
            </w:pPr>
          </w:p>
        </w:tc>
        <w:tc>
          <w:tcPr>
            <w:tcW w:w="1931" w:type="pct"/>
            <w:noWrap w:val="0"/>
            <w:vAlign w:val="center"/>
          </w:tcPr>
          <w:p w14:paraId="2667D7A8">
            <w:pPr>
              <w:spacing w:line="300" w:lineRule="exact"/>
              <w:jc w:val="center"/>
              <w:rPr>
                <w:rFonts w:hint="eastAsia" w:ascii="宋体" w:hAnsi="宋体" w:eastAsia="宋体" w:cs="宋体"/>
                <w:szCs w:val="21"/>
              </w:rPr>
            </w:pPr>
            <w:r>
              <w:rPr>
                <w:rFonts w:hint="eastAsia" w:ascii="宋体" w:hAnsi="宋体" w:eastAsia="宋体" w:cs="宋体"/>
                <w:szCs w:val="21"/>
              </w:rPr>
              <w:t>压缩永久变形率</w:t>
            </w:r>
          </w:p>
        </w:tc>
        <w:tc>
          <w:tcPr>
            <w:tcW w:w="1892" w:type="pct"/>
            <w:noWrap w:val="0"/>
            <w:vAlign w:val="center"/>
          </w:tcPr>
          <w:p w14:paraId="137A223E">
            <w:pPr>
              <w:spacing w:line="300" w:lineRule="exact"/>
              <w:jc w:val="center"/>
              <w:rPr>
                <w:rFonts w:hint="eastAsia" w:ascii="宋体" w:hAnsi="宋体" w:eastAsia="宋体" w:cs="宋体"/>
                <w:szCs w:val="21"/>
              </w:rPr>
            </w:pPr>
            <w:r>
              <w:rPr>
                <w:rFonts w:hint="eastAsia" w:ascii="宋体" w:hAnsi="宋体" w:eastAsia="宋体" w:cs="宋体"/>
                <w:szCs w:val="21"/>
              </w:rPr>
              <w:t>GB/T 26706—2011</w:t>
            </w:r>
          </w:p>
        </w:tc>
      </w:tr>
      <w:tr w14:paraId="67891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 w:hRule="atLeast"/>
          <w:jc w:val="center"/>
        </w:trPr>
        <w:tc>
          <w:tcPr>
            <w:tcW w:w="344" w:type="pct"/>
            <w:tcBorders>
              <w:top w:val="single" w:color="auto" w:sz="4" w:space="0"/>
              <w:left w:val="single" w:color="auto" w:sz="4" w:space="0"/>
              <w:right w:val="single" w:color="auto" w:sz="4" w:space="0"/>
            </w:tcBorders>
            <w:noWrap w:val="0"/>
            <w:vAlign w:val="center"/>
          </w:tcPr>
          <w:p w14:paraId="6CF871FB">
            <w:pPr>
              <w:pStyle w:val="6"/>
              <w:spacing w:line="300" w:lineRule="exact"/>
              <w:jc w:val="center"/>
              <w:rPr>
                <w:rFonts w:hint="eastAsia" w:ascii="宋体" w:hAnsi="宋体" w:eastAsia="宋体" w:cs="宋体"/>
                <w:kern w:val="2"/>
                <w:sz w:val="21"/>
                <w:szCs w:val="21"/>
              </w:rPr>
            </w:pPr>
            <w:r>
              <w:rPr>
                <w:rFonts w:hint="eastAsia" w:ascii="宋体" w:hAnsi="宋体" w:eastAsia="宋体" w:cs="宋体"/>
                <w:kern w:val="2"/>
                <w:sz w:val="21"/>
                <w:szCs w:val="21"/>
              </w:rPr>
              <w:t>3</w:t>
            </w:r>
          </w:p>
        </w:tc>
        <w:tc>
          <w:tcPr>
            <w:tcW w:w="2763" w:type="pct"/>
            <w:gridSpan w:val="2"/>
            <w:noWrap w:val="0"/>
            <w:vAlign w:val="center"/>
          </w:tcPr>
          <w:p w14:paraId="08C2DA38">
            <w:pPr>
              <w:spacing w:line="300" w:lineRule="exact"/>
              <w:jc w:val="center"/>
              <w:rPr>
                <w:rFonts w:hint="eastAsia" w:ascii="宋体" w:hAnsi="宋体" w:eastAsia="宋体" w:cs="宋体"/>
                <w:szCs w:val="21"/>
              </w:rPr>
            </w:pPr>
            <w:r>
              <w:rPr>
                <w:rFonts w:hint="eastAsia" w:ascii="宋体" w:hAnsi="宋体" w:eastAsia="宋体" w:cs="宋体"/>
                <w:szCs w:val="21"/>
              </w:rPr>
              <w:t>安全卫生要求</w:t>
            </w:r>
          </w:p>
        </w:tc>
        <w:tc>
          <w:tcPr>
            <w:tcW w:w="1892" w:type="pct"/>
            <w:noWrap w:val="0"/>
            <w:vAlign w:val="center"/>
          </w:tcPr>
          <w:p w14:paraId="75E7C1E3">
            <w:pPr>
              <w:spacing w:line="300" w:lineRule="exact"/>
              <w:jc w:val="center"/>
              <w:rPr>
                <w:rFonts w:hint="eastAsia" w:ascii="宋体" w:hAnsi="宋体" w:eastAsia="宋体" w:cs="宋体"/>
                <w:szCs w:val="21"/>
              </w:rPr>
            </w:pPr>
            <w:r>
              <w:rPr>
                <w:rFonts w:hint="eastAsia" w:ascii="宋体" w:hAnsi="宋体" w:eastAsia="宋体" w:cs="宋体"/>
                <w:szCs w:val="21"/>
              </w:rPr>
              <w:t>GB/T 26706—2011</w:t>
            </w:r>
          </w:p>
        </w:tc>
      </w:tr>
      <w:tr w14:paraId="17E60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 w:hRule="atLeast"/>
          <w:jc w:val="center"/>
        </w:trPr>
        <w:tc>
          <w:tcPr>
            <w:tcW w:w="344" w:type="pct"/>
            <w:tcBorders>
              <w:left w:val="single" w:color="auto" w:sz="4" w:space="0"/>
              <w:bottom w:val="single" w:color="auto" w:sz="4" w:space="0"/>
              <w:right w:val="single" w:color="auto" w:sz="4" w:space="0"/>
            </w:tcBorders>
            <w:noWrap w:val="0"/>
            <w:vAlign w:val="center"/>
          </w:tcPr>
          <w:p w14:paraId="0FB5BAF2">
            <w:pPr>
              <w:pStyle w:val="6"/>
              <w:spacing w:line="300" w:lineRule="exact"/>
              <w:jc w:val="center"/>
              <w:rPr>
                <w:rFonts w:hint="eastAsia" w:ascii="宋体" w:hAnsi="宋体" w:eastAsia="宋体" w:cs="宋体"/>
                <w:kern w:val="2"/>
                <w:sz w:val="21"/>
                <w:szCs w:val="21"/>
              </w:rPr>
            </w:pPr>
            <w:r>
              <w:rPr>
                <w:rFonts w:hint="eastAsia" w:ascii="宋体" w:hAnsi="宋体" w:eastAsia="宋体" w:cs="宋体"/>
                <w:kern w:val="2"/>
                <w:sz w:val="21"/>
                <w:szCs w:val="21"/>
              </w:rPr>
              <w:t>4</w:t>
            </w:r>
          </w:p>
        </w:tc>
        <w:tc>
          <w:tcPr>
            <w:tcW w:w="2763" w:type="pct"/>
            <w:gridSpan w:val="2"/>
            <w:noWrap w:val="0"/>
            <w:vAlign w:val="center"/>
          </w:tcPr>
          <w:p w14:paraId="73E1E2A6">
            <w:pPr>
              <w:spacing w:line="300" w:lineRule="exact"/>
              <w:jc w:val="center"/>
              <w:rPr>
                <w:rFonts w:hint="eastAsia" w:ascii="宋体" w:hAnsi="宋体" w:eastAsia="宋体" w:cs="宋体"/>
                <w:szCs w:val="21"/>
              </w:rPr>
            </w:pPr>
            <w:r>
              <w:rPr>
                <w:rFonts w:hint="eastAsia" w:ascii="宋体" w:hAnsi="宋体" w:eastAsia="宋体" w:cs="宋体"/>
                <w:szCs w:val="21"/>
              </w:rPr>
              <w:t>耐久性要求</w:t>
            </w:r>
          </w:p>
        </w:tc>
        <w:tc>
          <w:tcPr>
            <w:tcW w:w="1892" w:type="pct"/>
            <w:noWrap w:val="0"/>
            <w:vAlign w:val="center"/>
          </w:tcPr>
          <w:p w14:paraId="0BA8A5D8">
            <w:pPr>
              <w:spacing w:line="300" w:lineRule="exact"/>
              <w:jc w:val="center"/>
              <w:rPr>
                <w:rFonts w:hint="eastAsia" w:ascii="宋体" w:hAnsi="宋体" w:eastAsia="宋体" w:cs="宋体"/>
                <w:szCs w:val="21"/>
              </w:rPr>
            </w:pPr>
            <w:r>
              <w:rPr>
                <w:rFonts w:hint="eastAsia" w:ascii="宋体" w:hAnsi="宋体" w:eastAsia="宋体" w:cs="宋体"/>
                <w:szCs w:val="21"/>
              </w:rPr>
              <w:t>GB/T 26706—2011</w:t>
            </w:r>
          </w:p>
        </w:tc>
      </w:tr>
      <w:tr w14:paraId="2924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 w:hRule="atLeast"/>
          <w:jc w:val="center"/>
        </w:trPr>
        <w:tc>
          <w:tcPr>
            <w:tcW w:w="344" w:type="pct"/>
            <w:tcBorders>
              <w:top w:val="single" w:color="auto" w:sz="4" w:space="0"/>
              <w:left w:val="single" w:color="auto" w:sz="4" w:space="0"/>
              <w:bottom w:val="single" w:color="auto" w:sz="4" w:space="0"/>
              <w:right w:val="single" w:color="auto" w:sz="4" w:space="0"/>
            </w:tcBorders>
            <w:noWrap w:val="0"/>
            <w:vAlign w:val="center"/>
          </w:tcPr>
          <w:p w14:paraId="2B6FECEA">
            <w:pPr>
              <w:pStyle w:val="6"/>
              <w:spacing w:line="300" w:lineRule="exact"/>
              <w:jc w:val="center"/>
              <w:rPr>
                <w:rFonts w:hint="eastAsia" w:ascii="宋体" w:hAnsi="宋体" w:eastAsia="宋体" w:cs="宋体"/>
                <w:kern w:val="2"/>
                <w:sz w:val="21"/>
                <w:szCs w:val="21"/>
              </w:rPr>
            </w:pPr>
            <w:r>
              <w:rPr>
                <w:rFonts w:hint="eastAsia" w:ascii="宋体" w:hAnsi="宋体" w:eastAsia="宋体" w:cs="宋体"/>
                <w:kern w:val="2"/>
                <w:sz w:val="21"/>
                <w:szCs w:val="21"/>
              </w:rPr>
              <w:t>5</w:t>
            </w:r>
          </w:p>
        </w:tc>
        <w:tc>
          <w:tcPr>
            <w:tcW w:w="2763" w:type="pct"/>
            <w:gridSpan w:val="2"/>
            <w:noWrap w:val="0"/>
            <w:vAlign w:val="center"/>
          </w:tcPr>
          <w:p w14:paraId="663939AA">
            <w:pPr>
              <w:spacing w:line="300" w:lineRule="exact"/>
              <w:jc w:val="center"/>
              <w:rPr>
                <w:rFonts w:hint="eastAsia" w:ascii="宋体" w:hAnsi="宋体" w:eastAsia="宋体" w:cs="宋体"/>
                <w:szCs w:val="21"/>
              </w:rPr>
            </w:pPr>
            <w:r>
              <w:rPr>
                <w:rFonts w:hint="eastAsia" w:ascii="宋体" w:hAnsi="宋体" w:eastAsia="宋体" w:cs="宋体"/>
                <w:szCs w:val="21"/>
              </w:rPr>
              <w:t>阻燃性能</w:t>
            </w:r>
          </w:p>
        </w:tc>
        <w:tc>
          <w:tcPr>
            <w:tcW w:w="1892" w:type="pct"/>
            <w:noWrap w:val="0"/>
            <w:vAlign w:val="center"/>
          </w:tcPr>
          <w:p w14:paraId="640491F7">
            <w:pPr>
              <w:spacing w:line="300" w:lineRule="exact"/>
              <w:jc w:val="center"/>
              <w:textAlignment w:val="center"/>
              <w:rPr>
                <w:rFonts w:hint="eastAsia" w:ascii="宋体" w:hAnsi="宋体" w:eastAsia="宋体" w:cs="宋体"/>
                <w:szCs w:val="21"/>
              </w:rPr>
            </w:pPr>
            <w:r>
              <w:rPr>
                <w:rFonts w:hint="eastAsia" w:ascii="宋体" w:hAnsi="宋体" w:eastAsia="宋体" w:cs="宋体"/>
                <w:szCs w:val="21"/>
              </w:rPr>
              <w:t>GB 17927—2024</w:t>
            </w:r>
          </w:p>
        </w:tc>
      </w:tr>
      <w:tr w14:paraId="02D70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 w:hRule="atLeast"/>
          <w:jc w:val="center"/>
        </w:trPr>
        <w:tc>
          <w:tcPr>
            <w:tcW w:w="344" w:type="pct"/>
            <w:tcBorders>
              <w:top w:val="single" w:color="auto" w:sz="4" w:space="0"/>
              <w:left w:val="single" w:color="auto" w:sz="4" w:space="0"/>
              <w:bottom w:val="single" w:color="auto" w:sz="4" w:space="0"/>
              <w:right w:val="single" w:color="auto" w:sz="4" w:space="0"/>
            </w:tcBorders>
            <w:noWrap w:val="0"/>
            <w:vAlign w:val="center"/>
          </w:tcPr>
          <w:p w14:paraId="72EB0CE2">
            <w:pPr>
              <w:pStyle w:val="6"/>
              <w:spacing w:line="300" w:lineRule="exact"/>
              <w:jc w:val="center"/>
              <w:rPr>
                <w:rFonts w:hint="eastAsia" w:ascii="宋体" w:hAnsi="宋体" w:eastAsia="宋体" w:cs="宋体"/>
                <w:kern w:val="2"/>
                <w:sz w:val="21"/>
                <w:szCs w:val="21"/>
              </w:rPr>
            </w:pPr>
            <w:r>
              <w:rPr>
                <w:rFonts w:hint="eastAsia" w:ascii="宋体" w:hAnsi="宋体" w:eastAsia="宋体" w:cs="宋体"/>
                <w:kern w:val="2"/>
                <w:sz w:val="21"/>
                <w:szCs w:val="21"/>
              </w:rPr>
              <w:t>6</w:t>
            </w:r>
          </w:p>
        </w:tc>
        <w:tc>
          <w:tcPr>
            <w:tcW w:w="832" w:type="pct"/>
            <w:vMerge w:val="restart"/>
            <w:noWrap w:val="0"/>
            <w:vAlign w:val="center"/>
          </w:tcPr>
          <w:p w14:paraId="697EFF01">
            <w:pPr>
              <w:spacing w:line="300" w:lineRule="exact"/>
              <w:jc w:val="center"/>
              <w:rPr>
                <w:rFonts w:hint="eastAsia" w:ascii="宋体" w:hAnsi="宋体" w:eastAsia="宋体" w:cs="宋体"/>
                <w:szCs w:val="21"/>
              </w:rPr>
            </w:pPr>
            <w:r>
              <w:rPr>
                <w:rFonts w:hint="eastAsia" w:ascii="宋体" w:hAnsi="宋体" w:eastAsia="宋体" w:cs="宋体"/>
                <w:szCs w:val="21"/>
              </w:rPr>
              <w:t>有害物质限量</w:t>
            </w:r>
          </w:p>
        </w:tc>
        <w:tc>
          <w:tcPr>
            <w:tcW w:w="1931" w:type="pct"/>
            <w:noWrap w:val="0"/>
            <w:vAlign w:val="center"/>
          </w:tcPr>
          <w:p w14:paraId="03899A4B">
            <w:pPr>
              <w:spacing w:line="300" w:lineRule="exact"/>
              <w:jc w:val="center"/>
              <w:rPr>
                <w:rFonts w:hint="eastAsia" w:ascii="宋体" w:hAnsi="宋体" w:eastAsia="宋体" w:cs="宋体"/>
                <w:szCs w:val="21"/>
              </w:rPr>
            </w:pPr>
            <w:r>
              <w:rPr>
                <w:rFonts w:hint="eastAsia" w:ascii="宋体" w:hAnsi="宋体" w:eastAsia="宋体" w:cs="宋体"/>
                <w:szCs w:val="21"/>
              </w:rPr>
              <w:t>甲醛</w:t>
            </w:r>
          </w:p>
        </w:tc>
        <w:tc>
          <w:tcPr>
            <w:tcW w:w="1892" w:type="pct"/>
            <w:noWrap w:val="0"/>
            <w:vAlign w:val="center"/>
          </w:tcPr>
          <w:p w14:paraId="371BBF80">
            <w:pPr>
              <w:spacing w:line="300" w:lineRule="exact"/>
              <w:jc w:val="center"/>
              <w:textAlignment w:val="center"/>
              <w:rPr>
                <w:rFonts w:hint="eastAsia" w:ascii="宋体" w:hAnsi="宋体" w:eastAsia="宋体" w:cs="宋体"/>
                <w:szCs w:val="21"/>
                <w:highlight w:val="yellow"/>
              </w:rPr>
            </w:pPr>
            <w:r>
              <w:rPr>
                <w:rFonts w:hint="eastAsia" w:ascii="宋体" w:hAnsi="宋体" w:eastAsia="宋体" w:cs="宋体"/>
                <w:szCs w:val="21"/>
              </w:rPr>
              <w:t>GB 18584—2024</w:t>
            </w:r>
          </w:p>
        </w:tc>
      </w:tr>
      <w:tr w14:paraId="54C25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 w:hRule="atLeast"/>
          <w:jc w:val="center"/>
        </w:trPr>
        <w:tc>
          <w:tcPr>
            <w:tcW w:w="344" w:type="pct"/>
            <w:tcBorders>
              <w:top w:val="single" w:color="auto" w:sz="4" w:space="0"/>
              <w:left w:val="single" w:color="auto" w:sz="4" w:space="0"/>
              <w:bottom w:val="single" w:color="auto" w:sz="4" w:space="0"/>
              <w:right w:val="single" w:color="auto" w:sz="4" w:space="0"/>
            </w:tcBorders>
            <w:noWrap w:val="0"/>
            <w:vAlign w:val="center"/>
          </w:tcPr>
          <w:p w14:paraId="2C2561C3">
            <w:pPr>
              <w:pStyle w:val="6"/>
              <w:spacing w:line="300" w:lineRule="exact"/>
              <w:jc w:val="center"/>
              <w:rPr>
                <w:rFonts w:hint="eastAsia" w:ascii="宋体" w:hAnsi="宋体" w:eastAsia="宋体" w:cs="宋体"/>
                <w:kern w:val="2"/>
                <w:sz w:val="21"/>
                <w:szCs w:val="21"/>
              </w:rPr>
            </w:pPr>
            <w:r>
              <w:rPr>
                <w:rFonts w:hint="eastAsia" w:ascii="宋体" w:hAnsi="宋体" w:eastAsia="宋体" w:cs="宋体"/>
                <w:kern w:val="2"/>
                <w:sz w:val="21"/>
                <w:szCs w:val="21"/>
              </w:rPr>
              <w:t>7</w:t>
            </w:r>
          </w:p>
        </w:tc>
        <w:tc>
          <w:tcPr>
            <w:tcW w:w="832" w:type="pct"/>
            <w:vMerge w:val="continue"/>
            <w:noWrap w:val="0"/>
            <w:vAlign w:val="center"/>
          </w:tcPr>
          <w:p w14:paraId="17EBDFBD">
            <w:pPr>
              <w:spacing w:line="300" w:lineRule="exact"/>
              <w:jc w:val="center"/>
              <w:rPr>
                <w:rFonts w:hint="eastAsia" w:ascii="宋体" w:hAnsi="宋体" w:eastAsia="宋体" w:cs="宋体"/>
                <w:szCs w:val="21"/>
              </w:rPr>
            </w:pPr>
          </w:p>
        </w:tc>
        <w:tc>
          <w:tcPr>
            <w:tcW w:w="1931" w:type="pct"/>
            <w:noWrap w:val="0"/>
            <w:vAlign w:val="center"/>
          </w:tcPr>
          <w:p w14:paraId="14CAD842">
            <w:pPr>
              <w:spacing w:line="300" w:lineRule="exact"/>
              <w:jc w:val="center"/>
              <w:rPr>
                <w:rFonts w:hint="eastAsia" w:ascii="宋体" w:hAnsi="宋体" w:eastAsia="宋体" w:cs="宋体"/>
                <w:szCs w:val="21"/>
              </w:rPr>
            </w:pPr>
            <w:r>
              <w:rPr>
                <w:rFonts w:hint="eastAsia" w:ascii="宋体" w:hAnsi="宋体" w:eastAsia="宋体" w:cs="宋体"/>
                <w:szCs w:val="21"/>
              </w:rPr>
              <w:t>苯</w:t>
            </w:r>
          </w:p>
        </w:tc>
        <w:tc>
          <w:tcPr>
            <w:tcW w:w="1892" w:type="pct"/>
            <w:noWrap w:val="0"/>
            <w:vAlign w:val="center"/>
          </w:tcPr>
          <w:p w14:paraId="165492A8">
            <w:pPr>
              <w:spacing w:line="300" w:lineRule="exact"/>
              <w:jc w:val="center"/>
              <w:textAlignment w:val="center"/>
              <w:rPr>
                <w:rFonts w:hint="eastAsia" w:ascii="宋体" w:hAnsi="宋体" w:eastAsia="宋体" w:cs="宋体"/>
                <w:szCs w:val="21"/>
              </w:rPr>
            </w:pPr>
            <w:r>
              <w:rPr>
                <w:rFonts w:hint="eastAsia" w:ascii="宋体" w:hAnsi="宋体" w:eastAsia="宋体" w:cs="宋体"/>
                <w:szCs w:val="21"/>
              </w:rPr>
              <w:t>GB 18584—2024</w:t>
            </w:r>
          </w:p>
        </w:tc>
      </w:tr>
      <w:tr w14:paraId="05010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 w:hRule="atLeast"/>
          <w:jc w:val="center"/>
        </w:trPr>
        <w:tc>
          <w:tcPr>
            <w:tcW w:w="344" w:type="pct"/>
            <w:tcBorders>
              <w:top w:val="single" w:color="auto" w:sz="4" w:space="0"/>
              <w:left w:val="single" w:color="auto" w:sz="4" w:space="0"/>
              <w:bottom w:val="single" w:color="auto" w:sz="4" w:space="0"/>
              <w:right w:val="single" w:color="auto" w:sz="4" w:space="0"/>
            </w:tcBorders>
            <w:noWrap w:val="0"/>
            <w:vAlign w:val="center"/>
          </w:tcPr>
          <w:p w14:paraId="45DBD5D5">
            <w:pPr>
              <w:pStyle w:val="6"/>
              <w:spacing w:line="300" w:lineRule="exact"/>
              <w:jc w:val="center"/>
              <w:rPr>
                <w:rFonts w:hint="eastAsia" w:ascii="宋体" w:hAnsi="宋体" w:eastAsia="宋体" w:cs="宋体"/>
                <w:kern w:val="2"/>
                <w:sz w:val="21"/>
                <w:szCs w:val="21"/>
              </w:rPr>
            </w:pPr>
            <w:r>
              <w:rPr>
                <w:rFonts w:hint="eastAsia" w:ascii="宋体" w:hAnsi="宋体" w:eastAsia="宋体" w:cs="宋体"/>
                <w:kern w:val="2"/>
                <w:sz w:val="21"/>
                <w:szCs w:val="21"/>
              </w:rPr>
              <w:t>8</w:t>
            </w:r>
          </w:p>
        </w:tc>
        <w:tc>
          <w:tcPr>
            <w:tcW w:w="832" w:type="pct"/>
            <w:vMerge w:val="continue"/>
            <w:noWrap w:val="0"/>
            <w:vAlign w:val="center"/>
          </w:tcPr>
          <w:p w14:paraId="20A1CB65">
            <w:pPr>
              <w:spacing w:line="300" w:lineRule="exact"/>
              <w:jc w:val="center"/>
              <w:rPr>
                <w:rFonts w:hint="eastAsia" w:ascii="宋体" w:hAnsi="宋体" w:eastAsia="宋体" w:cs="宋体"/>
                <w:szCs w:val="21"/>
              </w:rPr>
            </w:pPr>
          </w:p>
        </w:tc>
        <w:tc>
          <w:tcPr>
            <w:tcW w:w="1931" w:type="pct"/>
            <w:noWrap w:val="0"/>
            <w:vAlign w:val="center"/>
          </w:tcPr>
          <w:p w14:paraId="0118BD86">
            <w:pPr>
              <w:spacing w:line="300" w:lineRule="exact"/>
              <w:jc w:val="center"/>
              <w:rPr>
                <w:rFonts w:hint="eastAsia" w:ascii="宋体" w:hAnsi="宋体" w:eastAsia="宋体" w:cs="宋体"/>
                <w:szCs w:val="21"/>
              </w:rPr>
            </w:pPr>
            <w:r>
              <w:rPr>
                <w:rFonts w:hint="eastAsia" w:ascii="宋体" w:hAnsi="宋体" w:eastAsia="宋体" w:cs="宋体"/>
                <w:szCs w:val="21"/>
              </w:rPr>
              <w:t>甲苯</w:t>
            </w:r>
          </w:p>
        </w:tc>
        <w:tc>
          <w:tcPr>
            <w:tcW w:w="1892" w:type="pct"/>
            <w:noWrap w:val="0"/>
            <w:vAlign w:val="center"/>
          </w:tcPr>
          <w:p w14:paraId="116BDFF2">
            <w:pPr>
              <w:spacing w:line="300" w:lineRule="exact"/>
              <w:jc w:val="center"/>
              <w:textAlignment w:val="center"/>
              <w:rPr>
                <w:rFonts w:hint="eastAsia" w:ascii="宋体" w:hAnsi="宋体" w:eastAsia="宋体" w:cs="宋体"/>
                <w:szCs w:val="21"/>
              </w:rPr>
            </w:pPr>
            <w:r>
              <w:rPr>
                <w:rFonts w:hint="eastAsia" w:ascii="宋体" w:hAnsi="宋体" w:eastAsia="宋体" w:cs="宋体"/>
                <w:szCs w:val="21"/>
              </w:rPr>
              <w:t>GB 18584—2024</w:t>
            </w:r>
          </w:p>
        </w:tc>
      </w:tr>
      <w:tr w14:paraId="56220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4" w:hRule="atLeast"/>
          <w:jc w:val="center"/>
        </w:trPr>
        <w:tc>
          <w:tcPr>
            <w:tcW w:w="344" w:type="pct"/>
            <w:tcBorders>
              <w:top w:val="single" w:color="auto" w:sz="4" w:space="0"/>
              <w:left w:val="single" w:color="auto" w:sz="4" w:space="0"/>
              <w:bottom w:val="single" w:color="auto" w:sz="4" w:space="0"/>
              <w:right w:val="single" w:color="auto" w:sz="4" w:space="0"/>
            </w:tcBorders>
            <w:noWrap w:val="0"/>
            <w:vAlign w:val="center"/>
          </w:tcPr>
          <w:p w14:paraId="0E0ED4FA">
            <w:pPr>
              <w:pStyle w:val="6"/>
              <w:spacing w:line="300" w:lineRule="exact"/>
              <w:jc w:val="center"/>
              <w:rPr>
                <w:rFonts w:hint="eastAsia" w:ascii="宋体" w:hAnsi="宋体" w:eastAsia="宋体" w:cs="宋体"/>
                <w:kern w:val="2"/>
                <w:sz w:val="21"/>
                <w:szCs w:val="21"/>
              </w:rPr>
            </w:pPr>
            <w:r>
              <w:rPr>
                <w:rFonts w:hint="eastAsia" w:ascii="宋体" w:hAnsi="宋体" w:eastAsia="宋体" w:cs="宋体"/>
                <w:kern w:val="2"/>
                <w:sz w:val="21"/>
                <w:szCs w:val="21"/>
              </w:rPr>
              <w:t>9</w:t>
            </w:r>
          </w:p>
        </w:tc>
        <w:tc>
          <w:tcPr>
            <w:tcW w:w="832" w:type="pct"/>
            <w:vMerge w:val="continue"/>
            <w:noWrap w:val="0"/>
            <w:vAlign w:val="center"/>
          </w:tcPr>
          <w:p w14:paraId="4E69DA69">
            <w:pPr>
              <w:spacing w:line="300" w:lineRule="exact"/>
              <w:jc w:val="center"/>
              <w:rPr>
                <w:rFonts w:hint="eastAsia" w:ascii="宋体" w:hAnsi="宋体" w:eastAsia="宋体" w:cs="宋体"/>
                <w:szCs w:val="21"/>
              </w:rPr>
            </w:pPr>
          </w:p>
        </w:tc>
        <w:tc>
          <w:tcPr>
            <w:tcW w:w="1931" w:type="pct"/>
            <w:noWrap w:val="0"/>
            <w:vAlign w:val="center"/>
          </w:tcPr>
          <w:p w14:paraId="15709BC7">
            <w:pPr>
              <w:spacing w:line="300" w:lineRule="exact"/>
              <w:jc w:val="center"/>
              <w:rPr>
                <w:rFonts w:hint="eastAsia" w:ascii="宋体" w:hAnsi="宋体" w:eastAsia="宋体" w:cs="宋体"/>
                <w:szCs w:val="21"/>
              </w:rPr>
            </w:pPr>
            <w:r>
              <w:rPr>
                <w:rFonts w:hint="eastAsia" w:ascii="宋体" w:hAnsi="宋体" w:eastAsia="宋体" w:cs="宋体"/>
                <w:szCs w:val="21"/>
              </w:rPr>
              <w:t>二甲苯（邻、间、对二甲苯之和）</w:t>
            </w:r>
          </w:p>
        </w:tc>
        <w:tc>
          <w:tcPr>
            <w:tcW w:w="1892" w:type="pct"/>
            <w:noWrap w:val="0"/>
            <w:vAlign w:val="center"/>
          </w:tcPr>
          <w:p w14:paraId="0CB08B16">
            <w:pPr>
              <w:spacing w:line="300" w:lineRule="exact"/>
              <w:jc w:val="center"/>
              <w:textAlignment w:val="center"/>
              <w:rPr>
                <w:rFonts w:hint="eastAsia" w:ascii="宋体" w:hAnsi="宋体" w:eastAsia="宋体" w:cs="宋体"/>
                <w:szCs w:val="21"/>
              </w:rPr>
            </w:pPr>
            <w:r>
              <w:rPr>
                <w:rFonts w:hint="eastAsia" w:ascii="宋体" w:hAnsi="宋体" w:eastAsia="宋体" w:cs="宋体"/>
                <w:szCs w:val="21"/>
              </w:rPr>
              <w:t>GB 18584—2024</w:t>
            </w:r>
          </w:p>
        </w:tc>
      </w:tr>
      <w:tr w14:paraId="52E8E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4" w:hRule="atLeast"/>
          <w:jc w:val="center"/>
        </w:trPr>
        <w:tc>
          <w:tcPr>
            <w:tcW w:w="344" w:type="pct"/>
            <w:tcBorders>
              <w:top w:val="single" w:color="auto" w:sz="4" w:space="0"/>
              <w:left w:val="single" w:color="auto" w:sz="4" w:space="0"/>
              <w:bottom w:val="single" w:color="auto" w:sz="4" w:space="0"/>
              <w:right w:val="single" w:color="auto" w:sz="4" w:space="0"/>
            </w:tcBorders>
            <w:noWrap w:val="0"/>
            <w:vAlign w:val="center"/>
          </w:tcPr>
          <w:p w14:paraId="39B860DC">
            <w:pPr>
              <w:pStyle w:val="6"/>
              <w:spacing w:line="300" w:lineRule="exact"/>
              <w:jc w:val="center"/>
              <w:rPr>
                <w:rFonts w:hint="eastAsia" w:ascii="宋体" w:hAnsi="宋体" w:eastAsia="宋体" w:cs="宋体"/>
                <w:kern w:val="2"/>
                <w:sz w:val="21"/>
                <w:szCs w:val="21"/>
              </w:rPr>
            </w:pPr>
            <w:r>
              <w:rPr>
                <w:rFonts w:hint="eastAsia" w:ascii="宋体" w:hAnsi="宋体" w:eastAsia="宋体" w:cs="宋体"/>
                <w:kern w:val="2"/>
                <w:sz w:val="21"/>
                <w:szCs w:val="21"/>
              </w:rPr>
              <w:t>10</w:t>
            </w:r>
          </w:p>
        </w:tc>
        <w:tc>
          <w:tcPr>
            <w:tcW w:w="832" w:type="pct"/>
            <w:vMerge w:val="continue"/>
            <w:noWrap w:val="0"/>
            <w:vAlign w:val="center"/>
          </w:tcPr>
          <w:p w14:paraId="27670BDD">
            <w:pPr>
              <w:spacing w:line="300" w:lineRule="exact"/>
              <w:jc w:val="center"/>
              <w:rPr>
                <w:rFonts w:hint="eastAsia" w:ascii="宋体" w:hAnsi="宋体" w:eastAsia="宋体" w:cs="宋体"/>
                <w:szCs w:val="21"/>
              </w:rPr>
            </w:pPr>
          </w:p>
        </w:tc>
        <w:tc>
          <w:tcPr>
            <w:tcW w:w="1931" w:type="pct"/>
            <w:noWrap w:val="0"/>
            <w:vAlign w:val="center"/>
          </w:tcPr>
          <w:p w14:paraId="5EE843B1">
            <w:pPr>
              <w:spacing w:line="300" w:lineRule="exact"/>
              <w:jc w:val="center"/>
              <w:rPr>
                <w:rFonts w:hint="eastAsia" w:ascii="宋体" w:hAnsi="宋体" w:eastAsia="宋体" w:cs="宋体"/>
                <w:szCs w:val="21"/>
              </w:rPr>
            </w:pPr>
            <w:r>
              <w:rPr>
                <w:rFonts w:hint="eastAsia" w:ascii="宋体" w:hAnsi="宋体" w:eastAsia="宋体" w:cs="宋体"/>
                <w:szCs w:val="21"/>
              </w:rPr>
              <w:t>总挥发性有机化合物（TVOC）</w:t>
            </w:r>
          </w:p>
        </w:tc>
        <w:tc>
          <w:tcPr>
            <w:tcW w:w="1892" w:type="pct"/>
            <w:noWrap w:val="0"/>
            <w:vAlign w:val="center"/>
          </w:tcPr>
          <w:p w14:paraId="671BF7EA">
            <w:pPr>
              <w:spacing w:line="300" w:lineRule="exact"/>
              <w:jc w:val="center"/>
              <w:textAlignment w:val="center"/>
              <w:rPr>
                <w:rFonts w:hint="eastAsia" w:ascii="宋体" w:hAnsi="宋体" w:eastAsia="宋体" w:cs="宋体"/>
                <w:szCs w:val="21"/>
              </w:rPr>
            </w:pPr>
            <w:r>
              <w:rPr>
                <w:rFonts w:hint="eastAsia" w:ascii="宋体" w:hAnsi="宋体" w:eastAsia="宋体" w:cs="宋体"/>
                <w:szCs w:val="21"/>
              </w:rPr>
              <w:t>GB 18584—2024</w:t>
            </w:r>
          </w:p>
        </w:tc>
      </w:tr>
      <w:tr w14:paraId="02979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 w:hRule="atLeast"/>
          <w:jc w:val="center"/>
        </w:trPr>
        <w:tc>
          <w:tcPr>
            <w:tcW w:w="344" w:type="pct"/>
            <w:tcBorders>
              <w:top w:val="single" w:color="auto" w:sz="4" w:space="0"/>
              <w:left w:val="single" w:color="auto" w:sz="4" w:space="0"/>
              <w:bottom w:val="single" w:color="auto" w:sz="4" w:space="0"/>
              <w:right w:val="single" w:color="auto" w:sz="4" w:space="0"/>
            </w:tcBorders>
            <w:noWrap w:val="0"/>
            <w:vAlign w:val="center"/>
          </w:tcPr>
          <w:p w14:paraId="0DD51B28">
            <w:pPr>
              <w:pStyle w:val="6"/>
              <w:spacing w:line="300" w:lineRule="exact"/>
              <w:jc w:val="center"/>
              <w:rPr>
                <w:rFonts w:hint="eastAsia" w:ascii="宋体" w:hAnsi="宋体" w:eastAsia="宋体" w:cs="宋体"/>
                <w:kern w:val="2"/>
                <w:sz w:val="21"/>
                <w:szCs w:val="21"/>
              </w:rPr>
            </w:pPr>
            <w:r>
              <w:rPr>
                <w:rFonts w:hint="eastAsia" w:ascii="宋体" w:hAnsi="宋体" w:eastAsia="宋体" w:cs="宋体"/>
                <w:kern w:val="2"/>
                <w:sz w:val="21"/>
                <w:szCs w:val="21"/>
              </w:rPr>
              <w:t>11</w:t>
            </w:r>
          </w:p>
        </w:tc>
        <w:tc>
          <w:tcPr>
            <w:tcW w:w="832" w:type="pct"/>
            <w:vMerge w:val="continue"/>
            <w:noWrap w:val="0"/>
            <w:vAlign w:val="center"/>
          </w:tcPr>
          <w:p w14:paraId="77D83D2A">
            <w:pPr>
              <w:spacing w:line="300" w:lineRule="exact"/>
              <w:jc w:val="center"/>
              <w:rPr>
                <w:rFonts w:hint="eastAsia" w:ascii="宋体" w:hAnsi="宋体" w:eastAsia="宋体" w:cs="宋体"/>
                <w:szCs w:val="21"/>
              </w:rPr>
            </w:pPr>
          </w:p>
        </w:tc>
        <w:tc>
          <w:tcPr>
            <w:tcW w:w="1931" w:type="pct"/>
            <w:noWrap w:val="0"/>
            <w:vAlign w:val="center"/>
          </w:tcPr>
          <w:p w14:paraId="59EAE06B">
            <w:pPr>
              <w:spacing w:line="300" w:lineRule="exact"/>
              <w:jc w:val="center"/>
              <w:rPr>
                <w:rFonts w:hint="eastAsia" w:ascii="宋体" w:hAnsi="宋体" w:eastAsia="宋体" w:cs="宋体"/>
                <w:szCs w:val="21"/>
              </w:rPr>
            </w:pPr>
            <w:r>
              <w:rPr>
                <w:rFonts w:hint="eastAsia" w:ascii="宋体" w:hAnsi="宋体" w:eastAsia="宋体" w:cs="宋体"/>
                <w:szCs w:val="21"/>
              </w:rPr>
              <w:t>可分解芳香胺染料</w:t>
            </w:r>
          </w:p>
        </w:tc>
        <w:tc>
          <w:tcPr>
            <w:tcW w:w="1892" w:type="pct"/>
            <w:noWrap w:val="0"/>
            <w:vAlign w:val="center"/>
          </w:tcPr>
          <w:p w14:paraId="41BBD2E4">
            <w:pPr>
              <w:spacing w:line="300" w:lineRule="exact"/>
              <w:jc w:val="center"/>
              <w:textAlignment w:val="center"/>
              <w:rPr>
                <w:rFonts w:hint="eastAsia" w:ascii="宋体" w:hAnsi="宋体" w:eastAsia="宋体" w:cs="宋体"/>
                <w:szCs w:val="21"/>
                <w:highlight w:val="yellow"/>
              </w:rPr>
            </w:pPr>
            <w:r>
              <w:rPr>
                <w:rFonts w:hint="eastAsia" w:ascii="宋体" w:hAnsi="宋体" w:eastAsia="宋体" w:cs="宋体"/>
                <w:szCs w:val="21"/>
              </w:rPr>
              <w:t>GB 18584—2024</w:t>
            </w:r>
          </w:p>
        </w:tc>
      </w:tr>
      <w:tr w14:paraId="18245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4" w:hRule="atLeast"/>
          <w:jc w:val="center"/>
        </w:trPr>
        <w:tc>
          <w:tcPr>
            <w:tcW w:w="5000" w:type="pct"/>
            <w:gridSpan w:val="4"/>
            <w:tcBorders>
              <w:top w:val="single" w:color="auto" w:sz="4" w:space="0"/>
              <w:left w:val="single" w:color="auto" w:sz="4" w:space="0"/>
              <w:bottom w:val="single" w:color="auto" w:sz="4" w:space="0"/>
            </w:tcBorders>
            <w:noWrap w:val="0"/>
            <w:vAlign w:val="center"/>
          </w:tcPr>
          <w:p w14:paraId="68B97186">
            <w:pPr>
              <w:adjustRightInd w:val="0"/>
              <w:snapToGrid w:val="0"/>
              <w:spacing w:line="440" w:lineRule="exact"/>
              <w:rPr>
                <w:rFonts w:hint="eastAsia" w:ascii="宋体" w:hAnsi="宋体" w:eastAsia="宋体" w:cs="宋体"/>
                <w:szCs w:val="21"/>
              </w:rPr>
            </w:pPr>
            <w:r>
              <w:rPr>
                <w:rFonts w:hint="eastAsia" w:ascii="宋体" w:hAnsi="宋体" w:eastAsia="宋体" w:cs="宋体"/>
                <w:szCs w:val="21"/>
              </w:rPr>
              <w:t>注：安全卫生要求的检验项目为GB/T 26706—2011中序号31、33~37。</w:t>
            </w:r>
          </w:p>
        </w:tc>
      </w:tr>
    </w:tbl>
    <w:p w14:paraId="2A2FE495">
      <w:pPr>
        <w:snapToGrid w:val="0"/>
        <w:spacing w:line="440" w:lineRule="exact"/>
        <w:ind w:firstLine="200"/>
        <w:jc w:val="center"/>
        <w:rPr>
          <w:szCs w:val="21"/>
        </w:rPr>
      </w:pPr>
    </w:p>
    <w:p w14:paraId="27349AFA">
      <w:pPr>
        <w:snapToGrid w:val="0"/>
        <w:spacing w:line="440" w:lineRule="exact"/>
        <w:ind w:firstLine="200"/>
        <w:jc w:val="center"/>
        <w:rPr>
          <w:szCs w:val="21"/>
        </w:rPr>
      </w:pPr>
      <w:r>
        <w:rPr>
          <w:szCs w:val="21"/>
        </w:rPr>
        <w:t>表</w:t>
      </w:r>
      <w:r>
        <w:rPr>
          <w:rFonts w:hint="eastAsia"/>
          <w:szCs w:val="21"/>
          <w:lang w:val="en-US" w:eastAsia="zh-CN"/>
        </w:rPr>
        <w:t xml:space="preserve">2 </w:t>
      </w:r>
      <w:r>
        <w:rPr>
          <w:szCs w:val="21"/>
        </w:rPr>
        <w:t>棕纤维弹性床垫</w:t>
      </w:r>
      <w:r>
        <w:rPr>
          <w:rFonts w:hint="eastAsia" w:ascii="宋体" w:hAnsi="宋体" w:eastAsia="宋体" w:cs="宋体"/>
          <w:szCs w:val="21"/>
          <w:lang w:eastAsia="zh-CN"/>
        </w:rPr>
        <w:t>（</w:t>
      </w:r>
      <w:r>
        <w:rPr>
          <w:rFonts w:hint="eastAsia" w:ascii="宋体" w:hAnsi="宋体" w:eastAsia="宋体" w:cs="宋体"/>
          <w:szCs w:val="21"/>
        </w:rPr>
        <w:t>GB/T 26706—20</w:t>
      </w:r>
      <w:r>
        <w:rPr>
          <w:rFonts w:hint="eastAsia" w:ascii="宋体" w:hAnsi="宋体" w:eastAsia="宋体" w:cs="宋体"/>
          <w:szCs w:val="21"/>
          <w:lang w:val="en-US" w:eastAsia="zh-CN"/>
        </w:rPr>
        <w:t>25</w:t>
      </w:r>
      <w:r>
        <w:rPr>
          <w:rFonts w:hint="eastAsia" w:ascii="宋体" w:hAnsi="宋体" w:eastAsia="宋体" w:cs="宋体"/>
          <w:szCs w:val="21"/>
          <w:lang w:eastAsia="zh-CN"/>
        </w:rPr>
        <w:t>）</w:t>
      </w:r>
    </w:p>
    <w:tbl>
      <w:tblPr>
        <w:tblStyle w:val="11"/>
        <w:tblW w:w="90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5"/>
        <w:gridCol w:w="1071"/>
        <w:gridCol w:w="880"/>
        <w:gridCol w:w="1366"/>
        <w:gridCol w:w="70"/>
        <w:gridCol w:w="2177"/>
        <w:gridCol w:w="2449"/>
      </w:tblGrid>
      <w:tr w14:paraId="2A2EF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noWrap w:val="0"/>
            <w:vAlign w:val="center"/>
          </w:tcPr>
          <w:p w14:paraId="0DC497C0">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序号</w:t>
            </w:r>
          </w:p>
        </w:tc>
        <w:tc>
          <w:tcPr>
            <w:tcW w:w="5564" w:type="dxa"/>
            <w:gridSpan w:val="5"/>
            <w:noWrap w:val="0"/>
            <w:vAlign w:val="center"/>
          </w:tcPr>
          <w:p w14:paraId="18DD5263">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检验项目</w:t>
            </w:r>
          </w:p>
        </w:tc>
        <w:tc>
          <w:tcPr>
            <w:tcW w:w="2449" w:type="dxa"/>
            <w:noWrap w:val="0"/>
            <w:vAlign w:val="center"/>
          </w:tcPr>
          <w:p w14:paraId="63ADF1E0">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检验方法</w:t>
            </w:r>
          </w:p>
        </w:tc>
      </w:tr>
      <w:tr w14:paraId="38752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noWrap w:val="0"/>
            <w:vAlign w:val="center"/>
          </w:tcPr>
          <w:p w14:paraId="38FAF4E5">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w:t>
            </w:r>
          </w:p>
        </w:tc>
        <w:tc>
          <w:tcPr>
            <w:tcW w:w="1071" w:type="dxa"/>
            <w:vMerge w:val="restart"/>
            <w:noWrap w:val="0"/>
            <w:vAlign w:val="center"/>
          </w:tcPr>
          <w:p w14:paraId="74E60AA2">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外观</w:t>
            </w:r>
          </w:p>
          <w:p w14:paraId="1498F1C4">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性能</w:t>
            </w:r>
          </w:p>
        </w:tc>
        <w:tc>
          <w:tcPr>
            <w:tcW w:w="4493" w:type="dxa"/>
            <w:gridSpan w:val="4"/>
            <w:noWrap w:val="0"/>
            <w:vAlign w:val="center"/>
          </w:tcPr>
          <w:p w14:paraId="7E269E6D">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复合面料（表3—序号5、10、11、12、13、14）</w:t>
            </w:r>
          </w:p>
        </w:tc>
        <w:tc>
          <w:tcPr>
            <w:tcW w:w="2449" w:type="dxa"/>
            <w:noWrap w:val="0"/>
            <w:vAlign w:val="center"/>
          </w:tcPr>
          <w:p w14:paraId="568F7A94">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26706—2025</w:t>
            </w:r>
          </w:p>
        </w:tc>
      </w:tr>
      <w:tr w14:paraId="4853C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noWrap w:val="0"/>
            <w:vAlign w:val="center"/>
          </w:tcPr>
          <w:p w14:paraId="645AE2D9">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w:t>
            </w:r>
          </w:p>
        </w:tc>
        <w:tc>
          <w:tcPr>
            <w:tcW w:w="1071" w:type="dxa"/>
            <w:vMerge w:val="continue"/>
            <w:noWrap w:val="0"/>
            <w:vAlign w:val="center"/>
          </w:tcPr>
          <w:p w14:paraId="711B0DD7">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4493" w:type="dxa"/>
            <w:gridSpan w:val="4"/>
            <w:noWrap w:val="0"/>
            <w:vAlign w:val="center"/>
          </w:tcPr>
          <w:p w14:paraId="5BB974A2">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缝边（表3—序号18～21）</w:t>
            </w:r>
          </w:p>
        </w:tc>
        <w:tc>
          <w:tcPr>
            <w:tcW w:w="2449" w:type="dxa"/>
            <w:noWrap w:val="0"/>
            <w:vAlign w:val="center"/>
          </w:tcPr>
          <w:p w14:paraId="24139517">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26706—2025</w:t>
            </w:r>
          </w:p>
        </w:tc>
      </w:tr>
      <w:tr w14:paraId="132FE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noWrap w:val="0"/>
            <w:vAlign w:val="center"/>
          </w:tcPr>
          <w:p w14:paraId="7A4C9E66">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w:t>
            </w:r>
          </w:p>
        </w:tc>
        <w:tc>
          <w:tcPr>
            <w:tcW w:w="1071" w:type="dxa"/>
            <w:vMerge w:val="continue"/>
            <w:noWrap w:val="0"/>
            <w:vAlign w:val="center"/>
          </w:tcPr>
          <w:p w14:paraId="4B5A53C1">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4493" w:type="dxa"/>
            <w:gridSpan w:val="4"/>
            <w:noWrap w:val="0"/>
            <w:vAlign w:val="center"/>
          </w:tcPr>
          <w:p w14:paraId="28AB5152">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拉链（表3—序号22～24）</w:t>
            </w:r>
          </w:p>
        </w:tc>
        <w:tc>
          <w:tcPr>
            <w:tcW w:w="2449" w:type="dxa"/>
            <w:noWrap w:val="0"/>
            <w:vAlign w:val="center"/>
          </w:tcPr>
          <w:p w14:paraId="21B9F527">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26706—2025</w:t>
            </w:r>
          </w:p>
        </w:tc>
      </w:tr>
      <w:tr w14:paraId="00698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noWrap w:val="0"/>
            <w:vAlign w:val="center"/>
          </w:tcPr>
          <w:p w14:paraId="1C5217A5">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w:t>
            </w:r>
          </w:p>
        </w:tc>
        <w:tc>
          <w:tcPr>
            <w:tcW w:w="1071" w:type="dxa"/>
            <w:vMerge w:val="restart"/>
            <w:noWrap w:val="0"/>
            <w:vAlign w:val="center"/>
          </w:tcPr>
          <w:p w14:paraId="37FCB9FF">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卫生</w:t>
            </w:r>
          </w:p>
          <w:p w14:paraId="6FB21905">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安全</w:t>
            </w:r>
          </w:p>
          <w:p w14:paraId="76E7241F">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性能</w:t>
            </w:r>
          </w:p>
        </w:tc>
        <w:tc>
          <w:tcPr>
            <w:tcW w:w="4493" w:type="dxa"/>
            <w:gridSpan w:val="4"/>
            <w:noWrap w:val="0"/>
            <w:vAlign w:val="center"/>
          </w:tcPr>
          <w:p w14:paraId="4476CA33">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霉变</w:t>
            </w:r>
          </w:p>
        </w:tc>
        <w:tc>
          <w:tcPr>
            <w:tcW w:w="2449" w:type="dxa"/>
            <w:noWrap w:val="0"/>
            <w:vAlign w:val="center"/>
          </w:tcPr>
          <w:p w14:paraId="6CA6ED85">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26706—2025</w:t>
            </w:r>
          </w:p>
        </w:tc>
      </w:tr>
      <w:tr w14:paraId="0190D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noWrap w:val="0"/>
            <w:vAlign w:val="center"/>
          </w:tcPr>
          <w:p w14:paraId="3EF8AF26">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w:t>
            </w:r>
          </w:p>
        </w:tc>
        <w:tc>
          <w:tcPr>
            <w:tcW w:w="1071" w:type="dxa"/>
            <w:vMerge w:val="continue"/>
            <w:noWrap w:val="0"/>
            <w:vAlign w:val="center"/>
          </w:tcPr>
          <w:p w14:paraId="5F09B58B">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4493" w:type="dxa"/>
            <w:gridSpan w:val="4"/>
            <w:noWrap w:val="0"/>
            <w:vAlign w:val="center"/>
          </w:tcPr>
          <w:p w14:paraId="412B76DB">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害虫及其污染物</w:t>
            </w:r>
          </w:p>
        </w:tc>
        <w:tc>
          <w:tcPr>
            <w:tcW w:w="2449" w:type="dxa"/>
            <w:noWrap w:val="0"/>
            <w:vAlign w:val="center"/>
          </w:tcPr>
          <w:p w14:paraId="3E507949">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26706—2025</w:t>
            </w:r>
          </w:p>
        </w:tc>
      </w:tr>
      <w:tr w14:paraId="58C60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noWrap w:val="0"/>
            <w:vAlign w:val="center"/>
          </w:tcPr>
          <w:p w14:paraId="15E0C942">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w:t>
            </w:r>
          </w:p>
        </w:tc>
        <w:tc>
          <w:tcPr>
            <w:tcW w:w="1071" w:type="dxa"/>
            <w:vMerge w:val="continue"/>
            <w:noWrap w:val="0"/>
            <w:vAlign w:val="center"/>
          </w:tcPr>
          <w:p w14:paraId="2ECCB73D">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4493" w:type="dxa"/>
            <w:gridSpan w:val="4"/>
            <w:noWrap w:val="0"/>
            <w:vAlign w:val="center"/>
          </w:tcPr>
          <w:p w14:paraId="7BAB00DF">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废旧制品</w:t>
            </w:r>
          </w:p>
        </w:tc>
        <w:tc>
          <w:tcPr>
            <w:tcW w:w="2449" w:type="dxa"/>
            <w:noWrap w:val="0"/>
            <w:vAlign w:val="center"/>
          </w:tcPr>
          <w:p w14:paraId="694D8E78">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26706—2025</w:t>
            </w:r>
          </w:p>
        </w:tc>
      </w:tr>
      <w:tr w14:paraId="6F7BB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jc w:val="center"/>
        </w:trPr>
        <w:tc>
          <w:tcPr>
            <w:tcW w:w="1005" w:type="dxa"/>
            <w:noWrap w:val="0"/>
            <w:vAlign w:val="center"/>
          </w:tcPr>
          <w:p w14:paraId="70EF64F4">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7</w:t>
            </w:r>
          </w:p>
        </w:tc>
        <w:tc>
          <w:tcPr>
            <w:tcW w:w="1071" w:type="dxa"/>
            <w:vMerge w:val="continue"/>
            <w:noWrap w:val="0"/>
            <w:vAlign w:val="center"/>
          </w:tcPr>
          <w:p w14:paraId="2F54EFB1">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4493" w:type="dxa"/>
            <w:gridSpan w:val="4"/>
            <w:noWrap w:val="0"/>
            <w:vAlign w:val="center"/>
          </w:tcPr>
          <w:p w14:paraId="78E6673C">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纤维性工业下脚料或用其加工的再生纤维状物质</w:t>
            </w:r>
          </w:p>
        </w:tc>
        <w:tc>
          <w:tcPr>
            <w:tcW w:w="2449" w:type="dxa"/>
            <w:noWrap w:val="0"/>
            <w:vAlign w:val="center"/>
          </w:tcPr>
          <w:p w14:paraId="0F45A493">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26706—2025</w:t>
            </w:r>
          </w:p>
        </w:tc>
      </w:tr>
      <w:tr w14:paraId="2446A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noWrap w:val="0"/>
            <w:vAlign w:val="center"/>
          </w:tcPr>
          <w:p w14:paraId="7F45B2D5">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8</w:t>
            </w:r>
          </w:p>
        </w:tc>
        <w:tc>
          <w:tcPr>
            <w:tcW w:w="1071" w:type="dxa"/>
            <w:vMerge w:val="continue"/>
            <w:noWrap w:val="0"/>
            <w:vAlign w:val="center"/>
          </w:tcPr>
          <w:p w14:paraId="37D73FA1">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4493" w:type="dxa"/>
            <w:gridSpan w:val="4"/>
            <w:noWrap w:val="0"/>
            <w:vAlign w:val="center"/>
          </w:tcPr>
          <w:p w14:paraId="7725D0A6">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杂物（表3—序号31）</w:t>
            </w:r>
          </w:p>
        </w:tc>
        <w:tc>
          <w:tcPr>
            <w:tcW w:w="2449" w:type="dxa"/>
            <w:noWrap w:val="0"/>
            <w:vAlign w:val="center"/>
          </w:tcPr>
          <w:p w14:paraId="71A4BD99">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26706—2025</w:t>
            </w:r>
          </w:p>
        </w:tc>
      </w:tr>
      <w:tr w14:paraId="3F11E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tcBorders>
              <w:bottom w:val="nil"/>
            </w:tcBorders>
            <w:noWrap w:val="0"/>
            <w:vAlign w:val="center"/>
          </w:tcPr>
          <w:p w14:paraId="64C73B91">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9</w:t>
            </w:r>
          </w:p>
        </w:tc>
        <w:tc>
          <w:tcPr>
            <w:tcW w:w="1071" w:type="dxa"/>
            <w:vMerge w:val="continue"/>
            <w:noWrap w:val="0"/>
            <w:vAlign w:val="center"/>
          </w:tcPr>
          <w:p w14:paraId="3CAC19C4">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4493" w:type="dxa"/>
            <w:gridSpan w:val="4"/>
            <w:tcBorders>
              <w:bottom w:val="nil"/>
            </w:tcBorders>
            <w:noWrap w:val="0"/>
            <w:vAlign w:val="center"/>
          </w:tcPr>
          <w:p w14:paraId="2D93370A">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异味</w:t>
            </w:r>
          </w:p>
        </w:tc>
        <w:tc>
          <w:tcPr>
            <w:tcW w:w="2449" w:type="dxa"/>
            <w:tcBorders>
              <w:bottom w:val="nil"/>
            </w:tcBorders>
            <w:noWrap w:val="0"/>
            <w:vAlign w:val="center"/>
          </w:tcPr>
          <w:p w14:paraId="777CBC76">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26706—2025</w:t>
            </w:r>
          </w:p>
        </w:tc>
      </w:tr>
      <w:tr w14:paraId="7209C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tcBorders>
              <w:bottom w:val="nil"/>
            </w:tcBorders>
            <w:noWrap w:val="0"/>
            <w:vAlign w:val="center"/>
          </w:tcPr>
          <w:p w14:paraId="18E8B9E2">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10</w:t>
            </w:r>
          </w:p>
        </w:tc>
        <w:tc>
          <w:tcPr>
            <w:tcW w:w="1071" w:type="dxa"/>
            <w:vMerge w:val="continue"/>
            <w:noWrap w:val="0"/>
            <w:vAlign w:val="center"/>
          </w:tcPr>
          <w:p w14:paraId="5E5C656E">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4493" w:type="dxa"/>
            <w:gridSpan w:val="4"/>
            <w:tcBorders>
              <w:bottom w:val="nil"/>
            </w:tcBorders>
            <w:noWrap w:val="0"/>
            <w:vAlign w:val="center"/>
          </w:tcPr>
          <w:p w14:paraId="52D2E22F">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甲醛释放量</w:t>
            </w:r>
          </w:p>
        </w:tc>
        <w:tc>
          <w:tcPr>
            <w:tcW w:w="2449" w:type="dxa"/>
            <w:tcBorders>
              <w:bottom w:val="nil"/>
            </w:tcBorders>
            <w:noWrap w:val="0"/>
            <w:vAlign w:val="center"/>
          </w:tcPr>
          <w:p w14:paraId="13173024">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26706—2025</w:t>
            </w:r>
          </w:p>
          <w:p w14:paraId="253C4D98">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sz w:val="21"/>
                <w:szCs w:val="21"/>
                <w:lang w:val="en-US" w:eastAsia="zh-CN"/>
              </w:rPr>
            </w:pPr>
            <w:r>
              <w:rPr>
                <w:rFonts w:hint="eastAsia" w:ascii="宋体" w:hAnsi="宋体" w:eastAsia="宋体" w:cs="宋体"/>
                <w:color w:val="000000"/>
                <w:sz w:val="21"/>
                <w:szCs w:val="21"/>
                <w:lang w:val="en-US" w:eastAsia="zh-CN"/>
              </w:rPr>
              <w:t>GB 18584—2024</w:t>
            </w:r>
          </w:p>
        </w:tc>
      </w:tr>
      <w:tr w14:paraId="2D2F3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tcBorders>
              <w:bottom w:val="nil"/>
            </w:tcBorders>
            <w:noWrap w:val="0"/>
            <w:vAlign w:val="center"/>
          </w:tcPr>
          <w:p w14:paraId="098447D9">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11</w:t>
            </w:r>
          </w:p>
        </w:tc>
        <w:tc>
          <w:tcPr>
            <w:tcW w:w="1071" w:type="dxa"/>
            <w:vMerge w:val="continue"/>
            <w:noWrap w:val="0"/>
            <w:vAlign w:val="center"/>
          </w:tcPr>
          <w:p w14:paraId="2C75117F">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4493" w:type="dxa"/>
            <w:gridSpan w:val="4"/>
            <w:tcBorders>
              <w:bottom w:val="nil"/>
            </w:tcBorders>
            <w:noWrap w:val="0"/>
            <w:vAlign w:val="center"/>
          </w:tcPr>
          <w:p w14:paraId="5DE5E656">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苯释放量</w:t>
            </w:r>
          </w:p>
        </w:tc>
        <w:tc>
          <w:tcPr>
            <w:tcW w:w="2449" w:type="dxa"/>
            <w:tcBorders>
              <w:bottom w:val="nil"/>
            </w:tcBorders>
            <w:noWrap w:val="0"/>
            <w:vAlign w:val="center"/>
          </w:tcPr>
          <w:p w14:paraId="1E1766BD">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26706—2025</w:t>
            </w:r>
          </w:p>
          <w:p w14:paraId="120D2C05">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18584—2024</w:t>
            </w:r>
          </w:p>
        </w:tc>
      </w:tr>
      <w:tr w14:paraId="07965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tcBorders>
              <w:bottom w:val="nil"/>
            </w:tcBorders>
            <w:noWrap w:val="0"/>
            <w:vAlign w:val="center"/>
          </w:tcPr>
          <w:p w14:paraId="76D453B6">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12</w:t>
            </w:r>
          </w:p>
        </w:tc>
        <w:tc>
          <w:tcPr>
            <w:tcW w:w="1071" w:type="dxa"/>
            <w:vMerge w:val="continue"/>
            <w:noWrap w:val="0"/>
            <w:vAlign w:val="center"/>
          </w:tcPr>
          <w:p w14:paraId="0E744DB3">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4493" w:type="dxa"/>
            <w:gridSpan w:val="4"/>
            <w:tcBorders>
              <w:bottom w:val="nil"/>
            </w:tcBorders>
            <w:noWrap w:val="0"/>
            <w:vAlign w:val="center"/>
          </w:tcPr>
          <w:p w14:paraId="5B39CE2B">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甲苯释放量</w:t>
            </w:r>
          </w:p>
        </w:tc>
        <w:tc>
          <w:tcPr>
            <w:tcW w:w="2449" w:type="dxa"/>
            <w:tcBorders>
              <w:bottom w:val="nil"/>
            </w:tcBorders>
            <w:noWrap w:val="0"/>
            <w:vAlign w:val="center"/>
          </w:tcPr>
          <w:p w14:paraId="7A196269">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26706—2025</w:t>
            </w:r>
          </w:p>
          <w:p w14:paraId="39632A3C">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18584—2024</w:t>
            </w:r>
          </w:p>
        </w:tc>
      </w:tr>
      <w:tr w14:paraId="00B52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tcBorders>
              <w:bottom w:val="nil"/>
            </w:tcBorders>
            <w:noWrap w:val="0"/>
            <w:vAlign w:val="center"/>
          </w:tcPr>
          <w:p w14:paraId="1B82386B">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13</w:t>
            </w:r>
          </w:p>
        </w:tc>
        <w:tc>
          <w:tcPr>
            <w:tcW w:w="1071" w:type="dxa"/>
            <w:vMerge w:val="continue"/>
            <w:noWrap w:val="0"/>
            <w:vAlign w:val="center"/>
          </w:tcPr>
          <w:p w14:paraId="461E73F3">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4493" w:type="dxa"/>
            <w:gridSpan w:val="4"/>
            <w:tcBorders>
              <w:bottom w:val="nil"/>
            </w:tcBorders>
            <w:noWrap w:val="0"/>
            <w:vAlign w:val="center"/>
          </w:tcPr>
          <w:p w14:paraId="1A8AA541">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二甲苯（邻、间、对二甲苯之和）释放量</w:t>
            </w:r>
          </w:p>
        </w:tc>
        <w:tc>
          <w:tcPr>
            <w:tcW w:w="2449" w:type="dxa"/>
            <w:tcBorders>
              <w:bottom w:val="nil"/>
            </w:tcBorders>
            <w:noWrap w:val="0"/>
            <w:vAlign w:val="center"/>
          </w:tcPr>
          <w:p w14:paraId="7D0E61D6">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26706—2025</w:t>
            </w:r>
          </w:p>
          <w:p w14:paraId="29758D40">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18584—2024</w:t>
            </w:r>
          </w:p>
        </w:tc>
      </w:tr>
      <w:tr w14:paraId="553AF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tcBorders>
              <w:bottom w:val="nil"/>
            </w:tcBorders>
            <w:noWrap w:val="0"/>
            <w:vAlign w:val="center"/>
          </w:tcPr>
          <w:p w14:paraId="53A3D789">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14</w:t>
            </w:r>
          </w:p>
        </w:tc>
        <w:tc>
          <w:tcPr>
            <w:tcW w:w="1071" w:type="dxa"/>
            <w:vMerge w:val="continue"/>
            <w:noWrap w:val="0"/>
            <w:vAlign w:val="center"/>
          </w:tcPr>
          <w:p w14:paraId="31CA609F">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4493" w:type="dxa"/>
            <w:gridSpan w:val="4"/>
            <w:tcBorders>
              <w:bottom w:val="nil"/>
            </w:tcBorders>
            <w:noWrap w:val="0"/>
            <w:vAlign w:val="center"/>
          </w:tcPr>
          <w:p w14:paraId="5EA89E6C">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总挥发性有机化合物(TVOC)释放量</w:t>
            </w:r>
          </w:p>
        </w:tc>
        <w:tc>
          <w:tcPr>
            <w:tcW w:w="2449" w:type="dxa"/>
            <w:tcBorders>
              <w:bottom w:val="nil"/>
            </w:tcBorders>
            <w:noWrap w:val="0"/>
            <w:vAlign w:val="center"/>
          </w:tcPr>
          <w:p w14:paraId="50E6BE31">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26706—2025</w:t>
            </w:r>
          </w:p>
          <w:p w14:paraId="680A639B">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18584—2024</w:t>
            </w:r>
          </w:p>
        </w:tc>
      </w:tr>
      <w:tr w14:paraId="1CCC0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05" w:type="dxa"/>
            <w:noWrap w:val="0"/>
            <w:vAlign w:val="center"/>
          </w:tcPr>
          <w:p w14:paraId="05D475D8">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15</w:t>
            </w:r>
          </w:p>
        </w:tc>
        <w:tc>
          <w:tcPr>
            <w:tcW w:w="1071" w:type="dxa"/>
            <w:vMerge w:val="continue"/>
            <w:noWrap w:val="0"/>
            <w:vAlign w:val="center"/>
          </w:tcPr>
          <w:p w14:paraId="4B22DA15">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4493" w:type="dxa"/>
            <w:gridSpan w:val="4"/>
            <w:noWrap w:val="0"/>
            <w:vAlign w:val="center"/>
          </w:tcPr>
          <w:p w14:paraId="650F8ABF">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可分解芳香胺染料</w:t>
            </w:r>
          </w:p>
        </w:tc>
        <w:tc>
          <w:tcPr>
            <w:tcW w:w="2449" w:type="dxa"/>
            <w:noWrap w:val="0"/>
            <w:vAlign w:val="center"/>
          </w:tcPr>
          <w:p w14:paraId="1FBAAEDB">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26706—2025</w:t>
            </w:r>
          </w:p>
          <w:p w14:paraId="63F2D653">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18584—2024</w:t>
            </w:r>
          </w:p>
        </w:tc>
      </w:tr>
      <w:tr w14:paraId="5DC30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05" w:type="dxa"/>
            <w:noWrap w:val="0"/>
            <w:vAlign w:val="center"/>
          </w:tcPr>
          <w:p w14:paraId="4ED5F614">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16</w:t>
            </w:r>
          </w:p>
        </w:tc>
        <w:tc>
          <w:tcPr>
            <w:tcW w:w="1071" w:type="dxa"/>
            <w:vMerge w:val="continue"/>
            <w:noWrap w:val="0"/>
            <w:vAlign w:val="center"/>
          </w:tcPr>
          <w:p w14:paraId="08104AF0">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4493" w:type="dxa"/>
            <w:gridSpan w:val="4"/>
            <w:noWrap w:val="0"/>
            <w:vAlign w:val="center"/>
          </w:tcPr>
          <w:p w14:paraId="6CD0C212">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阻燃性</w:t>
            </w:r>
          </w:p>
        </w:tc>
        <w:tc>
          <w:tcPr>
            <w:tcW w:w="2449" w:type="dxa"/>
            <w:noWrap w:val="0"/>
            <w:vAlign w:val="center"/>
          </w:tcPr>
          <w:p w14:paraId="088E7C10">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26706—2025</w:t>
            </w:r>
          </w:p>
          <w:p w14:paraId="4F75934F">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 17927-2024</w:t>
            </w:r>
          </w:p>
        </w:tc>
      </w:tr>
      <w:tr w14:paraId="13EE8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noWrap w:val="0"/>
            <w:vAlign w:val="center"/>
          </w:tcPr>
          <w:p w14:paraId="1D58F4CC">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17</w:t>
            </w:r>
          </w:p>
        </w:tc>
        <w:tc>
          <w:tcPr>
            <w:tcW w:w="1071" w:type="dxa"/>
            <w:vMerge w:val="restart"/>
            <w:noWrap w:val="0"/>
            <w:vAlign w:val="center"/>
          </w:tcPr>
          <w:p w14:paraId="1B346E0A">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理化</w:t>
            </w:r>
          </w:p>
          <w:p w14:paraId="3A50486F">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性能</w:t>
            </w:r>
          </w:p>
        </w:tc>
        <w:tc>
          <w:tcPr>
            <w:tcW w:w="880" w:type="dxa"/>
            <w:vMerge w:val="restart"/>
            <w:noWrap w:val="0"/>
            <w:vAlign w:val="center"/>
          </w:tcPr>
          <w:p w14:paraId="058EB68E">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复合</w:t>
            </w:r>
          </w:p>
          <w:p w14:paraId="4896AA33">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面料</w:t>
            </w:r>
          </w:p>
        </w:tc>
        <w:tc>
          <w:tcPr>
            <w:tcW w:w="1436" w:type="dxa"/>
            <w:gridSpan w:val="2"/>
            <w:vMerge w:val="restart"/>
            <w:noWrap w:val="0"/>
            <w:vAlign w:val="center"/>
          </w:tcPr>
          <w:p w14:paraId="795F2A81">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面料</w:t>
            </w:r>
          </w:p>
        </w:tc>
        <w:tc>
          <w:tcPr>
            <w:tcW w:w="2177" w:type="dxa"/>
            <w:noWrap w:val="0"/>
            <w:vAlign w:val="center"/>
          </w:tcPr>
          <w:p w14:paraId="2F2B4961">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耐干摩擦色牢度</w:t>
            </w:r>
          </w:p>
        </w:tc>
        <w:tc>
          <w:tcPr>
            <w:tcW w:w="2449" w:type="dxa"/>
            <w:noWrap w:val="0"/>
            <w:vAlign w:val="center"/>
          </w:tcPr>
          <w:p w14:paraId="1016B835">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26706—2025</w:t>
            </w:r>
          </w:p>
        </w:tc>
      </w:tr>
      <w:tr w14:paraId="03F91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noWrap w:val="0"/>
            <w:vAlign w:val="center"/>
          </w:tcPr>
          <w:p w14:paraId="077A285D">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18</w:t>
            </w:r>
          </w:p>
        </w:tc>
        <w:tc>
          <w:tcPr>
            <w:tcW w:w="1071" w:type="dxa"/>
            <w:vMerge w:val="continue"/>
            <w:noWrap w:val="0"/>
            <w:vAlign w:val="top"/>
          </w:tcPr>
          <w:p w14:paraId="3287E96E">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880" w:type="dxa"/>
            <w:vMerge w:val="continue"/>
            <w:noWrap w:val="0"/>
            <w:vAlign w:val="center"/>
          </w:tcPr>
          <w:p w14:paraId="24D61621">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1436" w:type="dxa"/>
            <w:gridSpan w:val="2"/>
            <w:vMerge w:val="continue"/>
            <w:noWrap w:val="0"/>
            <w:vAlign w:val="center"/>
          </w:tcPr>
          <w:p w14:paraId="5A7EBB5B">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2177" w:type="dxa"/>
            <w:noWrap w:val="0"/>
            <w:vAlign w:val="center"/>
          </w:tcPr>
          <w:p w14:paraId="2008845C">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耐磨损</w:t>
            </w:r>
          </w:p>
        </w:tc>
        <w:tc>
          <w:tcPr>
            <w:tcW w:w="2449" w:type="dxa"/>
            <w:noWrap w:val="0"/>
            <w:vAlign w:val="center"/>
          </w:tcPr>
          <w:p w14:paraId="158F14B5">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26706—2025</w:t>
            </w:r>
          </w:p>
        </w:tc>
      </w:tr>
      <w:tr w14:paraId="32938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noWrap w:val="0"/>
            <w:vAlign w:val="center"/>
          </w:tcPr>
          <w:p w14:paraId="509CD60F">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19</w:t>
            </w:r>
          </w:p>
        </w:tc>
        <w:tc>
          <w:tcPr>
            <w:tcW w:w="1071" w:type="dxa"/>
            <w:vMerge w:val="continue"/>
            <w:noWrap w:val="0"/>
            <w:vAlign w:val="top"/>
          </w:tcPr>
          <w:p w14:paraId="3B62CD5A">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880" w:type="dxa"/>
            <w:noWrap w:val="0"/>
            <w:vAlign w:val="center"/>
          </w:tcPr>
          <w:p w14:paraId="366ABC58">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芯料</w:t>
            </w:r>
          </w:p>
        </w:tc>
        <w:tc>
          <w:tcPr>
            <w:tcW w:w="3613" w:type="dxa"/>
            <w:gridSpan w:val="3"/>
            <w:noWrap w:val="0"/>
            <w:vAlign w:val="center"/>
          </w:tcPr>
          <w:p w14:paraId="355BB0F8">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棕纤维弹性材料含水率</w:t>
            </w:r>
          </w:p>
        </w:tc>
        <w:tc>
          <w:tcPr>
            <w:tcW w:w="2449" w:type="dxa"/>
            <w:noWrap w:val="0"/>
            <w:vAlign w:val="center"/>
          </w:tcPr>
          <w:p w14:paraId="28ADAF69">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26706—2025</w:t>
            </w:r>
          </w:p>
        </w:tc>
      </w:tr>
      <w:tr w14:paraId="2F392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jc w:val="center"/>
        </w:trPr>
        <w:tc>
          <w:tcPr>
            <w:tcW w:w="1005" w:type="dxa"/>
            <w:noWrap w:val="0"/>
            <w:vAlign w:val="center"/>
          </w:tcPr>
          <w:p w14:paraId="3DD2DD2B">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20</w:t>
            </w:r>
          </w:p>
        </w:tc>
        <w:tc>
          <w:tcPr>
            <w:tcW w:w="1071" w:type="dxa"/>
            <w:vMerge w:val="continue"/>
            <w:noWrap w:val="0"/>
            <w:vAlign w:val="top"/>
          </w:tcPr>
          <w:p w14:paraId="6B78161B">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880" w:type="dxa"/>
            <w:vMerge w:val="restart"/>
            <w:noWrap w:val="0"/>
            <w:vAlign w:val="center"/>
          </w:tcPr>
          <w:p w14:paraId="3EF11875">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铺垫料</w:t>
            </w:r>
          </w:p>
        </w:tc>
        <w:tc>
          <w:tcPr>
            <w:tcW w:w="1436" w:type="dxa"/>
            <w:gridSpan w:val="2"/>
            <w:vMerge w:val="restart"/>
            <w:noWrap w:val="0"/>
            <w:vAlign w:val="center"/>
          </w:tcPr>
          <w:p w14:paraId="2ECB7D1A">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软质泡沫塑料垫</w:t>
            </w:r>
          </w:p>
        </w:tc>
        <w:tc>
          <w:tcPr>
            <w:tcW w:w="2177" w:type="dxa"/>
            <w:noWrap w:val="0"/>
            <w:vAlign w:val="center"/>
          </w:tcPr>
          <w:p w14:paraId="653F2165">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慢回弹软质泡沫塑料拉伸强度</w:t>
            </w:r>
          </w:p>
        </w:tc>
        <w:tc>
          <w:tcPr>
            <w:tcW w:w="2449" w:type="dxa"/>
            <w:noWrap w:val="0"/>
            <w:vAlign w:val="center"/>
          </w:tcPr>
          <w:p w14:paraId="033245E8">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26706—2025</w:t>
            </w:r>
          </w:p>
        </w:tc>
      </w:tr>
      <w:tr w14:paraId="6C6D0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noWrap w:val="0"/>
            <w:vAlign w:val="center"/>
          </w:tcPr>
          <w:p w14:paraId="39AC9CBD">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21</w:t>
            </w:r>
          </w:p>
        </w:tc>
        <w:tc>
          <w:tcPr>
            <w:tcW w:w="1071" w:type="dxa"/>
            <w:vMerge w:val="continue"/>
            <w:noWrap w:val="0"/>
            <w:vAlign w:val="top"/>
          </w:tcPr>
          <w:p w14:paraId="7F3B2387">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880" w:type="dxa"/>
            <w:vMerge w:val="continue"/>
            <w:noWrap w:val="0"/>
            <w:vAlign w:val="center"/>
          </w:tcPr>
          <w:p w14:paraId="3728B011">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p>
        </w:tc>
        <w:tc>
          <w:tcPr>
            <w:tcW w:w="1436" w:type="dxa"/>
            <w:gridSpan w:val="2"/>
            <w:vMerge w:val="continue"/>
            <w:noWrap w:val="0"/>
            <w:vAlign w:val="center"/>
          </w:tcPr>
          <w:p w14:paraId="18919597">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p>
        </w:tc>
        <w:tc>
          <w:tcPr>
            <w:tcW w:w="2177" w:type="dxa"/>
            <w:noWrap w:val="0"/>
            <w:vAlign w:val="center"/>
          </w:tcPr>
          <w:p w14:paraId="61C131E8">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其他拉伸强度</w:t>
            </w:r>
          </w:p>
        </w:tc>
        <w:tc>
          <w:tcPr>
            <w:tcW w:w="2449" w:type="dxa"/>
            <w:noWrap w:val="0"/>
            <w:vAlign w:val="center"/>
          </w:tcPr>
          <w:p w14:paraId="1632AEFF">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26706—2025</w:t>
            </w:r>
          </w:p>
        </w:tc>
      </w:tr>
      <w:tr w14:paraId="67BE5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jc w:val="center"/>
        </w:trPr>
        <w:tc>
          <w:tcPr>
            <w:tcW w:w="1005" w:type="dxa"/>
            <w:noWrap w:val="0"/>
            <w:vAlign w:val="center"/>
          </w:tcPr>
          <w:p w14:paraId="33CB1E48">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22</w:t>
            </w:r>
          </w:p>
        </w:tc>
        <w:tc>
          <w:tcPr>
            <w:tcW w:w="1071" w:type="dxa"/>
            <w:vMerge w:val="continue"/>
            <w:noWrap w:val="0"/>
            <w:vAlign w:val="top"/>
          </w:tcPr>
          <w:p w14:paraId="75626774">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宋体" w:hAnsi="宋体" w:eastAsia="宋体" w:cs="宋体"/>
                <w:color w:val="000000"/>
                <w:sz w:val="21"/>
                <w:szCs w:val="21"/>
                <w:lang w:val="en-US" w:eastAsia="zh-CN"/>
              </w:rPr>
            </w:pPr>
          </w:p>
        </w:tc>
        <w:tc>
          <w:tcPr>
            <w:tcW w:w="880" w:type="dxa"/>
            <w:vMerge w:val="continue"/>
            <w:noWrap w:val="0"/>
            <w:vAlign w:val="center"/>
          </w:tcPr>
          <w:p w14:paraId="07C104E0">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p>
        </w:tc>
        <w:tc>
          <w:tcPr>
            <w:tcW w:w="1436" w:type="dxa"/>
            <w:gridSpan w:val="2"/>
            <w:noWrap w:val="0"/>
            <w:vAlign w:val="center"/>
          </w:tcPr>
          <w:p w14:paraId="7EB41EE9">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乳胶（乳胶棉）垫</w:t>
            </w:r>
          </w:p>
        </w:tc>
        <w:tc>
          <w:tcPr>
            <w:tcW w:w="2177" w:type="dxa"/>
            <w:noWrap w:val="0"/>
            <w:vAlign w:val="center"/>
          </w:tcPr>
          <w:p w14:paraId="40A2BFC3">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压陷硬度指数</w:t>
            </w:r>
          </w:p>
        </w:tc>
        <w:tc>
          <w:tcPr>
            <w:tcW w:w="2449" w:type="dxa"/>
            <w:noWrap w:val="0"/>
            <w:vAlign w:val="center"/>
          </w:tcPr>
          <w:p w14:paraId="2AF51F9A">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26706—2025</w:t>
            </w:r>
          </w:p>
        </w:tc>
      </w:tr>
      <w:tr w14:paraId="52497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noWrap w:val="0"/>
            <w:vAlign w:val="center"/>
          </w:tcPr>
          <w:p w14:paraId="61EB4F12">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w:t>
            </w:r>
          </w:p>
        </w:tc>
        <w:tc>
          <w:tcPr>
            <w:tcW w:w="1071" w:type="dxa"/>
            <w:vMerge w:val="continue"/>
            <w:noWrap w:val="0"/>
            <w:vAlign w:val="center"/>
          </w:tcPr>
          <w:p w14:paraId="55EDC2DB">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p>
        </w:tc>
        <w:tc>
          <w:tcPr>
            <w:tcW w:w="2246" w:type="dxa"/>
            <w:gridSpan w:val="2"/>
            <w:vMerge w:val="restart"/>
            <w:noWrap w:val="0"/>
            <w:vAlign w:val="center"/>
          </w:tcPr>
          <w:p w14:paraId="14D5872F">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经编间隔织物</w:t>
            </w:r>
          </w:p>
        </w:tc>
        <w:tc>
          <w:tcPr>
            <w:tcW w:w="2247" w:type="dxa"/>
            <w:gridSpan w:val="2"/>
            <w:noWrap w:val="0"/>
            <w:vAlign w:val="center"/>
          </w:tcPr>
          <w:p w14:paraId="1364AEAA">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密度</w:t>
            </w:r>
          </w:p>
        </w:tc>
        <w:tc>
          <w:tcPr>
            <w:tcW w:w="2449" w:type="dxa"/>
            <w:noWrap w:val="0"/>
            <w:vAlign w:val="center"/>
          </w:tcPr>
          <w:p w14:paraId="7E06DD50">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26706—2025</w:t>
            </w:r>
          </w:p>
        </w:tc>
      </w:tr>
      <w:tr w14:paraId="03492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noWrap w:val="0"/>
            <w:vAlign w:val="center"/>
          </w:tcPr>
          <w:p w14:paraId="58B8BF84">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24</w:t>
            </w:r>
          </w:p>
        </w:tc>
        <w:tc>
          <w:tcPr>
            <w:tcW w:w="1071" w:type="dxa"/>
            <w:vMerge w:val="continue"/>
            <w:noWrap w:val="0"/>
            <w:vAlign w:val="center"/>
          </w:tcPr>
          <w:p w14:paraId="53A97199">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p>
        </w:tc>
        <w:tc>
          <w:tcPr>
            <w:tcW w:w="2246" w:type="dxa"/>
            <w:gridSpan w:val="2"/>
            <w:vMerge w:val="continue"/>
            <w:noWrap w:val="0"/>
            <w:vAlign w:val="center"/>
          </w:tcPr>
          <w:p w14:paraId="5D55C0C2">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p>
        </w:tc>
        <w:tc>
          <w:tcPr>
            <w:tcW w:w="2247" w:type="dxa"/>
            <w:gridSpan w:val="2"/>
            <w:noWrap w:val="0"/>
            <w:vAlign w:val="center"/>
          </w:tcPr>
          <w:p w14:paraId="0B444885">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pH</w:t>
            </w:r>
          </w:p>
        </w:tc>
        <w:tc>
          <w:tcPr>
            <w:tcW w:w="2449" w:type="dxa"/>
            <w:noWrap w:val="0"/>
            <w:vAlign w:val="center"/>
          </w:tcPr>
          <w:p w14:paraId="56840007">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26706—2025</w:t>
            </w:r>
          </w:p>
        </w:tc>
      </w:tr>
      <w:tr w14:paraId="6B5DF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noWrap w:val="0"/>
            <w:vAlign w:val="center"/>
          </w:tcPr>
          <w:p w14:paraId="048DD4E3">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25</w:t>
            </w:r>
          </w:p>
        </w:tc>
        <w:tc>
          <w:tcPr>
            <w:tcW w:w="1071" w:type="dxa"/>
            <w:vMerge w:val="restart"/>
            <w:noWrap w:val="0"/>
            <w:vAlign w:val="center"/>
          </w:tcPr>
          <w:p w14:paraId="161EA738">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耐久性</w:t>
            </w:r>
          </w:p>
        </w:tc>
        <w:tc>
          <w:tcPr>
            <w:tcW w:w="4493" w:type="dxa"/>
            <w:gridSpan w:val="4"/>
            <w:noWrap w:val="0"/>
            <w:vAlign w:val="center"/>
          </w:tcPr>
          <w:p w14:paraId="1B74E552">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垫面（睡眠区域中心）</w:t>
            </w:r>
          </w:p>
        </w:tc>
        <w:tc>
          <w:tcPr>
            <w:tcW w:w="2449" w:type="dxa"/>
            <w:noWrap w:val="0"/>
            <w:vAlign w:val="center"/>
          </w:tcPr>
          <w:p w14:paraId="5FDAFF8E">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26706—2025</w:t>
            </w:r>
          </w:p>
        </w:tc>
      </w:tr>
      <w:tr w14:paraId="1CD6C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1005" w:type="dxa"/>
            <w:noWrap w:val="0"/>
            <w:vAlign w:val="center"/>
          </w:tcPr>
          <w:p w14:paraId="30D17B7B">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26</w:t>
            </w:r>
          </w:p>
        </w:tc>
        <w:tc>
          <w:tcPr>
            <w:tcW w:w="1071" w:type="dxa"/>
            <w:vMerge w:val="continue"/>
            <w:noWrap w:val="0"/>
            <w:vAlign w:val="center"/>
          </w:tcPr>
          <w:p w14:paraId="53C028BD">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p>
        </w:tc>
        <w:tc>
          <w:tcPr>
            <w:tcW w:w="4493" w:type="dxa"/>
            <w:gridSpan w:val="4"/>
            <w:noWrap w:val="0"/>
            <w:vAlign w:val="center"/>
          </w:tcPr>
          <w:p w14:paraId="4D21C9FF">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边部</w:t>
            </w:r>
          </w:p>
        </w:tc>
        <w:tc>
          <w:tcPr>
            <w:tcW w:w="2449" w:type="dxa"/>
            <w:noWrap w:val="0"/>
            <w:vAlign w:val="center"/>
          </w:tcPr>
          <w:p w14:paraId="56A69C53">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GB/T 26706—2025</w:t>
            </w:r>
          </w:p>
        </w:tc>
      </w:tr>
    </w:tbl>
    <w:p w14:paraId="595B79B5">
      <w:pPr>
        <w:snapToGrid w:val="0"/>
        <w:spacing w:line="440" w:lineRule="exact"/>
        <w:ind w:firstLine="359" w:firstLineChars="171"/>
        <w:rPr>
          <w:rFonts w:hint="eastAsia" w:ascii="宋体" w:hAnsi="宋体" w:eastAsia="宋体" w:cs="宋体"/>
          <w:sz w:val="21"/>
          <w:szCs w:val="21"/>
        </w:rPr>
      </w:pPr>
    </w:p>
    <w:p w14:paraId="426B73B6">
      <w:pPr>
        <w:snapToGrid w:val="0"/>
        <w:spacing w:line="440" w:lineRule="exact"/>
        <w:ind w:firstLine="420" w:firstLineChars="200"/>
        <w:jc w:val="center"/>
        <w:rPr>
          <w:rFonts w:hint="eastAsia" w:ascii="宋体" w:hAnsi="宋体" w:eastAsia="宋体" w:cs="宋体"/>
          <w:sz w:val="21"/>
          <w:szCs w:val="21"/>
        </w:rPr>
      </w:pPr>
      <w:r>
        <w:rPr>
          <w:rFonts w:hint="eastAsia" w:ascii="宋体" w:hAnsi="宋体" w:eastAsia="宋体" w:cs="宋体"/>
          <w:color w:val="000000"/>
          <w:sz w:val="21"/>
          <w:szCs w:val="21"/>
        </w:rPr>
        <w:t>表</w:t>
      </w:r>
      <w:r>
        <w:rPr>
          <w:rFonts w:hint="eastAsia" w:ascii="宋体" w:hAnsi="宋体" w:cs="宋体"/>
          <w:color w:val="000000"/>
          <w:sz w:val="21"/>
          <w:szCs w:val="21"/>
          <w:lang w:val="en-US" w:eastAsia="zh-CN"/>
        </w:rPr>
        <w:t>3</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婴幼儿床垫</w:t>
      </w:r>
      <w:r>
        <w:rPr>
          <w:rFonts w:hint="eastAsia" w:ascii="宋体" w:hAnsi="宋体" w:eastAsia="宋体" w:cs="宋体"/>
          <w:color w:val="000000"/>
          <w:sz w:val="21"/>
          <w:szCs w:val="21"/>
        </w:rPr>
        <w:t>（</w:t>
      </w:r>
      <w:r>
        <w:rPr>
          <w:rFonts w:hint="eastAsia" w:ascii="宋体" w:hAnsi="宋体" w:eastAsia="宋体" w:cs="宋体"/>
          <w:color w:val="000000"/>
          <w:sz w:val="21"/>
          <w:szCs w:val="21"/>
          <w:lang w:val="en-US" w:eastAsia="zh-CN"/>
        </w:rPr>
        <w:t>QB/T 5590-2021</w:t>
      </w:r>
      <w:r>
        <w:rPr>
          <w:rFonts w:hint="eastAsia" w:ascii="宋体" w:hAnsi="宋体" w:eastAsia="宋体" w:cs="宋体"/>
          <w:color w:val="000000"/>
          <w:sz w:val="21"/>
          <w:szCs w:val="21"/>
        </w:rPr>
        <w:t>）</w:t>
      </w:r>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1466"/>
        <w:gridCol w:w="2543"/>
        <w:gridCol w:w="4498"/>
      </w:tblGrid>
      <w:tr w14:paraId="722C1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jc w:val="center"/>
        </w:trPr>
        <w:tc>
          <w:tcPr>
            <w:tcW w:w="363" w:type="pct"/>
            <w:tcBorders>
              <w:top w:val="single" w:color="auto" w:sz="4" w:space="0"/>
              <w:left w:val="single" w:color="auto" w:sz="4" w:space="0"/>
              <w:bottom w:val="single" w:color="auto" w:sz="4" w:space="0"/>
              <w:right w:val="single" w:color="auto" w:sz="4" w:space="0"/>
            </w:tcBorders>
            <w:noWrap w:val="0"/>
            <w:vAlign w:val="center"/>
          </w:tcPr>
          <w:p w14:paraId="3BC773B8">
            <w:pPr>
              <w:pStyle w:val="6"/>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kern w:val="2"/>
                <w:sz w:val="21"/>
                <w:szCs w:val="21"/>
              </w:rPr>
            </w:pPr>
            <w:r>
              <w:rPr>
                <w:rFonts w:hint="eastAsia" w:ascii="宋体" w:hAnsi="宋体" w:eastAsia="宋体" w:cs="宋体"/>
                <w:kern w:val="2"/>
                <w:sz w:val="21"/>
                <w:szCs w:val="21"/>
              </w:rPr>
              <w:t>序号</w:t>
            </w:r>
          </w:p>
        </w:tc>
        <w:tc>
          <w:tcPr>
            <w:tcW w:w="2185" w:type="pct"/>
            <w:gridSpan w:val="2"/>
            <w:noWrap w:val="0"/>
            <w:vAlign w:val="center"/>
          </w:tcPr>
          <w:p w14:paraId="09E4B19A">
            <w:pPr>
              <w:pStyle w:val="6"/>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kern w:val="2"/>
                <w:sz w:val="21"/>
                <w:szCs w:val="21"/>
              </w:rPr>
            </w:pPr>
            <w:r>
              <w:rPr>
                <w:rFonts w:hint="eastAsia" w:ascii="宋体" w:hAnsi="宋体" w:eastAsia="宋体" w:cs="宋体"/>
                <w:kern w:val="2"/>
                <w:sz w:val="21"/>
                <w:szCs w:val="21"/>
              </w:rPr>
              <w:t>检验项目</w:t>
            </w:r>
          </w:p>
        </w:tc>
        <w:tc>
          <w:tcPr>
            <w:tcW w:w="2451" w:type="pct"/>
            <w:noWrap w:val="0"/>
            <w:vAlign w:val="center"/>
          </w:tcPr>
          <w:p w14:paraId="1F8E661B">
            <w:pPr>
              <w:pStyle w:val="6"/>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kern w:val="2"/>
                <w:sz w:val="21"/>
                <w:szCs w:val="21"/>
              </w:rPr>
            </w:pPr>
            <w:r>
              <w:rPr>
                <w:rFonts w:hint="eastAsia" w:ascii="宋体" w:hAnsi="宋体" w:eastAsia="宋体" w:cs="宋体"/>
                <w:kern w:val="2"/>
                <w:sz w:val="21"/>
                <w:szCs w:val="21"/>
              </w:rPr>
              <w:t>检验方法</w:t>
            </w:r>
          </w:p>
        </w:tc>
      </w:tr>
      <w:tr w14:paraId="7C61C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5" w:hRule="atLeast"/>
          <w:jc w:val="center"/>
        </w:trPr>
        <w:tc>
          <w:tcPr>
            <w:tcW w:w="363" w:type="pct"/>
            <w:tcBorders>
              <w:top w:val="single" w:color="auto" w:sz="4" w:space="0"/>
              <w:left w:val="single" w:color="auto" w:sz="4" w:space="0"/>
              <w:right w:val="single" w:color="auto" w:sz="4" w:space="0"/>
            </w:tcBorders>
            <w:noWrap w:val="0"/>
            <w:vAlign w:val="center"/>
          </w:tcPr>
          <w:p w14:paraId="7451759E">
            <w:pPr>
              <w:pStyle w:val="6"/>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kern w:val="2"/>
                <w:sz w:val="21"/>
                <w:szCs w:val="21"/>
                <w:lang w:eastAsia="zh-CN"/>
              </w:rPr>
            </w:pPr>
            <w:r>
              <w:rPr>
                <w:rFonts w:hint="eastAsia" w:ascii="宋体" w:hAnsi="宋体" w:eastAsia="宋体" w:cs="宋体"/>
                <w:kern w:val="2"/>
                <w:sz w:val="21"/>
                <w:szCs w:val="21"/>
                <w:lang w:val="en-US" w:eastAsia="zh-CN"/>
              </w:rPr>
              <w:t>1</w:t>
            </w:r>
          </w:p>
        </w:tc>
        <w:tc>
          <w:tcPr>
            <w:tcW w:w="799" w:type="pct"/>
            <w:noWrap w:val="0"/>
            <w:vAlign w:val="center"/>
          </w:tcPr>
          <w:p w14:paraId="36AD977A">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棕纤维弹性材料</w:t>
            </w:r>
          </w:p>
        </w:tc>
        <w:tc>
          <w:tcPr>
            <w:tcW w:w="1386" w:type="pct"/>
            <w:noWrap w:val="0"/>
            <w:vAlign w:val="center"/>
          </w:tcPr>
          <w:p w14:paraId="7DDC21BC">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sz w:val="21"/>
                <w:szCs w:val="21"/>
              </w:rPr>
            </w:pPr>
            <w:r>
              <w:rPr>
                <w:rFonts w:hint="eastAsia" w:ascii="宋体" w:hAnsi="宋体" w:eastAsia="宋体" w:cs="宋体"/>
                <w:sz w:val="21"/>
                <w:szCs w:val="21"/>
              </w:rPr>
              <w:t>含水率</w:t>
            </w:r>
          </w:p>
        </w:tc>
        <w:tc>
          <w:tcPr>
            <w:tcW w:w="2451" w:type="pct"/>
            <w:noWrap w:val="0"/>
            <w:vAlign w:val="center"/>
          </w:tcPr>
          <w:p w14:paraId="79F68E8A">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sz w:val="21"/>
                <w:szCs w:val="21"/>
              </w:rPr>
            </w:pPr>
            <w:r>
              <w:rPr>
                <w:rFonts w:hint="eastAsia" w:ascii="宋体" w:hAnsi="宋体" w:eastAsia="宋体" w:cs="宋体"/>
                <w:sz w:val="21"/>
                <w:szCs w:val="21"/>
              </w:rPr>
              <w:t>GB/T 26706</w:t>
            </w:r>
          </w:p>
        </w:tc>
      </w:tr>
      <w:tr w14:paraId="06953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1" w:hRule="atLeast"/>
          <w:jc w:val="center"/>
        </w:trPr>
        <w:tc>
          <w:tcPr>
            <w:tcW w:w="363" w:type="pct"/>
            <w:vMerge w:val="restart"/>
            <w:tcBorders>
              <w:top w:val="single" w:color="auto" w:sz="4" w:space="0"/>
              <w:left w:val="single" w:color="auto" w:sz="4" w:space="0"/>
              <w:right w:val="single" w:color="auto" w:sz="4" w:space="0"/>
            </w:tcBorders>
            <w:noWrap w:val="0"/>
            <w:vAlign w:val="center"/>
          </w:tcPr>
          <w:p w14:paraId="69DB56A1">
            <w:pPr>
              <w:pStyle w:val="6"/>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kern w:val="2"/>
                <w:sz w:val="21"/>
                <w:szCs w:val="21"/>
                <w:lang w:eastAsia="zh-CN"/>
              </w:rPr>
            </w:pPr>
            <w:r>
              <w:rPr>
                <w:rFonts w:hint="eastAsia" w:ascii="宋体" w:hAnsi="宋体" w:eastAsia="宋体" w:cs="宋体"/>
                <w:kern w:val="2"/>
                <w:sz w:val="21"/>
                <w:szCs w:val="21"/>
                <w:lang w:val="en-US" w:eastAsia="zh-CN"/>
              </w:rPr>
              <w:t>2</w:t>
            </w:r>
          </w:p>
        </w:tc>
        <w:tc>
          <w:tcPr>
            <w:tcW w:w="799" w:type="pct"/>
            <w:vMerge w:val="restart"/>
            <w:noWrap w:val="0"/>
            <w:vAlign w:val="center"/>
          </w:tcPr>
          <w:p w14:paraId="3EB1D962">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乳胶</w:t>
            </w:r>
          </w:p>
        </w:tc>
        <w:tc>
          <w:tcPr>
            <w:tcW w:w="1386" w:type="pct"/>
            <w:noWrap w:val="0"/>
            <w:vAlign w:val="center"/>
          </w:tcPr>
          <w:p w14:paraId="4D33643E">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压陷硬度指数</w:t>
            </w:r>
          </w:p>
        </w:tc>
        <w:tc>
          <w:tcPr>
            <w:tcW w:w="2451" w:type="pct"/>
            <w:noWrap w:val="0"/>
            <w:vAlign w:val="center"/>
          </w:tcPr>
          <w:p w14:paraId="0D82C0EA">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GB/T 10807-2006</w:t>
            </w:r>
          </w:p>
        </w:tc>
      </w:tr>
      <w:tr w14:paraId="3DACF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jc w:val="center"/>
        </w:trPr>
        <w:tc>
          <w:tcPr>
            <w:tcW w:w="363" w:type="pct"/>
            <w:vMerge w:val="continue"/>
            <w:tcBorders>
              <w:left w:val="single" w:color="auto" w:sz="4" w:space="0"/>
              <w:right w:val="single" w:color="auto" w:sz="4" w:space="0"/>
            </w:tcBorders>
            <w:noWrap w:val="0"/>
            <w:vAlign w:val="center"/>
          </w:tcPr>
          <w:p w14:paraId="4A4AEC5F">
            <w:pPr>
              <w:pStyle w:val="6"/>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kern w:val="2"/>
                <w:sz w:val="21"/>
                <w:szCs w:val="21"/>
              </w:rPr>
            </w:pPr>
          </w:p>
        </w:tc>
        <w:tc>
          <w:tcPr>
            <w:tcW w:w="799" w:type="pct"/>
            <w:vMerge w:val="continue"/>
            <w:noWrap w:val="0"/>
            <w:vAlign w:val="center"/>
          </w:tcPr>
          <w:p w14:paraId="2C4C7BB3">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sz w:val="21"/>
                <w:szCs w:val="21"/>
              </w:rPr>
            </w:pPr>
          </w:p>
        </w:tc>
        <w:tc>
          <w:tcPr>
            <w:tcW w:w="1386" w:type="pct"/>
            <w:noWrap w:val="0"/>
            <w:vAlign w:val="center"/>
          </w:tcPr>
          <w:p w14:paraId="363B0567">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干热老化后压陷硬度变化率</w:t>
            </w:r>
          </w:p>
        </w:tc>
        <w:tc>
          <w:tcPr>
            <w:tcW w:w="2451" w:type="pct"/>
            <w:noWrap w:val="0"/>
            <w:vAlign w:val="center"/>
          </w:tcPr>
          <w:p w14:paraId="7E7B47C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GB/T 10807-2006</w:t>
            </w:r>
          </w:p>
          <w:p w14:paraId="0EECB37D">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GB/T 9640</w:t>
            </w:r>
          </w:p>
        </w:tc>
      </w:tr>
      <w:tr w14:paraId="7C056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9" w:hRule="atLeast"/>
          <w:jc w:val="center"/>
        </w:trPr>
        <w:tc>
          <w:tcPr>
            <w:tcW w:w="363" w:type="pct"/>
            <w:tcBorders>
              <w:left w:val="single" w:color="auto" w:sz="4" w:space="0"/>
              <w:bottom w:val="single" w:color="auto" w:sz="4" w:space="0"/>
              <w:right w:val="single" w:color="auto" w:sz="4" w:space="0"/>
            </w:tcBorders>
            <w:noWrap w:val="0"/>
            <w:vAlign w:val="center"/>
          </w:tcPr>
          <w:p w14:paraId="6CE20C13">
            <w:pPr>
              <w:pStyle w:val="6"/>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kern w:val="2"/>
                <w:sz w:val="21"/>
                <w:szCs w:val="21"/>
                <w:lang w:eastAsia="zh-CN"/>
              </w:rPr>
            </w:pPr>
            <w:r>
              <w:rPr>
                <w:rFonts w:hint="eastAsia" w:ascii="宋体" w:hAnsi="宋体" w:eastAsia="宋体" w:cs="宋体"/>
                <w:kern w:val="2"/>
                <w:sz w:val="21"/>
                <w:szCs w:val="21"/>
                <w:lang w:val="en-US" w:eastAsia="zh-CN"/>
              </w:rPr>
              <w:t>3</w:t>
            </w:r>
          </w:p>
        </w:tc>
        <w:tc>
          <w:tcPr>
            <w:tcW w:w="2185" w:type="pct"/>
            <w:gridSpan w:val="2"/>
            <w:noWrap w:val="0"/>
            <w:vAlign w:val="center"/>
          </w:tcPr>
          <w:p w14:paraId="77CA84F8">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结构安全</w:t>
            </w:r>
            <w:bookmarkStart w:id="0" w:name="_GoBack"/>
            <w:bookmarkEnd w:id="0"/>
          </w:p>
        </w:tc>
        <w:tc>
          <w:tcPr>
            <w:tcW w:w="2451" w:type="pct"/>
            <w:noWrap w:val="0"/>
            <w:vAlign w:val="center"/>
          </w:tcPr>
          <w:p w14:paraId="4FA9E22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QB/T 5590-2021</w:t>
            </w:r>
          </w:p>
          <w:p w14:paraId="7131175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 6675.2-2014</w:t>
            </w:r>
          </w:p>
        </w:tc>
      </w:tr>
      <w:tr w14:paraId="54E65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9" w:hRule="atLeast"/>
          <w:jc w:val="center"/>
        </w:trPr>
        <w:tc>
          <w:tcPr>
            <w:tcW w:w="363" w:type="pct"/>
            <w:tcBorders>
              <w:left w:val="single" w:color="auto" w:sz="4" w:space="0"/>
              <w:bottom w:val="single" w:color="auto" w:sz="4" w:space="0"/>
              <w:right w:val="single" w:color="auto" w:sz="4" w:space="0"/>
            </w:tcBorders>
            <w:noWrap w:val="0"/>
            <w:vAlign w:val="center"/>
          </w:tcPr>
          <w:p w14:paraId="6123870E">
            <w:pPr>
              <w:pStyle w:val="6"/>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4</w:t>
            </w:r>
          </w:p>
        </w:tc>
        <w:tc>
          <w:tcPr>
            <w:tcW w:w="799" w:type="pct"/>
            <w:vMerge w:val="restart"/>
            <w:noWrap w:val="0"/>
            <w:vAlign w:val="center"/>
          </w:tcPr>
          <w:p w14:paraId="1D705C65">
            <w:pPr>
              <w:keepNext w:val="0"/>
              <w:keepLines w:val="0"/>
              <w:pageBreakBefore w:val="0"/>
              <w:widowControl w:val="0"/>
              <w:kinsoku/>
              <w:wordWrap/>
              <w:overflowPunct/>
              <w:topLinePunct w:val="0"/>
              <w:autoSpaceDE/>
              <w:autoSpaceDN/>
              <w:bidi w:val="0"/>
              <w:adjustRightInd/>
              <w:snapToGrid/>
              <w:spacing w:line="440" w:lineRule="exact"/>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有害物质限量</w:t>
            </w:r>
          </w:p>
        </w:tc>
        <w:tc>
          <w:tcPr>
            <w:tcW w:w="1386" w:type="pct"/>
            <w:noWrap w:val="0"/>
            <w:vAlign w:val="center"/>
          </w:tcPr>
          <w:p w14:paraId="34356DCB">
            <w:pPr>
              <w:spacing w:line="300" w:lineRule="exact"/>
              <w:jc w:val="center"/>
              <w:rPr>
                <w:rFonts w:hint="eastAsia" w:ascii="宋体" w:hAnsi="宋体" w:eastAsia="宋体" w:cs="宋体"/>
                <w:sz w:val="21"/>
                <w:szCs w:val="21"/>
                <w:lang w:val="en-US" w:eastAsia="zh-CN"/>
              </w:rPr>
            </w:pPr>
            <w:r>
              <w:rPr>
                <w:rFonts w:hint="eastAsia" w:ascii="宋体" w:hAnsi="宋体" w:eastAsia="宋体" w:cs="宋体"/>
                <w:szCs w:val="21"/>
              </w:rPr>
              <w:t>甲醛</w:t>
            </w:r>
          </w:p>
        </w:tc>
        <w:tc>
          <w:tcPr>
            <w:tcW w:w="4498" w:type="dxa"/>
            <w:noWrap w:val="0"/>
            <w:vAlign w:val="center"/>
          </w:tcPr>
          <w:p w14:paraId="6F78E9D2">
            <w:pPr>
              <w:spacing w:line="30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Cs w:val="21"/>
              </w:rPr>
              <w:t>GB 18584—2024</w:t>
            </w:r>
          </w:p>
        </w:tc>
      </w:tr>
      <w:tr w14:paraId="39443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9" w:hRule="atLeast"/>
          <w:jc w:val="center"/>
        </w:trPr>
        <w:tc>
          <w:tcPr>
            <w:tcW w:w="363" w:type="pct"/>
            <w:tcBorders>
              <w:left w:val="single" w:color="auto" w:sz="4" w:space="0"/>
              <w:bottom w:val="single" w:color="auto" w:sz="4" w:space="0"/>
              <w:right w:val="single" w:color="auto" w:sz="4" w:space="0"/>
            </w:tcBorders>
            <w:noWrap w:val="0"/>
            <w:vAlign w:val="center"/>
          </w:tcPr>
          <w:p w14:paraId="5FC6D11D">
            <w:pPr>
              <w:pStyle w:val="6"/>
              <w:keepNext w:val="0"/>
              <w:keepLines w:val="0"/>
              <w:pageBreakBefore w:val="0"/>
              <w:widowControl w:val="0"/>
              <w:kinsoku/>
              <w:wordWrap/>
              <w:overflowPunct/>
              <w:topLinePunct w:val="0"/>
              <w:autoSpaceDE/>
              <w:autoSpaceDN/>
              <w:bidi w:val="0"/>
              <w:adjustRightInd/>
              <w:snapToGrid/>
              <w:spacing w:line="440" w:lineRule="exact"/>
              <w:jc w:val="center"/>
              <w:rPr>
                <w:rFonts w:hint="default" w:ascii="宋体" w:hAnsi="宋体" w:eastAsia="宋体" w:cs="宋体"/>
                <w:kern w:val="2"/>
                <w:sz w:val="21"/>
                <w:szCs w:val="21"/>
                <w:lang w:val="en-US" w:eastAsia="zh-CN"/>
              </w:rPr>
            </w:pPr>
            <w:r>
              <w:rPr>
                <w:rFonts w:hint="eastAsia" w:hAnsi="宋体" w:cs="宋体"/>
                <w:kern w:val="2"/>
                <w:sz w:val="21"/>
                <w:szCs w:val="21"/>
                <w:lang w:val="en-US" w:eastAsia="zh-CN"/>
              </w:rPr>
              <w:t>5</w:t>
            </w:r>
          </w:p>
        </w:tc>
        <w:tc>
          <w:tcPr>
            <w:tcW w:w="799" w:type="pct"/>
            <w:vMerge w:val="continue"/>
            <w:tcBorders/>
            <w:noWrap w:val="0"/>
            <w:vAlign w:val="center"/>
          </w:tcPr>
          <w:p w14:paraId="617218BE">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sz w:val="21"/>
                <w:szCs w:val="21"/>
                <w:lang w:val="en-US" w:eastAsia="zh-CN"/>
              </w:rPr>
            </w:pPr>
          </w:p>
        </w:tc>
        <w:tc>
          <w:tcPr>
            <w:tcW w:w="1386" w:type="pct"/>
            <w:noWrap w:val="0"/>
            <w:vAlign w:val="center"/>
          </w:tcPr>
          <w:p w14:paraId="031C9CC5">
            <w:pPr>
              <w:spacing w:line="300" w:lineRule="exact"/>
              <w:jc w:val="center"/>
              <w:rPr>
                <w:rFonts w:hint="eastAsia" w:ascii="宋体" w:hAnsi="宋体" w:eastAsia="宋体" w:cs="宋体"/>
                <w:sz w:val="21"/>
                <w:szCs w:val="21"/>
                <w:lang w:val="en-US" w:eastAsia="zh-CN"/>
              </w:rPr>
            </w:pPr>
            <w:r>
              <w:rPr>
                <w:rFonts w:hint="eastAsia" w:ascii="宋体" w:hAnsi="宋体" w:eastAsia="宋体" w:cs="宋体"/>
                <w:szCs w:val="21"/>
              </w:rPr>
              <w:t>苯</w:t>
            </w:r>
          </w:p>
        </w:tc>
        <w:tc>
          <w:tcPr>
            <w:tcW w:w="4498" w:type="dxa"/>
            <w:noWrap w:val="0"/>
            <w:vAlign w:val="center"/>
          </w:tcPr>
          <w:p w14:paraId="0C0A8358">
            <w:pPr>
              <w:spacing w:line="30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Cs w:val="21"/>
              </w:rPr>
              <w:t>GB 18584—2024</w:t>
            </w:r>
          </w:p>
        </w:tc>
      </w:tr>
      <w:tr w14:paraId="42074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9" w:hRule="atLeast"/>
          <w:jc w:val="center"/>
        </w:trPr>
        <w:tc>
          <w:tcPr>
            <w:tcW w:w="363" w:type="pct"/>
            <w:tcBorders>
              <w:left w:val="single" w:color="auto" w:sz="4" w:space="0"/>
              <w:bottom w:val="single" w:color="auto" w:sz="4" w:space="0"/>
              <w:right w:val="single" w:color="auto" w:sz="4" w:space="0"/>
            </w:tcBorders>
            <w:noWrap w:val="0"/>
            <w:vAlign w:val="center"/>
          </w:tcPr>
          <w:p w14:paraId="6714B87A">
            <w:pPr>
              <w:pStyle w:val="6"/>
              <w:keepNext w:val="0"/>
              <w:keepLines w:val="0"/>
              <w:pageBreakBefore w:val="0"/>
              <w:widowControl w:val="0"/>
              <w:kinsoku/>
              <w:wordWrap/>
              <w:overflowPunct/>
              <w:topLinePunct w:val="0"/>
              <w:autoSpaceDE/>
              <w:autoSpaceDN/>
              <w:bidi w:val="0"/>
              <w:adjustRightInd/>
              <w:snapToGrid/>
              <w:spacing w:line="440" w:lineRule="exact"/>
              <w:jc w:val="center"/>
              <w:rPr>
                <w:rFonts w:hint="default" w:ascii="宋体" w:hAnsi="宋体" w:eastAsia="宋体" w:cs="宋体"/>
                <w:kern w:val="2"/>
                <w:sz w:val="21"/>
                <w:szCs w:val="21"/>
                <w:lang w:val="en-US" w:eastAsia="zh-CN"/>
              </w:rPr>
            </w:pPr>
            <w:r>
              <w:rPr>
                <w:rFonts w:hint="eastAsia" w:hAnsi="宋体" w:cs="宋体"/>
                <w:kern w:val="2"/>
                <w:sz w:val="21"/>
                <w:szCs w:val="21"/>
                <w:lang w:val="en-US" w:eastAsia="zh-CN"/>
              </w:rPr>
              <w:t>6</w:t>
            </w:r>
          </w:p>
        </w:tc>
        <w:tc>
          <w:tcPr>
            <w:tcW w:w="799" w:type="pct"/>
            <w:vMerge w:val="continue"/>
            <w:tcBorders/>
            <w:noWrap w:val="0"/>
            <w:vAlign w:val="center"/>
          </w:tcPr>
          <w:p w14:paraId="662DFB33">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sz w:val="21"/>
                <w:szCs w:val="21"/>
                <w:lang w:val="en-US" w:eastAsia="zh-CN"/>
              </w:rPr>
            </w:pPr>
          </w:p>
        </w:tc>
        <w:tc>
          <w:tcPr>
            <w:tcW w:w="1386" w:type="pct"/>
            <w:noWrap w:val="0"/>
            <w:vAlign w:val="center"/>
          </w:tcPr>
          <w:p w14:paraId="2056E656">
            <w:pPr>
              <w:spacing w:line="300" w:lineRule="exact"/>
              <w:jc w:val="center"/>
              <w:rPr>
                <w:rFonts w:hint="eastAsia" w:ascii="宋体" w:hAnsi="宋体" w:eastAsia="宋体" w:cs="宋体"/>
                <w:sz w:val="21"/>
                <w:szCs w:val="21"/>
                <w:lang w:val="en-US" w:eastAsia="zh-CN"/>
              </w:rPr>
            </w:pPr>
            <w:r>
              <w:rPr>
                <w:rFonts w:hint="eastAsia" w:ascii="宋体" w:hAnsi="宋体" w:eastAsia="宋体" w:cs="宋体"/>
                <w:szCs w:val="21"/>
              </w:rPr>
              <w:t>甲苯</w:t>
            </w:r>
          </w:p>
        </w:tc>
        <w:tc>
          <w:tcPr>
            <w:tcW w:w="4498" w:type="dxa"/>
            <w:noWrap w:val="0"/>
            <w:vAlign w:val="center"/>
          </w:tcPr>
          <w:p w14:paraId="4E3211CD">
            <w:pPr>
              <w:spacing w:line="30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Cs w:val="21"/>
              </w:rPr>
              <w:t>GB 18584—2024</w:t>
            </w:r>
          </w:p>
        </w:tc>
      </w:tr>
      <w:tr w14:paraId="0AB4A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9" w:hRule="atLeast"/>
          <w:jc w:val="center"/>
        </w:trPr>
        <w:tc>
          <w:tcPr>
            <w:tcW w:w="363" w:type="pct"/>
            <w:tcBorders>
              <w:left w:val="single" w:color="auto" w:sz="4" w:space="0"/>
              <w:bottom w:val="single" w:color="auto" w:sz="4" w:space="0"/>
              <w:right w:val="single" w:color="auto" w:sz="4" w:space="0"/>
            </w:tcBorders>
            <w:noWrap w:val="0"/>
            <w:vAlign w:val="center"/>
          </w:tcPr>
          <w:p w14:paraId="3B8D0DA2">
            <w:pPr>
              <w:pStyle w:val="6"/>
              <w:keepNext w:val="0"/>
              <w:keepLines w:val="0"/>
              <w:pageBreakBefore w:val="0"/>
              <w:widowControl w:val="0"/>
              <w:kinsoku/>
              <w:wordWrap/>
              <w:overflowPunct/>
              <w:topLinePunct w:val="0"/>
              <w:autoSpaceDE/>
              <w:autoSpaceDN/>
              <w:bidi w:val="0"/>
              <w:adjustRightInd/>
              <w:snapToGrid/>
              <w:spacing w:line="440" w:lineRule="exact"/>
              <w:jc w:val="center"/>
              <w:rPr>
                <w:rFonts w:hint="default" w:ascii="宋体" w:hAnsi="宋体" w:eastAsia="宋体" w:cs="宋体"/>
                <w:kern w:val="2"/>
                <w:sz w:val="21"/>
                <w:szCs w:val="21"/>
                <w:lang w:val="en-US" w:eastAsia="zh-CN"/>
              </w:rPr>
            </w:pPr>
            <w:r>
              <w:rPr>
                <w:rFonts w:hint="eastAsia" w:hAnsi="宋体" w:cs="宋体"/>
                <w:kern w:val="2"/>
                <w:sz w:val="21"/>
                <w:szCs w:val="21"/>
                <w:lang w:val="en-US" w:eastAsia="zh-CN"/>
              </w:rPr>
              <w:t>7</w:t>
            </w:r>
          </w:p>
        </w:tc>
        <w:tc>
          <w:tcPr>
            <w:tcW w:w="799" w:type="pct"/>
            <w:vMerge w:val="continue"/>
            <w:tcBorders/>
            <w:noWrap w:val="0"/>
            <w:vAlign w:val="center"/>
          </w:tcPr>
          <w:p w14:paraId="04A15B7D">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sz w:val="21"/>
                <w:szCs w:val="21"/>
                <w:lang w:val="en-US" w:eastAsia="zh-CN"/>
              </w:rPr>
            </w:pPr>
          </w:p>
        </w:tc>
        <w:tc>
          <w:tcPr>
            <w:tcW w:w="1386" w:type="pct"/>
            <w:noWrap w:val="0"/>
            <w:vAlign w:val="center"/>
          </w:tcPr>
          <w:p w14:paraId="1AEE9F55">
            <w:pPr>
              <w:spacing w:line="300" w:lineRule="exact"/>
              <w:jc w:val="center"/>
              <w:rPr>
                <w:rFonts w:hint="eastAsia" w:ascii="宋体" w:hAnsi="宋体" w:eastAsia="宋体" w:cs="宋体"/>
                <w:sz w:val="21"/>
                <w:szCs w:val="21"/>
                <w:lang w:val="en-US" w:eastAsia="zh-CN"/>
              </w:rPr>
            </w:pPr>
            <w:r>
              <w:rPr>
                <w:rFonts w:hint="eastAsia" w:ascii="宋体" w:hAnsi="宋体" w:eastAsia="宋体" w:cs="宋体"/>
                <w:szCs w:val="21"/>
              </w:rPr>
              <w:t>二甲苯（邻、间、对二甲苯之和）</w:t>
            </w:r>
          </w:p>
        </w:tc>
        <w:tc>
          <w:tcPr>
            <w:tcW w:w="4498" w:type="dxa"/>
            <w:noWrap w:val="0"/>
            <w:vAlign w:val="center"/>
          </w:tcPr>
          <w:p w14:paraId="2A25F35B">
            <w:pPr>
              <w:spacing w:line="30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Cs w:val="21"/>
              </w:rPr>
              <w:t>GB 18584—2024</w:t>
            </w:r>
          </w:p>
        </w:tc>
      </w:tr>
      <w:tr w14:paraId="5506C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9" w:hRule="atLeast"/>
          <w:jc w:val="center"/>
        </w:trPr>
        <w:tc>
          <w:tcPr>
            <w:tcW w:w="363" w:type="pct"/>
            <w:tcBorders>
              <w:left w:val="single" w:color="auto" w:sz="4" w:space="0"/>
              <w:bottom w:val="single" w:color="auto" w:sz="4" w:space="0"/>
              <w:right w:val="single" w:color="auto" w:sz="4" w:space="0"/>
            </w:tcBorders>
            <w:noWrap w:val="0"/>
            <w:vAlign w:val="center"/>
          </w:tcPr>
          <w:p w14:paraId="2D7C0F7F">
            <w:pPr>
              <w:pStyle w:val="6"/>
              <w:keepNext w:val="0"/>
              <w:keepLines w:val="0"/>
              <w:pageBreakBefore w:val="0"/>
              <w:widowControl w:val="0"/>
              <w:kinsoku/>
              <w:wordWrap/>
              <w:overflowPunct/>
              <w:topLinePunct w:val="0"/>
              <w:autoSpaceDE/>
              <w:autoSpaceDN/>
              <w:bidi w:val="0"/>
              <w:adjustRightInd/>
              <w:snapToGrid/>
              <w:spacing w:line="440" w:lineRule="exact"/>
              <w:jc w:val="center"/>
              <w:rPr>
                <w:rFonts w:hint="default" w:ascii="宋体" w:hAnsi="宋体" w:eastAsia="宋体" w:cs="宋体"/>
                <w:kern w:val="2"/>
                <w:sz w:val="21"/>
                <w:szCs w:val="21"/>
                <w:lang w:val="en-US" w:eastAsia="zh-CN"/>
              </w:rPr>
            </w:pPr>
            <w:r>
              <w:rPr>
                <w:rFonts w:hint="eastAsia" w:hAnsi="宋体" w:cs="宋体"/>
                <w:kern w:val="2"/>
                <w:sz w:val="21"/>
                <w:szCs w:val="21"/>
                <w:lang w:val="en-US" w:eastAsia="zh-CN"/>
              </w:rPr>
              <w:t>8</w:t>
            </w:r>
          </w:p>
        </w:tc>
        <w:tc>
          <w:tcPr>
            <w:tcW w:w="799" w:type="pct"/>
            <w:vMerge w:val="continue"/>
            <w:tcBorders/>
            <w:noWrap w:val="0"/>
            <w:vAlign w:val="center"/>
          </w:tcPr>
          <w:p w14:paraId="51709451">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sz w:val="21"/>
                <w:szCs w:val="21"/>
                <w:lang w:val="en-US" w:eastAsia="zh-CN"/>
              </w:rPr>
            </w:pPr>
          </w:p>
        </w:tc>
        <w:tc>
          <w:tcPr>
            <w:tcW w:w="1386" w:type="pct"/>
            <w:noWrap w:val="0"/>
            <w:vAlign w:val="center"/>
          </w:tcPr>
          <w:p w14:paraId="225181E1">
            <w:pPr>
              <w:spacing w:line="300" w:lineRule="exact"/>
              <w:jc w:val="center"/>
              <w:rPr>
                <w:rFonts w:hint="eastAsia" w:ascii="宋体" w:hAnsi="宋体" w:eastAsia="宋体" w:cs="宋体"/>
                <w:sz w:val="21"/>
                <w:szCs w:val="21"/>
                <w:lang w:val="en-US" w:eastAsia="zh-CN"/>
              </w:rPr>
            </w:pPr>
            <w:r>
              <w:rPr>
                <w:rFonts w:hint="eastAsia" w:ascii="宋体" w:hAnsi="宋体" w:eastAsia="宋体" w:cs="宋体"/>
                <w:szCs w:val="21"/>
              </w:rPr>
              <w:t>总挥发性有机化合物（TVOC）</w:t>
            </w:r>
          </w:p>
        </w:tc>
        <w:tc>
          <w:tcPr>
            <w:tcW w:w="4498" w:type="dxa"/>
            <w:noWrap w:val="0"/>
            <w:vAlign w:val="center"/>
          </w:tcPr>
          <w:p w14:paraId="5C92CBDD">
            <w:pPr>
              <w:spacing w:line="30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Cs w:val="21"/>
              </w:rPr>
              <w:t>GB 18584—2024</w:t>
            </w:r>
          </w:p>
        </w:tc>
      </w:tr>
      <w:tr w14:paraId="6B254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9" w:hRule="atLeast"/>
          <w:jc w:val="center"/>
        </w:trPr>
        <w:tc>
          <w:tcPr>
            <w:tcW w:w="363" w:type="pct"/>
            <w:tcBorders>
              <w:left w:val="single" w:color="auto" w:sz="4" w:space="0"/>
              <w:bottom w:val="single" w:color="auto" w:sz="4" w:space="0"/>
              <w:right w:val="single" w:color="auto" w:sz="4" w:space="0"/>
            </w:tcBorders>
            <w:noWrap w:val="0"/>
            <w:vAlign w:val="center"/>
          </w:tcPr>
          <w:p w14:paraId="29E6BBC5">
            <w:pPr>
              <w:pStyle w:val="6"/>
              <w:keepNext w:val="0"/>
              <w:keepLines w:val="0"/>
              <w:pageBreakBefore w:val="0"/>
              <w:widowControl w:val="0"/>
              <w:kinsoku/>
              <w:wordWrap/>
              <w:overflowPunct/>
              <w:topLinePunct w:val="0"/>
              <w:autoSpaceDE/>
              <w:autoSpaceDN/>
              <w:bidi w:val="0"/>
              <w:adjustRightInd/>
              <w:snapToGrid/>
              <w:spacing w:line="440" w:lineRule="exact"/>
              <w:jc w:val="center"/>
              <w:rPr>
                <w:rFonts w:hint="default" w:ascii="宋体" w:hAnsi="宋体" w:eastAsia="宋体" w:cs="宋体"/>
                <w:kern w:val="2"/>
                <w:sz w:val="21"/>
                <w:szCs w:val="21"/>
                <w:lang w:val="en-US" w:eastAsia="zh-CN"/>
              </w:rPr>
            </w:pPr>
            <w:r>
              <w:rPr>
                <w:rFonts w:hint="eastAsia" w:hAnsi="宋体" w:cs="宋体"/>
                <w:kern w:val="2"/>
                <w:sz w:val="21"/>
                <w:szCs w:val="21"/>
                <w:lang w:val="en-US" w:eastAsia="zh-CN"/>
              </w:rPr>
              <w:t>9</w:t>
            </w:r>
          </w:p>
        </w:tc>
        <w:tc>
          <w:tcPr>
            <w:tcW w:w="799" w:type="pct"/>
            <w:vMerge w:val="continue"/>
            <w:tcBorders/>
            <w:noWrap w:val="0"/>
            <w:vAlign w:val="center"/>
          </w:tcPr>
          <w:p w14:paraId="43C476D3">
            <w:pPr>
              <w:keepNext w:val="0"/>
              <w:keepLines w:val="0"/>
              <w:pageBreakBefore w:val="0"/>
              <w:widowControl w:val="0"/>
              <w:kinsoku/>
              <w:wordWrap/>
              <w:overflowPunct/>
              <w:topLinePunct w:val="0"/>
              <w:autoSpaceDE/>
              <w:autoSpaceDN/>
              <w:bidi w:val="0"/>
              <w:adjustRightInd/>
              <w:snapToGrid/>
              <w:spacing w:line="440" w:lineRule="exact"/>
              <w:jc w:val="center"/>
              <w:rPr>
                <w:rFonts w:hint="eastAsia" w:ascii="宋体" w:hAnsi="宋体" w:eastAsia="宋体" w:cs="宋体"/>
                <w:sz w:val="21"/>
                <w:szCs w:val="21"/>
                <w:lang w:val="en-US" w:eastAsia="zh-CN"/>
              </w:rPr>
            </w:pPr>
          </w:p>
        </w:tc>
        <w:tc>
          <w:tcPr>
            <w:tcW w:w="1386" w:type="pct"/>
            <w:noWrap w:val="0"/>
            <w:vAlign w:val="center"/>
          </w:tcPr>
          <w:p w14:paraId="4B9B065A">
            <w:pPr>
              <w:spacing w:line="300" w:lineRule="exact"/>
              <w:jc w:val="center"/>
              <w:rPr>
                <w:rFonts w:hint="eastAsia" w:ascii="宋体" w:hAnsi="宋体" w:eastAsia="宋体" w:cs="宋体"/>
                <w:sz w:val="21"/>
                <w:szCs w:val="21"/>
                <w:lang w:val="en-US" w:eastAsia="zh-CN"/>
              </w:rPr>
            </w:pPr>
            <w:r>
              <w:rPr>
                <w:rFonts w:hint="eastAsia" w:ascii="宋体" w:hAnsi="宋体" w:eastAsia="宋体" w:cs="宋体"/>
                <w:szCs w:val="21"/>
              </w:rPr>
              <w:t>可分解芳香胺染料</w:t>
            </w:r>
          </w:p>
        </w:tc>
        <w:tc>
          <w:tcPr>
            <w:tcW w:w="4498" w:type="dxa"/>
            <w:noWrap w:val="0"/>
            <w:vAlign w:val="center"/>
          </w:tcPr>
          <w:p w14:paraId="614D93BF">
            <w:pPr>
              <w:spacing w:line="30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Cs w:val="21"/>
              </w:rPr>
              <w:t>GB 18584—2024</w:t>
            </w:r>
          </w:p>
        </w:tc>
      </w:tr>
      <w:tr w14:paraId="6FF9D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tcBorders>
            <w:noWrap w:val="0"/>
            <w:vAlign w:val="center"/>
          </w:tcPr>
          <w:p w14:paraId="1C9E6ABE">
            <w:pPr>
              <w:keepNext w:val="0"/>
              <w:keepLines w:val="0"/>
              <w:pageBreakBefore w:val="0"/>
              <w:widowControl w:val="0"/>
              <w:kinsoku/>
              <w:wordWrap/>
              <w:overflowPunct/>
              <w:topLinePunct w:val="0"/>
              <w:autoSpaceDE/>
              <w:autoSpaceDN/>
              <w:bidi w:val="0"/>
              <w:adjustRightInd/>
              <w:snapToGrid/>
              <w:spacing w:line="440" w:lineRule="exact"/>
              <w:jc w:val="left"/>
              <w:rPr>
                <w:rFonts w:hint="eastAsia" w:ascii="宋体" w:hAnsi="宋体" w:eastAsia="宋体" w:cs="宋体"/>
                <w:sz w:val="21"/>
                <w:szCs w:val="21"/>
              </w:rPr>
            </w:pPr>
            <w:r>
              <w:rPr>
                <w:rFonts w:hint="eastAsia" w:ascii="宋体" w:hAnsi="宋体" w:eastAsia="宋体" w:cs="宋体"/>
                <w:sz w:val="21"/>
                <w:szCs w:val="21"/>
              </w:rPr>
              <w:t>注：</w:t>
            </w:r>
            <w:r>
              <w:rPr>
                <w:rFonts w:hint="eastAsia" w:ascii="宋体" w:hAnsi="宋体" w:eastAsia="宋体" w:cs="宋体"/>
                <w:sz w:val="21"/>
                <w:szCs w:val="21"/>
                <w:lang w:val="en-US" w:eastAsia="zh-CN"/>
              </w:rPr>
              <w:t>结构</w:t>
            </w:r>
            <w:r>
              <w:rPr>
                <w:rFonts w:hint="eastAsia" w:ascii="宋体" w:hAnsi="宋体" w:eastAsia="宋体" w:cs="宋体"/>
                <w:sz w:val="21"/>
                <w:szCs w:val="21"/>
              </w:rPr>
              <w:t>安全的检验项目为</w:t>
            </w:r>
            <w:r>
              <w:rPr>
                <w:rFonts w:hint="eastAsia" w:ascii="宋体" w:hAnsi="宋体" w:eastAsia="宋体" w:cs="宋体"/>
                <w:sz w:val="21"/>
                <w:szCs w:val="21"/>
                <w:lang w:val="en-US" w:eastAsia="zh-CN"/>
              </w:rPr>
              <w:t>Q</w:t>
            </w:r>
            <w:r>
              <w:rPr>
                <w:rFonts w:hint="eastAsia" w:ascii="宋体" w:hAnsi="宋体" w:eastAsia="宋体" w:cs="宋体"/>
                <w:sz w:val="21"/>
                <w:szCs w:val="21"/>
              </w:rPr>
              <w:t xml:space="preserve">B/T </w:t>
            </w:r>
            <w:r>
              <w:rPr>
                <w:rFonts w:hint="eastAsia" w:ascii="宋体" w:hAnsi="宋体" w:eastAsia="宋体" w:cs="宋体"/>
                <w:sz w:val="21"/>
                <w:szCs w:val="21"/>
                <w:lang w:val="en-US" w:eastAsia="zh-CN"/>
              </w:rPr>
              <w:t>5590-2021</w:t>
            </w:r>
            <w:r>
              <w:rPr>
                <w:rFonts w:hint="eastAsia" w:ascii="宋体" w:hAnsi="宋体" w:eastAsia="宋体" w:cs="宋体"/>
                <w:sz w:val="21"/>
                <w:szCs w:val="21"/>
              </w:rPr>
              <w:t>中序号31</w:t>
            </w:r>
            <w:r>
              <w:rPr>
                <w:rFonts w:hint="eastAsia" w:ascii="宋体" w:hAnsi="宋体" w:cs="宋体"/>
                <w:sz w:val="21"/>
                <w:szCs w:val="21"/>
                <w:lang w:val="en-US" w:eastAsia="zh-CN"/>
              </w:rPr>
              <w:t>至</w:t>
            </w:r>
            <w:r>
              <w:rPr>
                <w:rFonts w:hint="eastAsia" w:ascii="宋体" w:hAnsi="宋体" w:eastAsia="宋体" w:cs="宋体"/>
                <w:sz w:val="21"/>
                <w:szCs w:val="21"/>
              </w:rPr>
              <w:t>3</w:t>
            </w:r>
            <w:r>
              <w:rPr>
                <w:rFonts w:hint="eastAsia" w:ascii="宋体" w:hAnsi="宋体" w:eastAsia="宋体" w:cs="宋体"/>
                <w:sz w:val="21"/>
                <w:szCs w:val="21"/>
                <w:lang w:val="en-US" w:eastAsia="zh-CN"/>
              </w:rPr>
              <w:t>7</w:t>
            </w:r>
            <w:r>
              <w:rPr>
                <w:rFonts w:hint="eastAsia" w:ascii="宋体" w:hAnsi="宋体" w:eastAsia="宋体" w:cs="宋体"/>
                <w:sz w:val="21"/>
                <w:szCs w:val="21"/>
              </w:rPr>
              <w:t>。</w:t>
            </w:r>
          </w:p>
        </w:tc>
      </w:tr>
    </w:tbl>
    <w:p w14:paraId="286DF937">
      <w:pPr>
        <w:snapToGrid w:val="0"/>
        <w:spacing w:line="440" w:lineRule="exact"/>
        <w:ind w:firstLine="359" w:firstLineChars="171"/>
        <w:rPr>
          <w:rFonts w:hint="eastAsia" w:ascii="宋体" w:hAnsi="宋体" w:eastAsia="宋体" w:cs="宋体"/>
          <w:sz w:val="21"/>
          <w:szCs w:val="21"/>
        </w:rPr>
      </w:pPr>
    </w:p>
    <w:p w14:paraId="0607E0C6">
      <w:pPr>
        <w:snapToGrid w:val="0"/>
        <w:spacing w:line="440" w:lineRule="exact"/>
        <w:ind w:firstLine="359" w:firstLineChars="171"/>
        <w:rPr>
          <w:rFonts w:ascii="宋体" w:hAnsi="宋体"/>
          <w:color w:val="000000"/>
          <w:szCs w:val="21"/>
        </w:rPr>
      </w:pPr>
      <w:r>
        <w:rPr>
          <w:rFonts w:hint="eastAsia" w:ascii="宋体" w:hAnsi="宋体" w:eastAsia="宋体" w:cs="宋体"/>
          <w:sz w:val="21"/>
          <w:szCs w:val="21"/>
        </w:rPr>
        <w:t>凡是注日期的文件，其随后所有的修改单（不包</w:t>
      </w:r>
      <w:r>
        <w:rPr>
          <w:rFonts w:hint="eastAsia" w:ascii="宋体" w:hAnsi="宋体"/>
          <w:szCs w:val="21"/>
        </w:rPr>
        <w:t>括勘误的内容）或修订版不适用于本细则。</w:t>
      </w:r>
      <w:r>
        <w:rPr>
          <w:rFonts w:hint="eastAsia" w:ascii="宋体" w:hAnsi="宋体"/>
          <w:color w:val="000000"/>
          <w:szCs w:val="21"/>
        </w:rPr>
        <w:t>凡是不注日期的文件，其最新版本适用于本细则。</w:t>
      </w:r>
    </w:p>
    <w:p w14:paraId="7A17F0AD">
      <w:pPr>
        <w:snapToGrid w:val="0"/>
        <w:spacing w:line="440" w:lineRule="exact"/>
        <w:rPr>
          <w:rFonts w:hint="eastAsia" w:ascii="宋体" w:hAnsi="宋体"/>
          <w:szCs w:val="21"/>
        </w:rPr>
      </w:pPr>
    </w:p>
    <w:p w14:paraId="40B862B8">
      <w:pPr>
        <w:spacing w:line="360" w:lineRule="auto"/>
        <w:rPr>
          <w:rFonts w:hint="eastAsia" w:ascii="黑体" w:hAnsi="黑体" w:eastAsia="黑体"/>
          <w:szCs w:val="21"/>
        </w:rPr>
      </w:pPr>
      <w:r>
        <w:rPr>
          <w:rFonts w:hint="eastAsia" w:ascii="黑体" w:hAnsi="黑体" w:eastAsia="黑体"/>
          <w:szCs w:val="21"/>
        </w:rPr>
        <w:t>3 判定规则</w:t>
      </w:r>
    </w:p>
    <w:p w14:paraId="64856FE4">
      <w:pPr>
        <w:snapToGrid w:val="0"/>
        <w:spacing w:line="440" w:lineRule="exact"/>
        <w:rPr>
          <w:rFonts w:hint="eastAsia" w:ascii="宋体" w:hAnsi="宋体"/>
          <w:szCs w:val="21"/>
        </w:rPr>
      </w:pPr>
      <w:r>
        <w:rPr>
          <w:rFonts w:hint="eastAsia" w:ascii="宋体" w:hAnsi="宋体"/>
          <w:szCs w:val="21"/>
        </w:rPr>
        <w:t>3.1依据标准</w:t>
      </w:r>
    </w:p>
    <w:p w14:paraId="5F665327">
      <w:pPr>
        <w:snapToGrid w:val="0"/>
        <w:spacing w:line="440" w:lineRule="exact"/>
        <w:ind w:firstLine="420" w:firstLineChars="200"/>
        <w:rPr>
          <w:rFonts w:hint="eastAsia" w:ascii="宋体" w:hAnsi="宋体" w:eastAsia="宋体" w:cs="宋体"/>
          <w:szCs w:val="21"/>
        </w:rPr>
      </w:pPr>
      <w:r>
        <w:rPr>
          <w:rFonts w:hint="eastAsia" w:ascii="宋体" w:hAnsi="宋体" w:eastAsia="宋体" w:cs="宋体"/>
          <w:szCs w:val="21"/>
        </w:rPr>
        <w:t>GB 17927</w:t>
      </w:r>
      <w:r>
        <w:rPr>
          <w:rFonts w:hint="eastAsia" w:ascii="宋体" w:hAnsi="宋体" w:eastAsia="宋体" w:cs="宋体"/>
          <w:color w:val="000000"/>
          <w:szCs w:val="21"/>
        </w:rPr>
        <w:t>—</w:t>
      </w:r>
      <w:r>
        <w:rPr>
          <w:rFonts w:hint="eastAsia" w:ascii="宋体" w:hAnsi="宋体" w:eastAsia="宋体" w:cs="宋体"/>
          <w:szCs w:val="21"/>
        </w:rPr>
        <w:t>2024 家具阻燃性能安全技术规范</w:t>
      </w:r>
    </w:p>
    <w:p w14:paraId="6D738F10">
      <w:pPr>
        <w:snapToGrid w:val="0"/>
        <w:spacing w:line="440" w:lineRule="exact"/>
        <w:ind w:firstLine="420" w:firstLineChars="200"/>
        <w:rPr>
          <w:rFonts w:hint="eastAsia" w:ascii="宋体" w:hAnsi="宋体" w:eastAsia="宋体" w:cs="宋体"/>
          <w:szCs w:val="21"/>
        </w:rPr>
      </w:pPr>
      <w:r>
        <w:rPr>
          <w:rFonts w:hint="eastAsia" w:ascii="宋体" w:hAnsi="宋体" w:eastAsia="宋体" w:cs="宋体"/>
          <w:szCs w:val="21"/>
        </w:rPr>
        <w:t>GB 18584—2024 家具中有害物质限量</w:t>
      </w:r>
    </w:p>
    <w:p w14:paraId="17589FD4">
      <w:pPr>
        <w:snapToGrid w:val="0"/>
        <w:spacing w:line="440" w:lineRule="exact"/>
        <w:ind w:firstLine="420" w:firstLineChars="200"/>
        <w:rPr>
          <w:rFonts w:hint="eastAsia" w:ascii="宋体" w:hAnsi="宋体" w:eastAsia="宋体" w:cs="宋体"/>
          <w:szCs w:val="21"/>
        </w:rPr>
      </w:pPr>
      <w:r>
        <w:rPr>
          <w:rFonts w:hint="eastAsia" w:ascii="宋体" w:hAnsi="宋体" w:eastAsia="宋体" w:cs="宋体"/>
          <w:szCs w:val="21"/>
        </w:rPr>
        <w:t>GB/T 26706</w:t>
      </w:r>
      <w:r>
        <w:rPr>
          <w:rFonts w:hint="eastAsia" w:ascii="宋体" w:hAnsi="宋体" w:eastAsia="宋体" w:cs="宋体"/>
          <w:color w:val="000000"/>
          <w:szCs w:val="21"/>
        </w:rPr>
        <w:t>—</w:t>
      </w:r>
      <w:r>
        <w:rPr>
          <w:rFonts w:hint="eastAsia" w:ascii="宋体" w:hAnsi="宋体" w:eastAsia="宋体" w:cs="宋体"/>
          <w:szCs w:val="21"/>
        </w:rPr>
        <w:t>2011 软体家具 棕纤维弹性床垫</w:t>
      </w:r>
    </w:p>
    <w:p w14:paraId="390FAA21">
      <w:pPr>
        <w:snapToGrid w:val="0"/>
        <w:spacing w:line="440" w:lineRule="exact"/>
        <w:ind w:firstLine="420" w:firstLineChars="200"/>
        <w:rPr>
          <w:rFonts w:hint="eastAsia" w:ascii="宋体" w:hAnsi="宋体" w:eastAsia="宋体" w:cs="宋体"/>
          <w:szCs w:val="21"/>
        </w:rPr>
      </w:pPr>
      <w:r>
        <w:rPr>
          <w:rFonts w:hint="eastAsia" w:ascii="宋体" w:hAnsi="宋体" w:eastAsia="宋体" w:cs="宋体"/>
          <w:szCs w:val="21"/>
        </w:rPr>
        <w:t>GB/T 26706</w:t>
      </w:r>
      <w:r>
        <w:rPr>
          <w:rFonts w:hint="eastAsia" w:ascii="宋体" w:hAnsi="宋体" w:eastAsia="宋体" w:cs="宋体"/>
          <w:color w:val="000000"/>
          <w:szCs w:val="21"/>
        </w:rPr>
        <w:t>—</w:t>
      </w:r>
      <w:r>
        <w:rPr>
          <w:rFonts w:hint="eastAsia" w:ascii="宋体" w:hAnsi="宋体" w:eastAsia="宋体" w:cs="宋体"/>
          <w:szCs w:val="21"/>
        </w:rPr>
        <w:t>20</w:t>
      </w:r>
      <w:r>
        <w:rPr>
          <w:rFonts w:hint="eastAsia" w:ascii="宋体" w:hAnsi="宋体" w:eastAsia="宋体" w:cs="宋体"/>
          <w:szCs w:val="21"/>
          <w:lang w:val="en-US" w:eastAsia="zh-CN"/>
        </w:rPr>
        <w:t>25</w:t>
      </w:r>
      <w:r>
        <w:rPr>
          <w:rFonts w:hint="eastAsia" w:ascii="宋体" w:hAnsi="宋体" w:eastAsia="宋体" w:cs="宋体"/>
          <w:szCs w:val="21"/>
        </w:rPr>
        <w:t xml:space="preserve"> 软体家具 棕纤维弹性床垫</w:t>
      </w:r>
    </w:p>
    <w:p w14:paraId="1EAB1FA9">
      <w:pPr>
        <w:snapToGrid w:val="0"/>
        <w:spacing w:line="440" w:lineRule="exact"/>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QB/T 5590-2021 婴幼儿床垫</w:t>
      </w:r>
    </w:p>
    <w:p w14:paraId="4356C8AD">
      <w:pPr>
        <w:snapToGrid w:val="0"/>
        <w:spacing w:line="440" w:lineRule="exact"/>
        <w:ind w:firstLine="420" w:firstLineChars="200"/>
        <w:rPr>
          <w:rFonts w:hint="eastAsia" w:ascii="宋体" w:hAnsi="宋体"/>
          <w:szCs w:val="21"/>
        </w:rPr>
      </w:pPr>
      <w:r>
        <w:rPr>
          <w:rFonts w:hint="eastAsia" w:ascii="宋体" w:hAnsi="宋体"/>
          <w:szCs w:val="21"/>
        </w:rPr>
        <w:t>现行有效的企业标准、团体标准、地方标准及产品明示质量要求</w:t>
      </w:r>
    </w:p>
    <w:p w14:paraId="1F065E23">
      <w:pPr>
        <w:snapToGrid w:val="0"/>
        <w:spacing w:line="440" w:lineRule="exact"/>
        <w:outlineLvl w:val="0"/>
        <w:rPr>
          <w:rFonts w:hint="eastAsia" w:ascii="宋体" w:hAnsi="宋体"/>
          <w:szCs w:val="21"/>
        </w:rPr>
      </w:pPr>
      <w:r>
        <w:rPr>
          <w:rFonts w:hint="eastAsia" w:ascii="宋体" w:hAnsi="宋体"/>
          <w:szCs w:val="21"/>
        </w:rPr>
        <w:t>3.2判定原则</w:t>
      </w:r>
    </w:p>
    <w:p w14:paraId="6E769D5C">
      <w:pPr>
        <w:snapToGrid w:val="0"/>
        <w:spacing w:line="440" w:lineRule="exact"/>
        <w:ind w:firstLine="420" w:firstLineChars="200"/>
        <w:rPr>
          <w:rFonts w:ascii="宋体" w:hAnsi="宋体"/>
          <w:szCs w:val="21"/>
        </w:rPr>
      </w:pPr>
      <w:r>
        <w:rPr>
          <w:rFonts w:hint="eastAsia" w:ascii="宋体" w:hAnsi="宋体"/>
          <w:szCs w:val="21"/>
        </w:rPr>
        <w:t>经检验，检验项目全部合格，判定为被抽查产品合格；检验项目中任一项或一项以上不合格，判定为被抽查产品不合格。</w:t>
      </w:r>
    </w:p>
    <w:p w14:paraId="542E28FC">
      <w:pPr>
        <w:snapToGrid w:val="0"/>
        <w:spacing w:line="440" w:lineRule="exact"/>
        <w:ind w:firstLine="417" w:firstLineChars="199"/>
        <w:rPr>
          <w:rFonts w:ascii="宋体" w:hAnsi="宋体"/>
          <w:szCs w:val="21"/>
        </w:rPr>
      </w:pPr>
      <w:r>
        <w:rPr>
          <w:rFonts w:hint="eastAsia" w:ascii="宋体" w:hAnsi="宋体"/>
          <w:szCs w:val="21"/>
        </w:rPr>
        <w:t>若被检产品明示的质量要求高于本细则中检验项目依据的标准要求时，应按被检产品明示的质量要求判定。</w:t>
      </w:r>
    </w:p>
    <w:p w14:paraId="10ED8E32">
      <w:pPr>
        <w:snapToGrid w:val="0"/>
        <w:spacing w:line="440" w:lineRule="exact"/>
        <w:ind w:firstLine="417" w:firstLineChars="199"/>
        <w:rPr>
          <w:rFonts w:ascii="宋体" w:hAnsi="宋体"/>
          <w:szCs w:val="21"/>
        </w:rPr>
      </w:pPr>
      <w:r>
        <w:rPr>
          <w:rFonts w:hint="eastAsia" w:ascii="宋体" w:hAnsi="宋体"/>
          <w:szCs w:val="21"/>
        </w:rPr>
        <w:t>若被检产品明示的质量要求低于本细则中检验项目依据的强制性标准要求时，应按照强制性标准要求判定。</w:t>
      </w:r>
    </w:p>
    <w:p w14:paraId="370908D9">
      <w:pPr>
        <w:snapToGrid w:val="0"/>
        <w:spacing w:line="440" w:lineRule="exact"/>
        <w:ind w:firstLine="417" w:firstLineChars="199"/>
        <w:rPr>
          <w:rFonts w:ascii="宋体" w:hAnsi="宋体"/>
          <w:szCs w:val="21"/>
        </w:rPr>
      </w:pPr>
      <w:r>
        <w:rPr>
          <w:rFonts w:hint="eastAsia" w:ascii="宋体" w:hAnsi="宋体"/>
          <w:szCs w:val="21"/>
        </w:rPr>
        <w:t>若被检产品明示的质量要求低于或包含细则中检验项目依据的推荐性标准要求时，应以被检产品明示的质量要求判定，但应在检验报告备注中进行说明。</w:t>
      </w:r>
    </w:p>
    <w:p w14:paraId="73AE20E6">
      <w:pPr>
        <w:snapToGrid w:val="0"/>
        <w:spacing w:line="440" w:lineRule="exact"/>
        <w:ind w:firstLine="417" w:firstLineChars="199"/>
        <w:rPr>
          <w:rFonts w:ascii="宋体" w:hAnsi="宋体"/>
          <w:szCs w:val="21"/>
        </w:rPr>
      </w:pPr>
      <w:r>
        <w:rPr>
          <w:rFonts w:hint="eastAsia" w:ascii="宋体" w:hAnsi="宋体"/>
          <w:szCs w:val="21"/>
        </w:rPr>
        <w:t>若被检产品明示的质量要求缺少本细则中检验项目依据的强制性标准要求时，应按照强制性标准要求判定。</w:t>
      </w:r>
    </w:p>
    <w:p w14:paraId="5133842E">
      <w:pPr>
        <w:snapToGrid w:val="0"/>
        <w:spacing w:line="440" w:lineRule="exact"/>
        <w:ind w:firstLine="417" w:firstLineChars="199"/>
        <w:rPr>
          <w:rFonts w:ascii="宋体" w:hAnsi="宋体"/>
          <w:szCs w:val="21"/>
        </w:rPr>
      </w:pPr>
      <w:r>
        <w:rPr>
          <w:rFonts w:hint="eastAsia" w:ascii="宋体" w:hAnsi="宋体"/>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16E5561-29C9-4DDF-B500-E9B2E0DD9C6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2" w:fontKey="{0720B09E-9F8B-4BE0-AC80-FCBAFC08E21A}"/>
  </w:font>
  <w:font w:name="Arial Unicode MS">
    <w:panose1 w:val="020B0604020202020204"/>
    <w:charset w:val="86"/>
    <w:family w:val="swiss"/>
    <w:pitch w:val="default"/>
    <w:sig w:usb0="FFFFFFFF" w:usb1="E9FFFFFF" w:usb2="0000003F" w:usb3="00000000" w:csb0="603F01FF" w:csb1="FFFF0000"/>
  </w:font>
  <w:font w:name="方正小标宋简体">
    <w:panose1 w:val="02000000000000000000"/>
    <w:charset w:val="86"/>
    <w:family w:val="auto"/>
    <w:pitch w:val="default"/>
    <w:sig w:usb0="00000001" w:usb1="08000000" w:usb2="00000000" w:usb3="00000000" w:csb0="00040000" w:csb1="00000000"/>
    <w:embedRegular r:id="rId3" w:fontKey="{E1A683F7-DDDC-4178-9670-9640981B58DF}"/>
  </w:font>
  <w:font w:name="方正仿宋简体">
    <w:panose1 w:val="03000509000000000000"/>
    <w:charset w:val="86"/>
    <w:family w:val="auto"/>
    <w:pitch w:val="default"/>
    <w:sig w:usb0="00000001" w:usb1="080E0000" w:usb2="00000000" w:usb3="00000000" w:csb0="00040000" w:csb1="00000000"/>
    <w:embedRegular r:id="rId4" w:fontKey="{BD7DAF6A-CE3C-4FDD-8D90-71E6FBD47ABF}"/>
  </w:font>
  <w:font w:name="WPSEMBED1">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606C86">
    <w:pPr>
      <w:pStyle w:val="8"/>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1B7E650">
    <w:pPr>
      <w:pStyle w:val="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3378A">
    <w:pPr>
      <w:pStyle w:val="8"/>
      <w:framePr w:wrap="around" w:vAnchor="text" w:hAnchor="margin" w:xAlign="center" w:y="1"/>
      <w:rPr>
        <w:rStyle w:val="14"/>
      </w:rPr>
    </w:pPr>
    <w:r>
      <w:fldChar w:fldCharType="begin"/>
    </w:r>
    <w:r>
      <w:rPr>
        <w:rStyle w:val="14"/>
      </w:rPr>
      <w:instrText xml:space="preserve">PAGE  </w:instrText>
    </w:r>
    <w:r>
      <w:fldChar w:fldCharType="separate"/>
    </w:r>
    <w:r>
      <w:rPr>
        <w:rStyle w:val="14"/>
      </w:rPr>
      <w:t>2</w:t>
    </w:r>
    <w:r>
      <w:fldChar w:fldCharType="end"/>
    </w:r>
  </w:p>
  <w:p w14:paraId="09C88779">
    <w:pPr>
      <w:pStyle w:val="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B70D9A">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2OWU5ODBiYTQ1ZDhlNWNhMGE0ZmQ3OWIzYWVkMDIifQ=="/>
  </w:docVars>
  <w:rsids>
    <w:rsidRoot w:val="00172A27"/>
    <w:rsid w:val="00013654"/>
    <w:rsid w:val="00051A44"/>
    <w:rsid w:val="00081CBD"/>
    <w:rsid w:val="000976DE"/>
    <w:rsid w:val="000D3860"/>
    <w:rsid w:val="000F0E10"/>
    <w:rsid w:val="001357A4"/>
    <w:rsid w:val="001809DD"/>
    <w:rsid w:val="001C3FEB"/>
    <w:rsid w:val="002006CA"/>
    <w:rsid w:val="00232530"/>
    <w:rsid w:val="00253624"/>
    <w:rsid w:val="002D7F8A"/>
    <w:rsid w:val="002E0D1D"/>
    <w:rsid w:val="003203A3"/>
    <w:rsid w:val="003A4A28"/>
    <w:rsid w:val="003C388C"/>
    <w:rsid w:val="003D3708"/>
    <w:rsid w:val="003E61BF"/>
    <w:rsid w:val="00445E86"/>
    <w:rsid w:val="00474E04"/>
    <w:rsid w:val="004A64D0"/>
    <w:rsid w:val="004D0C5A"/>
    <w:rsid w:val="004E1396"/>
    <w:rsid w:val="00563EBC"/>
    <w:rsid w:val="0057624F"/>
    <w:rsid w:val="0060563E"/>
    <w:rsid w:val="00645960"/>
    <w:rsid w:val="006E1171"/>
    <w:rsid w:val="006F0971"/>
    <w:rsid w:val="0072334C"/>
    <w:rsid w:val="00813A1E"/>
    <w:rsid w:val="00842D03"/>
    <w:rsid w:val="0086179B"/>
    <w:rsid w:val="00895BEA"/>
    <w:rsid w:val="008A3497"/>
    <w:rsid w:val="008F4078"/>
    <w:rsid w:val="00914713"/>
    <w:rsid w:val="00917A54"/>
    <w:rsid w:val="009255A7"/>
    <w:rsid w:val="009C29A9"/>
    <w:rsid w:val="00A43553"/>
    <w:rsid w:val="00AC5391"/>
    <w:rsid w:val="00BF2B8C"/>
    <w:rsid w:val="00C26074"/>
    <w:rsid w:val="00C83B0A"/>
    <w:rsid w:val="00CE1E0C"/>
    <w:rsid w:val="00CE277E"/>
    <w:rsid w:val="00D56867"/>
    <w:rsid w:val="00D6713D"/>
    <w:rsid w:val="00DE211A"/>
    <w:rsid w:val="00E02A7F"/>
    <w:rsid w:val="00E07880"/>
    <w:rsid w:val="00E82621"/>
    <w:rsid w:val="00F03393"/>
    <w:rsid w:val="00F77C9A"/>
    <w:rsid w:val="00FB576C"/>
    <w:rsid w:val="00FD2AA6"/>
    <w:rsid w:val="00FE7E8A"/>
    <w:rsid w:val="01110335"/>
    <w:rsid w:val="018678C6"/>
    <w:rsid w:val="01C42B8B"/>
    <w:rsid w:val="025F61DF"/>
    <w:rsid w:val="028265A2"/>
    <w:rsid w:val="02DA5577"/>
    <w:rsid w:val="037457E1"/>
    <w:rsid w:val="03AA503F"/>
    <w:rsid w:val="03F437D6"/>
    <w:rsid w:val="044805D3"/>
    <w:rsid w:val="04676D21"/>
    <w:rsid w:val="051B1302"/>
    <w:rsid w:val="05340028"/>
    <w:rsid w:val="0560706F"/>
    <w:rsid w:val="058524BB"/>
    <w:rsid w:val="05EB7ACA"/>
    <w:rsid w:val="060A2B37"/>
    <w:rsid w:val="066606B5"/>
    <w:rsid w:val="06F2019A"/>
    <w:rsid w:val="06FC653B"/>
    <w:rsid w:val="07DB5A6A"/>
    <w:rsid w:val="08070112"/>
    <w:rsid w:val="08874912"/>
    <w:rsid w:val="08F24754"/>
    <w:rsid w:val="09E0252C"/>
    <w:rsid w:val="0A567193"/>
    <w:rsid w:val="0A9E0ABC"/>
    <w:rsid w:val="0AB15358"/>
    <w:rsid w:val="0ABB6AF5"/>
    <w:rsid w:val="0AFA761E"/>
    <w:rsid w:val="0B495CC0"/>
    <w:rsid w:val="0B752F97"/>
    <w:rsid w:val="0BAC04FC"/>
    <w:rsid w:val="0C613281"/>
    <w:rsid w:val="0D384437"/>
    <w:rsid w:val="0E5C58DF"/>
    <w:rsid w:val="0F326A35"/>
    <w:rsid w:val="0FA43FFC"/>
    <w:rsid w:val="0FF616DF"/>
    <w:rsid w:val="1027158B"/>
    <w:rsid w:val="111D5F5C"/>
    <w:rsid w:val="1145536B"/>
    <w:rsid w:val="115C0B7A"/>
    <w:rsid w:val="129B125C"/>
    <w:rsid w:val="12B74FB2"/>
    <w:rsid w:val="12CC3DB0"/>
    <w:rsid w:val="12CF4B60"/>
    <w:rsid w:val="12DB7D35"/>
    <w:rsid w:val="14D80D51"/>
    <w:rsid w:val="15045625"/>
    <w:rsid w:val="154343FF"/>
    <w:rsid w:val="15724B7F"/>
    <w:rsid w:val="16BF53A1"/>
    <w:rsid w:val="16D14115"/>
    <w:rsid w:val="18155A97"/>
    <w:rsid w:val="18455C50"/>
    <w:rsid w:val="184C5231"/>
    <w:rsid w:val="187E0BDC"/>
    <w:rsid w:val="18A71C2E"/>
    <w:rsid w:val="18EA2974"/>
    <w:rsid w:val="19405031"/>
    <w:rsid w:val="19462E28"/>
    <w:rsid w:val="19B968F6"/>
    <w:rsid w:val="1A7B1DFD"/>
    <w:rsid w:val="1A7F5449"/>
    <w:rsid w:val="1AA8728E"/>
    <w:rsid w:val="1AA94BBC"/>
    <w:rsid w:val="1AC80BC9"/>
    <w:rsid w:val="1AE350B0"/>
    <w:rsid w:val="1B46240B"/>
    <w:rsid w:val="1C4518EC"/>
    <w:rsid w:val="1D0460DA"/>
    <w:rsid w:val="1D2F23E6"/>
    <w:rsid w:val="1D831D08"/>
    <w:rsid w:val="1DC046F7"/>
    <w:rsid w:val="1EB012CC"/>
    <w:rsid w:val="1ECD1561"/>
    <w:rsid w:val="1F0625DD"/>
    <w:rsid w:val="1F0E72C4"/>
    <w:rsid w:val="1F301408"/>
    <w:rsid w:val="1F7B0466"/>
    <w:rsid w:val="1FA603A1"/>
    <w:rsid w:val="20915ED7"/>
    <w:rsid w:val="20931AF0"/>
    <w:rsid w:val="21A9050C"/>
    <w:rsid w:val="230230BC"/>
    <w:rsid w:val="23DE7380"/>
    <w:rsid w:val="242B03F0"/>
    <w:rsid w:val="24FA6740"/>
    <w:rsid w:val="25302F52"/>
    <w:rsid w:val="253C3FB6"/>
    <w:rsid w:val="25480530"/>
    <w:rsid w:val="25D33830"/>
    <w:rsid w:val="26C96B82"/>
    <w:rsid w:val="27115E29"/>
    <w:rsid w:val="27337CE7"/>
    <w:rsid w:val="289E5635"/>
    <w:rsid w:val="296409A1"/>
    <w:rsid w:val="2A9A007E"/>
    <w:rsid w:val="2AB70A0A"/>
    <w:rsid w:val="2AB8313C"/>
    <w:rsid w:val="2AC60E73"/>
    <w:rsid w:val="2AE114C4"/>
    <w:rsid w:val="2B6C37C8"/>
    <w:rsid w:val="2BA2543C"/>
    <w:rsid w:val="2D151497"/>
    <w:rsid w:val="2D623C15"/>
    <w:rsid w:val="2F1F0B51"/>
    <w:rsid w:val="2FA07EE4"/>
    <w:rsid w:val="2FE75B13"/>
    <w:rsid w:val="301C1346"/>
    <w:rsid w:val="30AE35AF"/>
    <w:rsid w:val="31CF2506"/>
    <w:rsid w:val="32DF201B"/>
    <w:rsid w:val="3317092F"/>
    <w:rsid w:val="331C5AD4"/>
    <w:rsid w:val="332B673A"/>
    <w:rsid w:val="337A6C9E"/>
    <w:rsid w:val="339679DB"/>
    <w:rsid w:val="33EF0864"/>
    <w:rsid w:val="34022063"/>
    <w:rsid w:val="344527A7"/>
    <w:rsid w:val="34B955A4"/>
    <w:rsid w:val="35AA78C6"/>
    <w:rsid w:val="36016852"/>
    <w:rsid w:val="36DC18B8"/>
    <w:rsid w:val="37296A11"/>
    <w:rsid w:val="372E04CB"/>
    <w:rsid w:val="3814146F"/>
    <w:rsid w:val="383A69FC"/>
    <w:rsid w:val="396829C5"/>
    <w:rsid w:val="39D52C5B"/>
    <w:rsid w:val="3A1C285D"/>
    <w:rsid w:val="3B5D0F2F"/>
    <w:rsid w:val="3B5D507E"/>
    <w:rsid w:val="3C3B0419"/>
    <w:rsid w:val="3CC905EF"/>
    <w:rsid w:val="3D98044D"/>
    <w:rsid w:val="3DAD2D96"/>
    <w:rsid w:val="3DEA63D9"/>
    <w:rsid w:val="3E0C0D6C"/>
    <w:rsid w:val="3E0C2BE9"/>
    <w:rsid w:val="3E2A5697"/>
    <w:rsid w:val="40D96B16"/>
    <w:rsid w:val="4144316E"/>
    <w:rsid w:val="41D323CF"/>
    <w:rsid w:val="42944DB9"/>
    <w:rsid w:val="42C23DD1"/>
    <w:rsid w:val="436A5FE1"/>
    <w:rsid w:val="436C00B7"/>
    <w:rsid w:val="43AE6EC5"/>
    <w:rsid w:val="448D6AA9"/>
    <w:rsid w:val="4504461A"/>
    <w:rsid w:val="467A1DAE"/>
    <w:rsid w:val="46902609"/>
    <w:rsid w:val="469D6AD4"/>
    <w:rsid w:val="46FD7572"/>
    <w:rsid w:val="47A821E6"/>
    <w:rsid w:val="47B61112"/>
    <w:rsid w:val="487450E2"/>
    <w:rsid w:val="488344C3"/>
    <w:rsid w:val="48A55322"/>
    <w:rsid w:val="48CB6CC6"/>
    <w:rsid w:val="49C66341"/>
    <w:rsid w:val="4A4B6FC7"/>
    <w:rsid w:val="4B0A48AF"/>
    <w:rsid w:val="4DF20915"/>
    <w:rsid w:val="4E4B32B9"/>
    <w:rsid w:val="4F3C07D6"/>
    <w:rsid w:val="4F6939F7"/>
    <w:rsid w:val="4FD07A8D"/>
    <w:rsid w:val="500276CA"/>
    <w:rsid w:val="50E45083"/>
    <w:rsid w:val="513E1762"/>
    <w:rsid w:val="51743F31"/>
    <w:rsid w:val="51E63A25"/>
    <w:rsid w:val="522735F2"/>
    <w:rsid w:val="523C722A"/>
    <w:rsid w:val="523D5BD6"/>
    <w:rsid w:val="52E85E9E"/>
    <w:rsid w:val="539B25ED"/>
    <w:rsid w:val="53EC19B5"/>
    <w:rsid w:val="54103495"/>
    <w:rsid w:val="541A79B6"/>
    <w:rsid w:val="549459BA"/>
    <w:rsid w:val="54A427A8"/>
    <w:rsid w:val="54B35714"/>
    <w:rsid w:val="54C65448"/>
    <w:rsid w:val="551E7032"/>
    <w:rsid w:val="556F3D31"/>
    <w:rsid w:val="557464DF"/>
    <w:rsid w:val="558F0597"/>
    <w:rsid w:val="559A1DF7"/>
    <w:rsid w:val="564D0B5B"/>
    <w:rsid w:val="582D387B"/>
    <w:rsid w:val="58E26472"/>
    <w:rsid w:val="5919421D"/>
    <w:rsid w:val="593A1383"/>
    <w:rsid w:val="59771406"/>
    <w:rsid w:val="5A3B68D8"/>
    <w:rsid w:val="5B6A3703"/>
    <w:rsid w:val="5B8909B6"/>
    <w:rsid w:val="5BC4734B"/>
    <w:rsid w:val="5C1D6295"/>
    <w:rsid w:val="5C1E2D23"/>
    <w:rsid w:val="5C515A87"/>
    <w:rsid w:val="5CCC1A69"/>
    <w:rsid w:val="5D0A3484"/>
    <w:rsid w:val="5D0E077E"/>
    <w:rsid w:val="5D2B0C71"/>
    <w:rsid w:val="5D764A50"/>
    <w:rsid w:val="5E4E6BDA"/>
    <w:rsid w:val="5E54073A"/>
    <w:rsid w:val="5EE42548"/>
    <w:rsid w:val="5F2F2D15"/>
    <w:rsid w:val="5F467192"/>
    <w:rsid w:val="5F691B1C"/>
    <w:rsid w:val="60B72836"/>
    <w:rsid w:val="61331E1E"/>
    <w:rsid w:val="614E6EF1"/>
    <w:rsid w:val="61B11B68"/>
    <w:rsid w:val="62145A44"/>
    <w:rsid w:val="626766F7"/>
    <w:rsid w:val="62D65141"/>
    <w:rsid w:val="62F074B1"/>
    <w:rsid w:val="632B74E9"/>
    <w:rsid w:val="635F53E5"/>
    <w:rsid w:val="63D7344B"/>
    <w:rsid w:val="651241D9"/>
    <w:rsid w:val="65284445"/>
    <w:rsid w:val="665E1984"/>
    <w:rsid w:val="66A41791"/>
    <w:rsid w:val="66A67E2A"/>
    <w:rsid w:val="67205E61"/>
    <w:rsid w:val="673F096A"/>
    <w:rsid w:val="674A015A"/>
    <w:rsid w:val="67991AD2"/>
    <w:rsid w:val="6804726E"/>
    <w:rsid w:val="68332398"/>
    <w:rsid w:val="68A37B22"/>
    <w:rsid w:val="68E87C2B"/>
    <w:rsid w:val="69984C40"/>
    <w:rsid w:val="69E60C18"/>
    <w:rsid w:val="69FB573C"/>
    <w:rsid w:val="6A3C022E"/>
    <w:rsid w:val="6A4946F9"/>
    <w:rsid w:val="6B580E72"/>
    <w:rsid w:val="6C0D2091"/>
    <w:rsid w:val="6C727B74"/>
    <w:rsid w:val="6DAD31F1"/>
    <w:rsid w:val="6F1C3DCF"/>
    <w:rsid w:val="6F322AB5"/>
    <w:rsid w:val="6F4E61F1"/>
    <w:rsid w:val="70E20483"/>
    <w:rsid w:val="73193B52"/>
    <w:rsid w:val="74290395"/>
    <w:rsid w:val="75D73501"/>
    <w:rsid w:val="76636D7B"/>
    <w:rsid w:val="76EC4D8A"/>
    <w:rsid w:val="77556E7A"/>
    <w:rsid w:val="797C7A7B"/>
    <w:rsid w:val="7B983662"/>
    <w:rsid w:val="7C8C5026"/>
    <w:rsid w:val="7CB15915"/>
    <w:rsid w:val="7D307AFF"/>
    <w:rsid w:val="7D7C004C"/>
    <w:rsid w:val="7D9C729E"/>
    <w:rsid w:val="7E865636"/>
    <w:rsid w:val="7EA828BF"/>
    <w:rsid w:val="7F63247C"/>
    <w:rsid w:val="7FE505C8"/>
    <w:rsid w:val="7FEC061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13">
    <w:name w:val="Default Paragraph Font"/>
    <w:semiHidden/>
    <w:qFormat/>
    <w:uiPriority w:val="0"/>
  </w:style>
  <w:style w:type="table" w:default="1" w:styleId="11">
    <w:name w:val="Normal Table"/>
    <w:autoRedefine/>
    <w:unhideWhenUsed/>
    <w:qFormat/>
    <w:uiPriority w:val="99"/>
    <w:tblPr>
      <w:tblCellMar>
        <w:top w:w="0" w:type="dxa"/>
        <w:left w:w="108" w:type="dxa"/>
        <w:bottom w:w="0" w:type="dxa"/>
        <w:right w:w="108" w:type="dxa"/>
      </w:tblCellMar>
    </w:tblPr>
  </w:style>
  <w:style w:type="paragraph" w:styleId="2">
    <w:name w:val="Document Map"/>
    <w:basedOn w:val="1"/>
    <w:autoRedefine/>
    <w:semiHidden/>
    <w:qFormat/>
    <w:uiPriority w:val="0"/>
    <w:pPr>
      <w:shd w:val="clear" w:color="auto" w:fill="000080"/>
    </w:pPr>
  </w:style>
  <w:style w:type="paragraph" w:styleId="3">
    <w:name w:val="Body Text"/>
    <w:next w:val="4"/>
    <w:qFormat/>
    <w:uiPriority w:val="0"/>
    <w:pPr>
      <w:widowControl w:val="0"/>
      <w:spacing w:after="120"/>
      <w:jc w:val="both"/>
    </w:pPr>
    <w:rPr>
      <w:rFonts w:ascii="Times New Roman" w:hAnsi="Times New Roman" w:eastAsia="仿宋_GB2312" w:cs="Times New Roman"/>
      <w:kern w:val="2"/>
      <w:sz w:val="30"/>
      <w:szCs w:val="24"/>
      <w:lang w:val="en-US" w:eastAsia="zh-CN" w:bidi="ar-SA"/>
    </w:rPr>
  </w:style>
  <w:style w:type="paragraph" w:styleId="4">
    <w:name w:val="Body Text First Indent"/>
    <w:next w:val="3"/>
    <w:qFormat/>
    <w:uiPriority w:val="0"/>
    <w:pPr>
      <w:widowControl w:val="0"/>
      <w:spacing w:after="120"/>
      <w:ind w:firstLine="720"/>
      <w:jc w:val="both"/>
    </w:pPr>
    <w:rPr>
      <w:rFonts w:ascii="Times New Roman" w:hAnsi="Times New Roman" w:eastAsia="仿宋_GB2312" w:cs="Times New Roman"/>
      <w:kern w:val="2"/>
      <w:sz w:val="30"/>
      <w:szCs w:val="24"/>
      <w:lang w:val="en-US" w:eastAsia="zh-CN" w:bidi="ar-SA"/>
    </w:rPr>
  </w:style>
  <w:style w:type="paragraph" w:styleId="5">
    <w:name w:val="Body Text Indent"/>
    <w:basedOn w:val="1"/>
    <w:autoRedefine/>
    <w:qFormat/>
    <w:uiPriority w:val="0"/>
    <w:pPr>
      <w:spacing w:after="120"/>
      <w:ind w:left="420" w:leftChars="200"/>
    </w:pPr>
  </w:style>
  <w:style w:type="paragraph" w:styleId="6">
    <w:name w:val="Plain Text"/>
    <w:basedOn w:val="1"/>
    <w:autoRedefine/>
    <w:qFormat/>
    <w:uiPriority w:val="99"/>
    <w:rPr>
      <w:rFonts w:ascii="宋体" w:hAnsi="Courier New"/>
      <w:kern w:val="0"/>
      <w:sz w:val="20"/>
      <w:szCs w:val="20"/>
    </w:rPr>
  </w:style>
  <w:style w:type="paragraph" w:styleId="7">
    <w:name w:val="Balloon Text"/>
    <w:basedOn w:val="1"/>
    <w:link w:val="15"/>
    <w:autoRedefine/>
    <w:unhideWhenUsed/>
    <w:qFormat/>
    <w:uiPriority w:val="99"/>
    <w:rPr>
      <w:sz w:val="18"/>
      <w:szCs w:val="18"/>
    </w:rPr>
  </w:style>
  <w:style w:type="paragraph" w:styleId="8">
    <w:name w:val="footer"/>
    <w:basedOn w:val="1"/>
    <w:link w:val="16"/>
    <w:autoRedefine/>
    <w:unhideWhenUsed/>
    <w:qFormat/>
    <w:uiPriority w:val="99"/>
    <w:pPr>
      <w:tabs>
        <w:tab w:val="center" w:pos="4153"/>
        <w:tab w:val="right" w:pos="8306"/>
      </w:tabs>
      <w:snapToGrid w:val="0"/>
      <w:jc w:val="left"/>
    </w:pPr>
    <w:rPr>
      <w:sz w:val="18"/>
      <w:szCs w:val="18"/>
    </w:rPr>
  </w:style>
  <w:style w:type="paragraph" w:styleId="9">
    <w:name w:val="header"/>
    <w:basedOn w:val="1"/>
    <w:link w:val="17"/>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autoRedefine/>
    <w:qFormat/>
    <w:uiPriority w:val="0"/>
    <w:pPr>
      <w:widowControl/>
      <w:spacing w:before="100" w:beforeAutospacing="1" w:after="100" w:afterAutospacing="1"/>
      <w:jc w:val="left"/>
    </w:pPr>
    <w:rPr>
      <w:rFonts w:ascii="Arial Unicode MS" w:hAnsi="Arial Unicode MS" w:eastAsia="Arial Unicode MS" w:cs="Arial Unicode MS"/>
      <w:kern w:val="0"/>
      <w:sz w:val="24"/>
    </w:rPr>
  </w:style>
  <w:style w:type="table" w:styleId="12">
    <w:name w:val="Table Grid"/>
    <w:basedOn w:val="11"/>
    <w:autoRedefine/>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basedOn w:val="13"/>
    <w:autoRedefine/>
    <w:qFormat/>
    <w:uiPriority w:val="0"/>
  </w:style>
  <w:style w:type="character" w:customStyle="1" w:styleId="15">
    <w:name w:val="批注框文本 Char"/>
    <w:basedOn w:val="13"/>
    <w:link w:val="7"/>
    <w:autoRedefine/>
    <w:semiHidden/>
    <w:qFormat/>
    <w:uiPriority w:val="99"/>
    <w:rPr>
      <w:kern w:val="2"/>
      <w:sz w:val="18"/>
      <w:szCs w:val="18"/>
    </w:rPr>
  </w:style>
  <w:style w:type="character" w:customStyle="1" w:styleId="16">
    <w:name w:val="页脚 Char"/>
    <w:basedOn w:val="13"/>
    <w:link w:val="8"/>
    <w:autoRedefine/>
    <w:qFormat/>
    <w:uiPriority w:val="99"/>
    <w:rPr>
      <w:kern w:val="2"/>
      <w:sz w:val="18"/>
      <w:szCs w:val="18"/>
    </w:rPr>
  </w:style>
  <w:style w:type="character" w:customStyle="1" w:styleId="17">
    <w:name w:val="页眉 Char"/>
    <w:basedOn w:val="13"/>
    <w:link w:val="9"/>
    <w:autoRedefine/>
    <w:semiHidden/>
    <w:qFormat/>
    <w:uiPriority w:val="99"/>
    <w:rPr>
      <w:kern w:val="2"/>
      <w:sz w:val="18"/>
      <w:szCs w:val="18"/>
    </w:rPr>
  </w:style>
  <w:style w:type="paragraph" w:customStyle="1" w:styleId="18">
    <w:name w:val="标准正文"/>
    <w:basedOn w:val="5"/>
    <w:autoRedefine/>
    <w:qFormat/>
    <w:uiPriority w:val="0"/>
    <w:pPr>
      <w:spacing w:before="60" w:after="60" w:line="360" w:lineRule="auto"/>
      <w:ind w:left="0" w:leftChars="0" w:firstLine="482"/>
      <w:jc w:val="left"/>
    </w:pPr>
    <w:rPr>
      <w:rFonts w:ascii="Arial" w:hAnsi="Arial"/>
      <w:sz w:val="24"/>
      <w:szCs w:val="20"/>
    </w:rPr>
  </w:style>
  <w:style w:type="paragraph" w:customStyle="1" w:styleId="19">
    <w:name w:val="列出段落1"/>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4</Pages>
  <Words>1353</Words>
  <Characters>2016</Characters>
  <Lines>12</Lines>
  <Paragraphs>3</Paragraphs>
  <TotalTime>9</TotalTime>
  <ScaleCrop>false</ScaleCrop>
  <LinksUpToDate>false</LinksUpToDate>
  <CharactersWithSpaces>2093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2020-01-06T01:17:00Z</dcterms:created>
  <dc:creator>Legend User</dc:creator>
  <cp:lastModifiedBy>孟晓伟</cp:lastModifiedBy>
  <cp:lastPrinted>2019-12-05T07:53:00Z</cp:lastPrinted>
  <dcterms:modified xsi:type="dcterms:W3CDTF">2026-04-16T02:05:36Z</dcterms:modified>
  <dc:title>××产品质量监督抽查实施细则</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SaveFontToCloudKey">
    <vt:lpwstr>705523681_btnclosed</vt:lpwstr>
  </property>
  <property fmtid="{D5CDD505-2E9C-101B-9397-08002B2CF9AE}" pid="4" name="ICV">
    <vt:lpwstr>1D2D5A9441C541848B3040FFD6B51594_13</vt:lpwstr>
  </property>
  <property fmtid="{D5CDD505-2E9C-101B-9397-08002B2CF9AE}" pid="5" name="KSOTemplateDocerSaveRecord">
    <vt:lpwstr>eyJoZGlkIjoiY2RlNTg5OGM2YTFhZWRlZGM1ZTllMmZlYjczZWFmZDEiLCJ1c2VySWQiOiI3MDU1MjM2ODEifQ==</vt:lpwstr>
  </property>
</Properties>
</file>