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widowControl w:val="0"/>
        <w:kinsoku/>
        <w:wordWrap/>
        <w:overflowPunct/>
        <w:topLinePunct w:val="0"/>
        <w:autoSpaceDE/>
        <w:autoSpaceDN/>
        <w:bidi w:val="0"/>
        <w:adjustRightInd/>
        <w:snapToGrid/>
        <w:spacing w:line="560" w:lineRule="exact"/>
        <w:ind w:left="0" w:leftChars="0" w:right="0" w:rightChars="0"/>
        <w:textAlignment w:val="auto"/>
        <w:rPr>
          <w:rFonts w:hint="eastAsia" w:ascii="仿宋" w:hAnsi="仿宋" w:eastAsia="仿宋" w:cs="仿宋"/>
          <w:sz w:val="32"/>
          <w:szCs w:val="32"/>
        </w:rPr>
      </w:pPr>
    </w:p>
    <w:p>
      <w:pPr>
        <w:pageBreakBefore w:val="0"/>
        <w:widowControl w:val="0"/>
        <w:kinsoku/>
        <w:wordWrap/>
        <w:overflowPunct/>
        <w:topLinePunct w:val="0"/>
        <w:autoSpaceDE/>
        <w:autoSpaceDN/>
        <w:bidi w:val="0"/>
        <w:adjustRightInd/>
        <w:snapToGrid/>
        <w:spacing w:line="560" w:lineRule="exact"/>
        <w:ind w:left="0" w:leftChars="0" w:right="0" w:rightChars="0"/>
        <w:textAlignment w:val="auto"/>
        <w:rPr>
          <w:rFonts w:hint="eastAsia" w:ascii="仿宋" w:hAnsi="仿宋" w:eastAsia="仿宋" w:cs="仿宋"/>
          <w:sz w:val="32"/>
          <w:szCs w:val="32"/>
        </w:rPr>
      </w:pPr>
    </w:p>
    <w:p>
      <w:pPr>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eastAsia" w:ascii="宋体" w:hAnsi="宋体" w:eastAsia="宋体" w:cs="宋体"/>
          <w:sz w:val="44"/>
          <w:szCs w:val="44"/>
        </w:rPr>
      </w:pPr>
      <w:r>
        <w:rPr>
          <w:rFonts w:hint="eastAsia" w:ascii="宋体" w:hAnsi="宋体" w:eastAsia="宋体" w:cs="宋体"/>
          <w:sz w:val="44"/>
          <w:szCs w:val="44"/>
        </w:rPr>
        <w:t>辽宁省农业环境保护条例</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p>
    <w:p>
      <w:pPr>
        <w:pStyle w:val="7"/>
        <w:rPr>
          <w:rFonts w:hint="eastAsia"/>
        </w:rPr>
      </w:pPr>
      <w:r>
        <w:rPr>
          <w:rFonts w:hint="eastAsia"/>
        </w:rPr>
        <w:t>（1996年1月19日辽宁省第八届人民代表大会常务委员会第十九次会议通过  1997年11月29日辽宁省第八届人民代表大会常务委员会第三十一次会议修改  根据2004年6月30日辽宁省第十届人民代表大会常务委员会第十二次会议《关于修改〈辽宁省农业环境保护条例〉的决定》第一次修正  根据2010年7月30日辽宁省第十一届人民代表大会常务委员会第十八次会议《关于修改部分地方性法规的决定》第二次修正）</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楷体" w:hAnsi="楷体" w:eastAsia="楷体" w:cs="楷体"/>
          <w:sz w:val="32"/>
          <w:szCs w:val="32"/>
        </w:rPr>
      </w:pPr>
    </w:p>
    <w:p>
      <w:pPr>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eastAsia" w:ascii="楷体" w:hAnsi="楷体" w:eastAsia="楷体" w:cs="楷体"/>
          <w:sz w:val="32"/>
          <w:szCs w:val="32"/>
          <w:lang w:eastAsia="zh-CN"/>
        </w:rPr>
      </w:pPr>
      <w:r>
        <w:rPr>
          <w:rFonts w:hint="eastAsia" w:ascii="楷体" w:hAnsi="楷体" w:eastAsia="楷体" w:cs="楷体"/>
          <w:sz w:val="32"/>
          <w:szCs w:val="32"/>
          <w:lang w:eastAsia="zh-CN"/>
        </w:rPr>
        <w:t>目</w:t>
      </w:r>
      <w:r>
        <w:rPr>
          <w:rFonts w:hint="eastAsia" w:ascii="楷体" w:hAnsi="楷体" w:eastAsia="楷体" w:cs="楷体"/>
          <w:sz w:val="32"/>
          <w:szCs w:val="32"/>
          <w:lang w:val="en-US" w:eastAsia="zh-CN"/>
        </w:rPr>
        <w:t xml:space="preserve">    </w:t>
      </w:r>
      <w:r>
        <w:rPr>
          <w:rFonts w:hint="eastAsia" w:ascii="楷体" w:hAnsi="楷体" w:eastAsia="楷体" w:cs="楷体"/>
          <w:sz w:val="32"/>
          <w:szCs w:val="32"/>
          <w:lang w:eastAsia="zh-CN"/>
        </w:rPr>
        <w:t>录</w:t>
      </w:r>
    </w:p>
    <w:p>
      <w:pPr>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eastAsia" w:ascii="楷体" w:hAnsi="楷体" w:eastAsia="楷体" w:cs="楷体"/>
          <w:sz w:val="32"/>
          <w:szCs w:val="32"/>
          <w:lang w:eastAsia="zh-CN"/>
        </w:rPr>
      </w:pPr>
    </w:p>
    <w:p>
      <w:pPr>
        <w:pStyle w:val="7"/>
        <w:keepNext w:val="0"/>
        <w:keepLines w:val="0"/>
        <w:pageBreakBefore w:val="0"/>
        <w:widowControl w:val="0"/>
        <w:tabs>
          <w:tab w:val="right" w:pos="8844"/>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楷体" w:hAnsi="楷体" w:eastAsia="楷体" w:cs="楷体"/>
          <w:sz w:val="32"/>
          <w:szCs w:val="32"/>
        </w:rPr>
      </w:pPr>
      <w:r>
        <w:rPr>
          <w:rFonts w:hint="eastAsia" w:ascii="楷体" w:hAnsi="楷体" w:eastAsia="楷体" w:cs="楷体"/>
          <w:sz w:val="32"/>
          <w:szCs w:val="32"/>
          <w:lang w:eastAsia="zh-CN"/>
        </w:rPr>
        <w:fldChar w:fldCharType="begin"/>
      </w:r>
      <w:r>
        <w:rPr>
          <w:rFonts w:hint="eastAsia" w:ascii="楷体" w:hAnsi="楷体" w:eastAsia="楷体" w:cs="楷体"/>
          <w:sz w:val="32"/>
          <w:szCs w:val="32"/>
          <w:lang w:eastAsia="zh-CN"/>
        </w:rPr>
        <w:instrText xml:space="preserve">TOC \o "1-1" \n  \h \u </w:instrText>
      </w:r>
      <w:r>
        <w:rPr>
          <w:rFonts w:hint="eastAsia" w:ascii="楷体" w:hAnsi="楷体" w:eastAsia="楷体" w:cs="楷体"/>
          <w:sz w:val="32"/>
          <w:szCs w:val="32"/>
          <w:lang w:eastAsia="zh-CN"/>
        </w:rPr>
        <w:fldChar w:fldCharType="separate"/>
      </w:r>
      <w:r>
        <w:rPr>
          <w:rFonts w:hint="eastAsia" w:ascii="楷体" w:hAnsi="楷体" w:eastAsia="楷体" w:cs="楷体"/>
          <w:sz w:val="32"/>
          <w:szCs w:val="32"/>
          <w:lang w:eastAsia="zh-CN"/>
        </w:rPr>
        <w:fldChar w:fldCharType="begin"/>
      </w:r>
      <w:r>
        <w:rPr>
          <w:rFonts w:hint="eastAsia" w:ascii="楷体" w:hAnsi="楷体" w:eastAsia="楷体" w:cs="楷体"/>
          <w:sz w:val="32"/>
          <w:szCs w:val="32"/>
          <w:lang w:eastAsia="zh-CN"/>
        </w:rPr>
        <w:instrText xml:space="preserve"> HYPERLINK \l _Toc19405 </w:instrText>
      </w:r>
      <w:r>
        <w:rPr>
          <w:rFonts w:hint="eastAsia" w:ascii="楷体" w:hAnsi="楷体" w:eastAsia="楷体" w:cs="楷体"/>
          <w:sz w:val="32"/>
          <w:szCs w:val="32"/>
          <w:lang w:eastAsia="zh-CN"/>
        </w:rPr>
        <w:fldChar w:fldCharType="separate"/>
      </w:r>
      <w:r>
        <w:rPr>
          <w:rFonts w:hint="eastAsia" w:ascii="楷体" w:hAnsi="楷体" w:eastAsia="楷体" w:cs="楷体"/>
          <w:sz w:val="32"/>
          <w:szCs w:val="32"/>
        </w:rPr>
        <w:t>第一章  总    则</w:t>
      </w:r>
      <w:r>
        <w:rPr>
          <w:rFonts w:hint="eastAsia" w:ascii="楷体" w:hAnsi="楷体" w:eastAsia="楷体" w:cs="楷体"/>
          <w:sz w:val="32"/>
          <w:szCs w:val="32"/>
          <w:lang w:eastAsia="zh-CN"/>
        </w:rPr>
        <w:fldChar w:fldCharType="end"/>
      </w:r>
    </w:p>
    <w:p>
      <w:pPr>
        <w:pStyle w:val="7"/>
        <w:keepNext w:val="0"/>
        <w:keepLines w:val="0"/>
        <w:pageBreakBefore w:val="0"/>
        <w:widowControl w:val="0"/>
        <w:tabs>
          <w:tab w:val="right" w:pos="8844"/>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楷体" w:hAnsi="楷体" w:eastAsia="楷体" w:cs="楷体"/>
          <w:sz w:val="32"/>
          <w:szCs w:val="32"/>
        </w:rPr>
      </w:pPr>
      <w:r>
        <w:rPr>
          <w:rFonts w:hint="eastAsia" w:ascii="楷体" w:hAnsi="楷体" w:eastAsia="楷体" w:cs="楷体"/>
          <w:sz w:val="32"/>
          <w:szCs w:val="32"/>
          <w:lang w:eastAsia="zh-CN"/>
        </w:rPr>
        <w:fldChar w:fldCharType="begin"/>
      </w:r>
      <w:r>
        <w:rPr>
          <w:rFonts w:hint="eastAsia" w:ascii="楷体" w:hAnsi="楷体" w:eastAsia="楷体" w:cs="楷体"/>
          <w:sz w:val="32"/>
          <w:szCs w:val="32"/>
          <w:lang w:eastAsia="zh-CN"/>
        </w:rPr>
        <w:instrText xml:space="preserve"> HYPERLINK \l _Toc3950 </w:instrText>
      </w:r>
      <w:r>
        <w:rPr>
          <w:rFonts w:hint="eastAsia" w:ascii="楷体" w:hAnsi="楷体" w:eastAsia="楷体" w:cs="楷体"/>
          <w:sz w:val="32"/>
          <w:szCs w:val="32"/>
          <w:lang w:eastAsia="zh-CN"/>
        </w:rPr>
        <w:fldChar w:fldCharType="separate"/>
      </w:r>
      <w:r>
        <w:rPr>
          <w:rFonts w:hint="eastAsia" w:ascii="楷体" w:hAnsi="楷体" w:eastAsia="楷体" w:cs="楷体"/>
          <w:sz w:val="32"/>
          <w:szCs w:val="32"/>
        </w:rPr>
        <w:t>第二章  监督管理</w:t>
      </w:r>
      <w:r>
        <w:rPr>
          <w:rFonts w:hint="eastAsia" w:ascii="楷体" w:hAnsi="楷体" w:eastAsia="楷体" w:cs="楷体"/>
          <w:sz w:val="32"/>
          <w:szCs w:val="32"/>
          <w:lang w:eastAsia="zh-CN"/>
        </w:rPr>
        <w:fldChar w:fldCharType="end"/>
      </w:r>
    </w:p>
    <w:p>
      <w:pPr>
        <w:pStyle w:val="7"/>
        <w:keepNext w:val="0"/>
        <w:keepLines w:val="0"/>
        <w:pageBreakBefore w:val="0"/>
        <w:widowControl w:val="0"/>
        <w:tabs>
          <w:tab w:val="right" w:pos="8844"/>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楷体" w:hAnsi="楷体" w:eastAsia="楷体" w:cs="楷体"/>
          <w:sz w:val="32"/>
          <w:szCs w:val="32"/>
        </w:rPr>
      </w:pPr>
      <w:r>
        <w:rPr>
          <w:rFonts w:hint="eastAsia" w:ascii="楷体" w:hAnsi="楷体" w:eastAsia="楷体" w:cs="楷体"/>
          <w:sz w:val="32"/>
          <w:szCs w:val="32"/>
          <w:lang w:eastAsia="zh-CN"/>
        </w:rPr>
        <w:fldChar w:fldCharType="begin"/>
      </w:r>
      <w:r>
        <w:rPr>
          <w:rFonts w:hint="eastAsia" w:ascii="楷体" w:hAnsi="楷体" w:eastAsia="楷体" w:cs="楷体"/>
          <w:sz w:val="32"/>
          <w:szCs w:val="32"/>
          <w:lang w:eastAsia="zh-CN"/>
        </w:rPr>
        <w:instrText xml:space="preserve"> HYPERLINK \l _Toc21236 </w:instrText>
      </w:r>
      <w:r>
        <w:rPr>
          <w:rFonts w:hint="eastAsia" w:ascii="楷体" w:hAnsi="楷体" w:eastAsia="楷体" w:cs="楷体"/>
          <w:sz w:val="32"/>
          <w:szCs w:val="32"/>
          <w:lang w:eastAsia="zh-CN"/>
        </w:rPr>
        <w:fldChar w:fldCharType="separate"/>
      </w:r>
      <w:r>
        <w:rPr>
          <w:rFonts w:hint="eastAsia" w:ascii="楷体" w:hAnsi="楷体" w:eastAsia="楷体" w:cs="楷体"/>
          <w:sz w:val="32"/>
          <w:szCs w:val="32"/>
        </w:rPr>
        <w:t>第三章  农业环境保护</w:t>
      </w:r>
      <w:r>
        <w:rPr>
          <w:rFonts w:hint="eastAsia" w:ascii="楷体" w:hAnsi="楷体" w:eastAsia="楷体" w:cs="楷体"/>
          <w:sz w:val="32"/>
          <w:szCs w:val="32"/>
          <w:lang w:eastAsia="zh-CN"/>
        </w:rPr>
        <w:fldChar w:fldCharType="end"/>
      </w:r>
    </w:p>
    <w:p>
      <w:pPr>
        <w:pStyle w:val="7"/>
        <w:keepNext w:val="0"/>
        <w:keepLines w:val="0"/>
        <w:pageBreakBefore w:val="0"/>
        <w:widowControl w:val="0"/>
        <w:tabs>
          <w:tab w:val="right" w:pos="8844"/>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楷体" w:hAnsi="楷体" w:eastAsia="楷体" w:cs="楷体"/>
          <w:sz w:val="32"/>
          <w:szCs w:val="32"/>
        </w:rPr>
      </w:pPr>
      <w:r>
        <w:rPr>
          <w:rFonts w:hint="eastAsia" w:ascii="楷体" w:hAnsi="楷体" w:eastAsia="楷体" w:cs="楷体"/>
          <w:sz w:val="32"/>
          <w:szCs w:val="32"/>
          <w:lang w:eastAsia="zh-CN"/>
        </w:rPr>
        <w:fldChar w:fldCharType="begin"/>
      </w:r>
      <w:r>
        <w:rPr>
          <w:rFonts w:hint="eastAsia" w:ascii="楷体" w:hAnsi="楷体" w:eastAsia="楷体" w:cs="楷体"/>
          <w:sz w:val="32"/>
          <w:szCs w:val="32"/>
          <w:lang w:eastAsia="zh-CN"/>
        </w:rPr>
        <w:instrText xml:space="preserve"> HYPERLINK \l _Toc7318 </w:instrText>
      </w:r>
      <w:r>
        <w:rPr>
          <w:rFonts w:hint="eastAsia" w:ascii="楷体" w:hAnsi="楷体" w:eastAsia="楷体" w:cs="楷体"/>
          <w:sz w:val="32"/>
          <w:szCs w:val="32"/>
          <w:lang w:eastAsia="zh-CN"/>
        </w:rPr>
        <w:fldChar w:fldCharType="separate"/>
      </w:r>
      <w:r>
        <w:rPr>
          <w:rFonts w:hint="eastAsia" w:ascii="楷体" w:hAnsi="楷体" w:eastAsia="楷体" w:cs="楷体"/>
          <w:sz w:val="32"/>
          <w:szCs w:val="32"/>
        </w:rPr>
        <w:t>第四章  法律责任</w:t>
      </w:r>
      <w:r>
        <w:rPr>
          <w:rFonts w:hint="eastAsia" w:ascii="楷体" w:hAnsi="楷体" w:eastAsia="楷体" w:cs="楷体"/>
          <w:sz w:val="32"/>
          <w:szCs w:val="32"/>
          <w:lang w:eastAsia="zh-CN"/>
        </w:rPr>
        <w:fldChar w:fldCharType="end"/>
      </w:r>
    </w:p>
    <w:p>
      <w:pPr>
        <w:pStyle w:val="7"/>
        <w:keepNext w:val="0"/>
        <w:keepLines w:val="0"/>
        <w:pageBreakBefore w:val="0"/>
        <w:widowControl w:val="0"/>
        <w:tabs>
          <w:tab w:val="right" w:pos="8844"/>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楷体" w:hAnsi="楷体" w:eastAsia="楷体" w:cs="楷体"/>
        </w:rPr>
      </w:pPr>
      <w:r>
        <w:rPr>
          <w:rFonts w:hint="eastAsia" w:ascii="楷体" w:hAnsi="楷体" w:eastAsia="楷体" w:cs="楷体"/>
          <w:sz w:val="32"/>
          <w:szCs w:val="32"/>
          <w:lang w:eastAsia="zh-CN"/>
        </w:rPr>
        <w:fldChar w:fldCharType="begin"/>
      </w:r>
      <w:r>
        <w:rPr>
          <w:rFonts w:hint="eastAsia" w:ascii="楷体" w:hAnsi="楷体" w:eastAsia="楷体" w:cs="楷体"/>
          <w:sz w:val="32"/>
          <w:szCs w:val="32"/>
          <w:lang w:eastAsia="zh-CN"/>
        </w:rPr>
        <w:instrText xml:space="preserve"> HYPERLINK \l _Toc1218 </w:instrText>
      </w:r>
      <w:r>
        <w:rPr>
          <w:rFonts w:hint="eastAsia" w:ascii="楷体" w:hAnsi="楷体" w:eastAsia="楷体" w:cs="楷体"/>
          <w:sz w:val="32"/>
          <w:szCs w:val="32"/>
          <w:lang w:eastAsia="zh-CN"/>
        </w:rPr>
        <w:fldChar w:fldCharType="separate"/>
      </w:r>
      <w:r>
        <w:rPr>
          <w:rFonts w:hint="eastAsia" w:ascii="楷体" w:hAnsi="楷体" w:eastAsia="楷体" w:cs="楷体"/>
          <w:sz w:val="32"/>
          <w:szCs w:val="32"/>
        </w:rPr>
        <w:t>第五章  附    则</w:t>
      </w:r>
      <w:r>
        <w:rPr>
          <w:rFonts w:hint="eastAsia" w:ascii="楷体" w:hAnsi="楷体" w:eastAsia="楷体" w:cs="楷体"/>
          <w:sz w:val="32"/>
          <w:szCs w:val="32"/>
          <w:lang w:eastAsia="zh-CN"/>
        </w:rPr>
        <w:fldChar w:fldCharType="end"/>
      </w:r>
    </w:p>
    <w:p>
      <w:pPr>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eastAsia" w:ascii="楷体" w:hAnsi="楷体" w:eastAsia="楷体" w:cs="楷体"/>
          <w:sz w:val="32"/>
          <w:szCs w:val="32"/>
          <w:lang w:eastAsia="zh-CN"/>
        </w:rPr>
      </w:pPr>
      <w:r>
        <w:rPr>
          <w:rFonts w:hint="eastAsia" w:ascii="楷体" w:hAnsi="楷体" w:eastAsia="楷体" w:cs="楷体"/>
          <w:szCs w:val="32"/>
          <w:lang w:eastAsia="zh-CN"/>
        </w:rPr>
        <w:fldChar w:fldCharType="end"/>
      </w:r>
    </w:p>
    <w:p>
      <w:pPr>
        <w:pStyle w:val="2"/>
        <w:pageBreakBefore w:val="0"/>
        <w:widowControl w:val="0"/>
        <w:kinsoku/>
        <w:wordWrap/>
        <w:overflowPunct/>
        <w:topLinePunct w:val="0"/>
        <w:autoSpaceDE/>
        <w:autoSpaceDN/>
        <w:bidi w:val="0"/>
        <w:adjustRightInd/>
        <w:snapToGrid/>
        <w:spacing w:line="560" w:lineRule="exact"/>
        <w:ind w:left="0" w:leftChars="0" w:right="0" w:rightChars="0"/>
        <w:textAlignment w:val="auto"/>
        <w:rPr>
          <w:rFonts w:hint="eastAsia"/>
        </w:rPr>
      </w:pPr>
      <w:bookmarkStart w:id="0" w:name="_Toc19405"/>
      <w:r>
        <w:rPr>
          <w:rFonts w:hint="eastAsia"/>
        </w:rPr>
        <w:t>第一章  总    则</w:t>
      </w:r>
      <w:bookmarkEnd w:id="0"/>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黑体" w:hAnsi="黑体" w:eastAsia="黑体" w:cs="黑体"/>
          <w:sz w:val="32"/>
          <w:szCs w:val="32"/>
          <w:lang w:eastAsia="zh-CN"/>
        </w:rPr>
      </w:pP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第一条</w:t>
      </w:r>
      <w:r>
        <w:rPr>
          <w:rFonts w:hint="eastAsia" w:ascii="仿宋" w:hAnsi="仿宋" w:eastAsia="仿宋" w:cs="仿宋"/>
          <w:sz w:val="32"/>
          <w:szCs w:val="32"/>
        </w:rPr>
        <w:t xml:space="preserve"> 为了保护和改善农业环境，防治农业环境污染和破坏，保证农业的持续发展，保障人体健康，根据《中华人民共和国环境保护法》《中华人民共和国农业法》及有关法律、法规，结合辽宁省实际情况，制定本条例。</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第二条</w:t>
      </w:r>
      <w:r>
        <w:rPr>
          <w:rFonts w:hint="eastAsia" w:ascii="仿宋" w:hAnsi="仿宋" w:eastAsia="仿宋" w:cs="仿宋"/>
          <w:sz w:val="32"/>
          <w:szCs w:val="32"/>
        </w:rPr>
        <w:t xml:space="preserve">  本条例所称农业环境，是指直接影响农业生产的各种天然的和经过人工改造的自然因素的总称。主要包括农业用地、农业用水、农业气候环境和农作物、蔬菜、果树、中草药材、柞蚕等农业生物。</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第三条</w:t>
      </w:r>
      <w:r>
        <w:rPr>
          <w:rFonts w:hint="eastAsia" w:ascii="仿宋" w:hAnsi="仿宋" w:eastAsia="仿宋" w:cs="仿宋"/>
          <w:sz w:val="32"/>
          <w:szCs w:val="32"/>
        </w:rPr>
        <w:t xml:space="preserve">  凡在本省辖区内从事与农业环境直接相关活动的单位和个人，都必须遵守本条例。</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第四条</w:t>
      </w:r>
      <w:r>
        <w:rPr>
          <w:rFonts w:hint="eastAsia" w:ascii="仿宋" w:hAnsi="仿宋" w:eastAsia="仿宋" w:cs="仿宋"/>
          <w:sz w:val="32"/>
          <w:szCs w:val="32"/>
        </w:rPr>
        <w:t xml:space="preserve">  农业环境保护必须坚持预防为主、防治结合和谁污染谁治理、谁开发谁保护、谁利用谁补偿的原则。</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第五条</w:t>
      </w:r>
      <w:r>
        <w:rPr>
          <w:rFonts w:hint="eastAsia" w:ascii="仿宋" w:hAnsi="仿宋" w:eastAsia="仿宋" w:cs="仿宋"/>
          <w:sz w:val="32"/>
          <w:szCs w:val="32"/>
        </w:rPr>
        <w:t xml:space="preserve">  各级人民政府应把农业环境保护作为管理农业和农村经济的重要职能之一，将农业环境保护纳入国民经济和社会发展计划，统筹安排农业环境保护经费。县级以上人民政府（含县级，下同）应当根据农业环境保护需要，健全农业环境监测机构，强化监督管理职能。</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第六条</w:t>
      </w:r>
      <w:r>
        <w:rPr>
          <w:rFonts w:hint="eastAsia" w:ascii="仿宋" w:hAnsi="仿宋" w:eastAsia="仿宋" w:cs="仿宋"/>
          <w:sz w:val="32"/>
          <w:szCs w:val="32"/>
        </w:rPr>
        <w:t xml:space="preserve">  各级人民政府应重视农业环境保护科学教育事业，加强农业环境保护科学技术的研究、开发和推广，宣传、普及农业环境科学知识。</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第七条</w:t>
      </w:r>
      <w:r>
        <w:rPr>
          <w:rFonts w:hint="eastAsia" w:ascii="仿宋" w:hAnsi="仿宋" w:eastAsia="仿宋" w:cs="仿宋"/>
          <w:sz w:val="32"/>
          <w:szCs w:val="32"/>
        </w:rPr>
        <w:t xml:space="preserve">  一切单位和个人都有保护农业环境的义务，并有权对污染、破坏农业环境的行为进行检举和控告。</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第八条</w:t>
      </w:r>
      <w:r>
        <w:rPr>
          <w:rFonts w:hint="eastAsia" w:ascii="仿宋" w:hAnsi="仿宋" w:eastAsia="仿宋" w:cs="仿宋"/>
          <w:sz w:val="32"/>
          <w:szCs w:val="32"/>
        </w:rPr>
        <w:t xml:space="preserve">  对保护和改善农业环境做出显著成绩的单位和个人，由人民政府给予表彰和奖励。</w:t>
      </w:r>
    </w:p>
    <w:p>
      <w:pPr>
        <w:pStyle w:val="2"/>
        <w:pageBreakBefore w:val="0"/>
        <w:widowControl w:val="0"/>
        <w:kinsoku/>
        <w:wordWrap/>
        <w:overflowPunct/>
        <w:topLinePunct w:val="0"/>
        <w:autoSpaceDE/>
        <w:autoSpaceDN/>
        <w:bidi w:val="0"/>
        <w:adjustRightInd/>
        <w:snapToGrid/>
        <w:spacing w:line="560" w:lineRule="exact"/>
        <w:ind w:left="0" w:leftChars="0" w:right="0" w:rightChars="0"/>
        <w:textAlignment w:val="auto"/>
        <w:rPr>
          <w:rFonts w:hint="eastAsia"/>
        </w:rPr>
      </w:pPr>
      <w:bookmarkStart w:id="1" w:name="_Toc3950"/>
    </w:p>
    <w:p>
      <w:pPr>
        <w:pStyle w:val="2"/>
        <w:pageBreakBefore w:val="0"/>
        <w:widowControl w:val="0"/>
        <w:kinsoku/>
        <w:wordWrap/>
        <w:overflowPunct/>
        <w:topLinePunct w:val="0"/>
        <w:autoSpaceDE/>
        <w:autoSpaceDN/>
        <w:bidi w:val="0"/>
        <w:adjustRightInd/>
        <w:snapToGrid/>
        <w:spacing w:line="560" w:lineRule="exact"/>
        <w:ind w:left="0" w:leftChars="0" w:right="0" w:rightChars="0"/>
        <w:textAlignment w:val="auto"/>
        <w:rPr>
          <w:rFonts w:hint="eastAsia"/>
        </w:rPr>
      </w:pPr>
      <w:r>
        <w:rPr>
          <w:rFonts w:hint="eastAsia"/>
        </w:rPr>
        <w:t>第二章  监督管理</w:t>
      </w:r>
      <w:bookmarkEnd w:id="1"/>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黑体" w:hAnsi="黑体" w:eastAsia="黑体" w:cs="黑体"/>
          <w:sz w:val="32"/>
          <w:szCs w:val="32"/>
          <w:lang w:eastAsia="zh-CN"/>
        </w:rPr>
      </w:pP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第九条</w:t>
      </w:r>
      <w:r>
        <w:rPr>
          <w:rFonts w:hint="eastAsia" w:ascii="仿宋" w:hAnsi="仿宋" w:eastAsia="仿宋" w:cs="仿宋"/>
          <w:sz w:val="32"/>
          <w:szCs w:val="32"/>
        </w:rPr>
        <w:t xml:space="preserve">  县级以上人民政府环境保护行政主管部门，对本辖区的农业环境保护工作实施统一监督管理。</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各级人民政府农业行政主管部门，对本辖区的农业环境保护工作实施监督管理。县级以上人民政府农业行政主管部门可以委托所属的农业环境保护监测机构，具体实施本辖区的农业环境保护工作。</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县级以上人民政府的土地、水利、林业、乡镇企业、破产等行政主管部门，按照有关法律、法规规定，根据各自的职责，对管辖范围内的农业环境保护工作实施监督管理。</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村集体经济组织或村民委员会协助有关部门做好农业环境保护工作。</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第十条</w:t>
      </w:r>
      <w:r>
        <w:rPr>
          <w:rFonts w:hint="eastAsia" w:ascii="仿宋" w:hAnsi="仿宋" w:eastAsia="仿宋" w:cs="仿宋"/>
          <w:sz w:val="32"/>
          <w:szCs w:val="32"/>
        </w:rPr>
        <w:t xml:space="preserve">  县级以上人民政府农业行政主管部门在农业环境保护工作中的主要职责是：宣传贯彻国家和省有关农业环境保护的法律、法规和政策；监督检查农业环境保护法律、法规和标准的执行；在环境保护部门的指导下，制定地方农业环境保护长远规划和年度计划；组织开展农业环境监测，掌握本地区农业环境质量状况及发展变化趋势，定期向同级环境保护行政主管部门和上级农业行政主管部门报告；组织开展生态农业建设工作，推广生态农业技术；组织、指导农业生产对农业环境污染、破坏的预防和治理工作；依法调查处理或参与调查处理农业环境污染事故；宣传普及农业环境保护知识，组织开展农业环境保护的科学研究和技术推广工作。</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第十一条</w:t>
      </w:r>
      <w:r>
        <w:rPr>
          <w:rFonts w:hint="eastAsia" w:ascii="仿宋" w:hAnsi="仿宋" w:eastAsia="仿宋" w:cs="仿宋"/>
          <w:sz w:val="32"/>
          <w:szCs w:val="32"/>
        </w:rPr>
        <w:t xml:space="preserve">  县级以上农业行政主管部门所属的农业环境监测机构，应当按照有关规定参加全省环境监测网络，协同环境保护部门对本辖区农业环境质量进行调查、定期监测和评价，收集、整理、储存农业环境监测数据资料，建立数据库和污染源档案，编制农业环境质量报告。受环境保护行政主管部门和农业行政主管部门的委托，可承担、参与农业环境污染事故调查和农业环境污染纠纷的技术鉴定。</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第十二条</w:t>
      </w:r>
      <w:r>
        <w:rPr>
          <w:rFonts w:hint="eastAsia" w:ascii="仿宋" w:hAnsi="仿宋" w:eastAsia="仿宋" w:cs="仿宋"/>
          <w:sz w:val="32"/>
          <w:szCs w:val="32"/>
        </w:rPr>
        <w:t xml:space="preserve">  对农业环境有直接影响的建设项目环境影响报告书中，必须有农业环境影响专题和农业环境保护方案。农业环境影响专题和农业环境保护方案，应经农业行政主管部门同意后，报环境保护行政主管部门审批。</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建设项目竣工前，农业环境保护措施的落实，应有农业行政主管部门参加验收，并协同环境保护行政主管部门监督环境保护设施的正常运转。</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第十三条</w:t>
      </w:r>
      <w:r>
        <w:rPr>
          <w:rFonts w:hint="eastAsia" w:ascii="仿宋" w:hAnsi="仿宋" w:eastAsia="仿宋" w:cs="仿宋"/>
          <w:sz w:val="32"/>
          <w:szCs w:val="32"/>
        </w:rPr>
        <w:t xml:space="preserve">  因发生事故造成或者可能造成农业环境污染、破坏的单位和个人，应当采取紧急措施排除或者减轻危害，及时通报可能受到环境保护行政主管部门和农业行政主管部门报告，接受调查处理。</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第十四条</w:t>
      </w:r>
      <w:r>
        <w:rPr>
          <w:rFonts w:hint="eastAsia" w:ascii="仿宋" w:hAnsi="仿宋" w:eastAsia="仿宋" w:cs="仿宋"/>
          <w:sz w:val="32"/>
          <w:szCs w:val="32"/>
        </w:rPr>
        <w:t xml:space="preserve">  县级以上人民政府农业行政主管部门对由于农业生产措施不当造成的农业环境污染和破坏，应当及时进行现场检查、处理。对其他污染和破坏农业环境的行为</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有权进行调查、检查，协同环境保护行政主管部门进行处理。农业环境管理人员执行公务时，应当出示证件。被检查单位应当如实反映情况，提供必要的资料。检查机关和检查人员应当为被检查单位保守技术秘密和业务秘密。</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第十五条</w:t>
      </w:r>
      <w:r>
        <w:rPr>
          <w:rFonts w:hint="eastAsia" w:ascii="仿宋" w:hAnsi="仿宋" w:eastAsia="仿宋" w:cs="仿宋"/>
          <w:sz w:val="32"/>
          <w:szCs w:val="32"/>
        </w:rPr>
        <w:t xml:space="preserve">  跨行政区域的农业环境污染和破坏的防治工作，由有关地方人民政府协商解决，或由共同的上级人民政府处理。</w:t>
      </w:r>
    </w:p>
    <w:p>
      <w:pPr>
        <w:pStyle w:val="2"/>
        <w:pageBreakBefore w:val="0"/>
        <w:widowControl w:val="0"/>
        <w:kinsoku/>
        <w:wordWrap/>
        <w:overflowPunct/>
        <w:topLinePunct w:val="0"/>
        <w:autoSpaceDE/>
        <w:autoSpaceDN/>
        <w:bidi w:val="0"/>
        <w:adjustRightInd/>
        <w:snapToGrid/>
        <w:spacing w:line="560" w:lineRule="exact"/>
        <w:ind w:left="0" w:leftChars="0" w:right="0" w:rightChars="0"/>
        <w:textAlignment w:val="auto"/>
        <w:rPr>
          <w:rFonts w:hint="eastAsia"/>
        </w:rPr>
      </w:pPr>
      <w:bookmarkStart w:id="2" w:name="_Toc21236"/>
    </w:p>
    <w:p>
      <w:pPr>
        <w:pStyle w:val="2"/>
        <w:pageBreakBefore w:val="0"/>
        <w:widowControl w:val="0"/>
        <w:kinsoku/>
        <w:wordWrap/>
        <w:overflowPunct/>
        <w:topLinePunct w:val="0"/>
        <w:autoSpaceDE/>
        <w:autoSpaceDN/>
        <w:bidi w:val="0"/>
        <w:adjustRightInd/>
        <w:snapToGrid/>
        <w:spacing w:line="560" w:lineRule="exact"/>
        <w:ind w:left="0" w:leftChars="0" w:right="0" w:rightChars="0"/>
        <w:textAlignment w:val="auto"/>
        <w:rPr>
          <w:rFonts w:hint="eastAsia"/>
        </w:rPr>
      </w:pPr>
      <w:r>
        <w:rPr>
          <w:rFonts w:hint="eastAsia"/>
        </w:rPr>
        <w:t>第三章  农业环境保护</w:t>
      </w:r>
      <w:bookmarkEnd w:id="2"/>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黑体" w:hAnsi="黑体" w:eastAsia="黑体" w:cs="黑体"/>
          <w:sz w:val="32"/>
          <w:szCs w:val="32"/>
          <w:lang w:eastAsia="zh-CN"/>
        </w:rPr>
      </w:pP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第十六条</w:t>
      </w:r>
      <w:r>
        <w:rPr>
          <w:rFonts w:hint="eastAsia" w:ascii="仿宋" w:hAnsi="仿宋" w:eastAsia="仿宋" w:cs="仿宋"/>
          <w:sz w:val="32"/>
          <w:szCs w:val="32"/>
        </w:rPr>
        <w:t xml:space="preserve">  各级人民政府应当依据当地农业资源和农业环境状况，合理调整和优化农业生产结构和农产品结构，促进农业经济与农业环境保护相协调。</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第十七条</w:t>
      </w:r>
      <w:r>
        <w:rPr>
          <w:rFonts w:hint="eastAsia" w:ascii="仿宋" w:hAnsi="仿宋" w:eastAsia="仿宋" w:cs="仿宋"/>
          <w:sz w:val="32"/>
          <w:szCs w:val="32"/>
        </w:rPr>
        <w:t xml:space="preserve">  因地制宜地发展生态农业和农业环境保护产业，开展生态农业工程、农田防护林体系、农村能源生态工程以及水土流失、土地沙化、盐渍化整治工程建设，推广资源节约型农业技术、农业资源综合利用技术，提高农业资源利用率和农业综合防治污染、抗御自然灾害的能力。</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第十八条</w:t>
      </w:r>
      <w:r>
        <w:rPr>
          <w:rFonts w:hint="eastAsia" w:ascii="仿宋" w:hAnsi="仿宋" w:eastAsia="仿宋" w:cs="仿宋"/>
          <w:sz w:val="32"/>
          <w:szCs w:val="32"/>
        </w:rPr>
        <w:t xml:space="preserve">  县级以上人民政府应根据国务院《基本农田保护条例》和省有关规定，编制基本农田保护区规划，划定基本农田保护区，对粮、棉、油和名、优、特、新农产品生产基地，大中城市蔬菜生产基地、水果生产基地的农业用地实行特殊保护。</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第十九条</w:t>
      </w:r>
      <w:r>
        <w:rPr>
          <w:rFonts w:hint="eastAsia" w:ascii="仿宋" w:hAnsi="仿宋" w:eastAsia="仿宋" w:cs="仿宋"/>
          <w:sz w:val="32"/>
          <w:szCs w:val="32"/>
        </w:rPr>
        <w:t xml:space="preserve">  各级人民政府应当有计划地建立无污染农产品生产基地，鼓励从事农业生产的单位和个人生产无污染农产品、绿化食品和有机食品。优质农产品的评审应有农产品生产环境指标和农产品有毒有害物质残留指标。</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无污染农产品的生产技术规程、产地农业环境质量标准和无污染农产品中有毒有害物质残留控制标准由省农业行政主管部门协同环境保护等有关部门制定。</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第二十条</w:t>
      </w:r>
      <w:r>
        <w:rPr>
          <w:rFonts w:hint="eastAsia" w:ascii="仿宋" w:hAnsi="仿宋" w:eastAsia="仿宋" w:cs="仿宋"/>
          <w:sz w:val="32"/>
          <w:szCs w:val="32"/>
        </w:rPr>
        <w:t xml:space="preserve">  从事农业生产的单位和个人应当科学、合理使用农药、化肥，鼓励使用生产农药、易降解地膜，增加使用有机肥，及时回收农用薄膜，禁止使用国家明令淘汰的农用化学物质，防止对土壤、水体和农产品的污染和破坏。</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第二十一条</w:t>
      </w:r>
      <w:r>
        <w:rPr>
          <w:rFonts w:hint="eastAsia" w:ascii="仿宋" w:hAnsi="仿宋" w:eastAsia="仿宋" w:cs="仿宋"/>
          <w:sz w:val="32"/>
          <w:szCs w:val="32"/>
        </w:rPr>
        <w:t xml:space="preserve">  严禁向农用水体排放有毒有害物质，倾倒工业废渣、城市垃圾和其他废弃物，在农用水体浸泡、清洗有毒有害物质。</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第二十二条</w:t>
      </w:r>
      <w:r>
        <w:rPr>
          <w:rFonts w:hint="eastAsia" w:ascii="仿宋" w:hAnsi="仿宋" w:eastAsia="仿宋" w:cs="仿宋"/>
          <w:sz w:val="32"/>
          <w:szCs w:val="32"/>
        </w:rPr>
        <w:t xml:space="preserve">  禁止使用不符合国家和地方规定控制标准的工业废水和城市污水灌溉农田。</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向农田灌溉渠道排放工业废水和城市污水，应保证其下游最近的灌溉取水点的水质符合农田灌溉水质标准。</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对利用工业废水和城市污水进行灌溉的，县级以上农业部门应定期监测用于灌溉的污水水质、农业土壤和农产品，向有关部门和个人通报情况，并采取措施防止土壤、水体和农产品污染。</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第二十三条</w:t>
      </w:r>
      <w:r>
        <w:rPr>
          <w:rFonts w:hint="eastAsia" w:ascii="仿宋" w:hAnsi="仿宋" w:eastAsia="仿宋" w:cs="仿宋"/>
          <w:sz w:val="32"/>
          <w:szCs w:val="32"/>
        </w:rPr>
        <w:t xml:space="preserve">  农业区域内的一切排烟装置、工业窑炉和散发有害气体、粉尘的单位，须采取使用密闭的生产设施和工艺，安装净化、回收设施等有效的排烟除尘措施，防止烟尘、有害气体、工业粉尘对农业环境的污染、危害。</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第二十四条</w:t>
      </w:r>
      <w:r>
        <w:rPr>
          <w:rFonts w:hint="eastAsia" w:ascii="仿宋" w:hAnsi="仿宋" w:eastAsia="仿宋" w:cs="仿宋"/>
          <w:sz w:val="32"/>
          <w:szCs w:val="32"/>
        </w:rPr>
        <w:t xml:space="preserve">  严禁在基本农田倾倒、弃置和堆存固体废弃物。在基本农田以外的农业用地倾倒、弃置、堆存固体废弃物的，必须按照国家规定的程序报环境保护行政主管部门批准。堆存工业废渣，必须采取防止渗漏、径流、扬散等措施，避免污染农业环境。</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第二十五条</w:t>
      </w:r>
      <w:r>
        <w:rPr>
          <w:rFonts w:hint="eastAsia" w:ascii="仿宋" w:hAnsi="仿宋" w:eastAsia="仿宋" w:cs="仿宋"/>
          <w:sz w:val="32"/>
          <w:szCs w:val="32"/>
        </w:rPr>
        <w:t xml:space="preserve">  任何单位或个人使用城市垃圾、污泥或粉煤灰作为肥料或土壤改良剂</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用于农业生产时，必须经当地农业环境监测部门监测，符合国家有关标准的，方可使用。</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第二十六条</w:t>
      </w:r>
      <w:r>
        <w:rPr>
          <w:rFonts w:hint="eastAsia" w:ascii="仿宋" w:hAnsi="仿宋" w:eastAsia="仿宋" w:cs="仿宋"/>
          <w:sz w:val="32"/>
          <w:szCs w:val="32"/>
        </w:rPr>
        <w:t xml:space="preserve">  因受有毒有害物质污染，造成农业生物不能正常生长或生产的农产品危害人畜健康的区域，经县以上人民政府批准，可以划为农业污染整治区，由农业行政主管部门协同环境保护行政主管部门组织制定农业污染整治区综合治理规划，并监督实施。农业污染整治区的治理费用，由造成污染的责任者承担。责任者无法确定、已不存在或无力承担全部费用的和重大农业污染治理项目，应纳入各级人民政府环境治理计划。</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未经治理的农业污染整治区，不得种植为人畜直接提供食用的农业生物，不得放牧和饲养食用性动物，产品不得用于加工食品。</w:t>
      </w:r>
    </w:p>
    <w:p>
      <w:pPr>
        <w:pStyle w:val="2"/>
        <w:pageBreakBefore w:val="0"/>
        <w:widowControl w:val="0"/>
        <w:kinsoku/>
        <w:wordWrap/>
        <w:overflowPunct/>
        <w:topLinePunct w:val="0"/>
        <w:autoSpaceDE/>
        <w:autoSpaceDN/>
        <w:bidi w:val="0"/>
        <w:adjustRightInd/>
        <w:snapToGrid/>
        <w:spacing w:line="560" w:lineRule="exact"/>
        <w:ind w:left="0" w:leftChars="0" w:right="0" w:rightChars="0"/>
        <w:textAlignment w:val="auto"/>
        <w:rPr>
          <w:rFonts w:hint="eastAsia"/>
        </w:rPr>
      </w:pPr>
      <w:bookmarkStart w:id="3" w:name="_Toc7318"/>
    </w:p>
    <w:p>
      <w:pPr>
        <w:pStyle w:val="2"/>
        <w:pageBreakBefore w:val="0"/>
        <w:widowControl w:val="0"/>
        <w:kinsoku/>
        <w:wordWrap/>
        <w:overflowPunct/>
        <w:topLinePunct w:val="0"/>
        <w:autoSpaceDE/>
        <w:autoSpaceDN/>
        <w:bidi w:val="0"/>
        <w:adjustRightInd/>
        <w:snapToGrid/>
        <w:spacing w:line="560" w:lineRule="exact"/>
        <w:ind w:left="0" w:leftChars="0" w:right="0" w:rightChars="0"/>
        <w:textAlignment w:val="auto"/>
        <w:rPr>
          <w:rFonts w:hint="eastAsia"/>
        </w:rPr>
      </w:pPr>
      <w:r>
        <w:rPr>
          <w:rFonts w:hint="eastAsia"/>
        </w:rPr>
        <w:t>第四章  法律责任</w:t>
      </w:r>
      <w:bookmarkEnd w:id="3"/>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黑体" w:hAnsi="黑体" w:eastAsia="黑体" w:cs="黑体"/>
          <w:sz w:val="32"/>
          <w:szCs w:val="32"/>
          <w:lang w:eastAsia="zh-CN"/>
        </w:rPr>
      </w:pP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第二十七条</w:t>
      </w:r>
      <w:r>
        <w:rPr>
          <w:rFonts w:hint="eastAsia" w:ascii="仿宋" w:hAnsi="仿宋" w:eastAsia="仿宋" w:cs="仿宋"/>
          <w:sz w:val="32"/>
          <w:szCs w:val="32"/>
        </w:rPr>
        <w:t xml:space="preserve">  违反本条例规定，造成农业环境污染和破坏，依法应当给予行政处分的，除本条例另有规定外，由有关部门依照有关法律、法规的规定执行。</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第二十八条</w:t>
      </w:r>
      <w:r>
        <w:rPr>
          <w:rFonts w:hint="eastAsia" w:ascii="仿宋" w:hAnsi="仿宋" w:eastAsia="仿宋" w:cs="仿宋"/>
          <w:sz w:val="32"/>
          <w:szCs w:val="32"/>
        </w:rPr>
        <w:t xml:space="preserve">  违反本条例第十四条规定，拒绝农业行政主管部门现场检查，或被检查时弄虚作假的，农业行政主管部门可以根据不同情节协同环境保护部门给予警告或处以300元至3000元罚款。</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 xml:space="preserve">第二十九条  </w:t>
      </w:r>
      <w:r>
        <w:rPr>
          <w:rFonts w:hint="eastAsia" w:ascii="仿宋" w:hAnsi="仿宋" w:eastAsia="仿宋" w:cs="仿宋"/>
          <w:sz w:val="32"/>
          <w:szCs w:val="32"/>
        </w:rPr>
        <w:t>违反本条例规定，有下列情形之一的，由县级以上人民政府农业行政主管部门协同本级环境保护主管部门根据不同情节给予处罚：</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（一）违反本条例第十二条规定的，责令停产或者停用，落实农业环境保护措施，补建环境保护设施，并处以1万元至5万元罚款；</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（二）违反本条例第二十一条规定的，处以5000元至10万元罚款；</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（三）违反本条例第二十三条规定，造成农业环境污染事故的，责令停止使用，并处以1万元至5万元罚款；对造成重大损失的，按照直接损失的30％计算罚款，但最高不得超过20万元；</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（四）违反本条例第二十四条规定的，责令限期改正，采取防治措施，并处以2000元至5万元罚款。</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第三十条</w:t>
      </w:r>
      <w:r>
        <w:rPr>
          <w:rFonts w:hint="eastAsia" w:ascii="仿宋" w:hAnsi="仿宋" w:eastAsia="仿宋" w:cs="仿宋"/>
          <w:sz w:val="32"/>
          <w:szCs w:val="32"/>
        </w:rPr>
        <w:t xml:space="preserve">  违反本条例规定，有下列情形之一的，由县级以上人民政府农业行政主管部门根据不同情节给以处罚：</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（一）违反本条例第二十条规定，不及时回收农用薄膜的，责令限期回收；</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（二）违反本条例第二十二条第一款规定的，责令停止使用并处以使用面积所得经济收入2倍以内的罚款；</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（三）违反本条例第二十五条规定的，给予警告并处以1000元至5000元罚款；</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（四）违反本条例第二十六条第二款规定的，责令销毁产品或加工的成品，并处以1000元至2万元罚款。</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第三十一条</w:t>
      </w:r>
      <w:r>
        <w:rPr>
          <w:rFonts w:hint="eastAsia" w:ascii="仿宋" w:hAnsi="仿宋" w:eastAsia="仿宋" w:cs="仿宋"/>
          <w:sz w:val="32"/>
          <w:szCs w:val="32"/>
        </w:rPr>
        <w:t xml:space="preserve">  进行罚款必须使用财政部门统一印制的罚款收据，罚款收入全额上缴同级财政部门。</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第三十二条</w:t>
      </w:r>
      <w:r>
        <w:rPr>
          <w:rFonts w:hint="eastAsia" w:ascii="仿宋" w:hAnsi="仿宋" w:eastAsia="仿宋" w:cs="仿宋"/>
          <w:sz w:val="32"/>
          <w:szCs w:val="32"/>
        </w:rPr>
        <w:t xml:space="preserve">  违反本条例第十三条规定的，责令赔偿直接经济损失，治理恢复被污染和破坏的农业环境，并追究主要责任者的责任。</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 xml:space="preserve">第三十三条  </w:t>
      </w:r>
      <w:r>
        <w:rPr>
          <w:rFonts w:hint="eastAsia" w:ascii="仿宋" w:hAnsi="仿宋" w:eastAsia="仿宋" w:cs="仿宋"/>
          <w:sz w:val="32"/>
          <w:szCs w:val="32"/>
        </w:rPr>
        <w:t>违反本条例规定构成犯罪的，依照有关法律的规定追究刑事责任。</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第三十四条</w:t>
      </w:r>
      <w:r>
        <w:rPr>
          <w:rFonts w:hint="eastAsia" w:ascii="仿宋" w:hAnsi="仿宋" w:eastAsia="仿宋" w:cs="仿宋"/>
          <w:sz w:val="32"/>
          <w:szCs w:val="32"/>
        </w:rPr>
        <w:t xml:space="preserve">  农业环境管理工作人员滥用职权、玩忽职守、徇私舞弊的，由其所在</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单位或上级行政主管部门给予行政处分；构成犯罪的，由司法机关追究刑事责任。</w:t>
      </w:r>
    </w:p>
    <w:p>
      <w:pPr>
        <w:pStyle w:val="2"/>
        <w:pageBreakBefore w:val="0"/>
        <w:widowControl w:val="0"/>
        <w:kinsoku/>
        <w:wordWrap/>
        <w:overflowPunct/>
        <w:topLinePunct w:val="0"/>
        <w:autoSpaceDE/>
        <w:autoSpaceDN/>
        <w:bidi w:val="0"/>
        <w:adjustRightInd/>
        <w:snapToGrid/>
        <w:spacing w:line="560" w:lineRule="exact"/>
        <w:ind w:left="0" w:leftChars="0" w:right="0" w:rightChars="0"/>
        <w:textAlignment w:val="auto"/>
        <w:rPr>
          <w:rFonts w:hint="eastAsia"/>
        </w:rPr>
      </w:pPr>
      <w:bookmarkStart w:id="4" w:name="_Toc1218"/>
    </w:p>
    <w:p>
      <w:pPr>
        <w:pStyle w:val="2"/>
        <w:pageBreakBefore w:val="0"/>
        <w:widowControl w:val="0"/>
        <w:kinsoku/>
        <w:wordWrap/>
        <w:overflowPunct/>
        <w:topLinePunct w:val="0"/>
        <w:autoSpaceDE/>
        <w:autoSpaceDN/>
        <w:bidi w:val="0"/>
        <w:adjustRightInd/>
        <w:snapToGrid/>
        <w:spacing w:line="560" w:lineRule="exact"/>
        <w:ind w:left="0" w:leftChars="0" w:right="0" w:rightChars="0"/>
        <w:textAlignment w:val="auto"/>
        <w:rPr>
          <w:rFonts w:hint="eastAsia"/>
        </w:rPr>
      </w:pPr>
      <w:r>
        <w:rPr>
          <w:rFonts w:hint="eastAsia"/>
        </w:rPr>
        <w:t>第五章  附    则</w:t>
      </w:r>
      <w:bookmarkEnd w:id="4"/>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黑体" w:hAnsi="黑体" w:eastAsia="黑体" w:cs="黑体"/>
          <w:sz w:val="32"/>
          <w:szCs w:val="32"/>
          <w:lang w:eastAsia="zh-CN"/>
        </w:rPr>
      </w:pP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bookmarkStart w:id="5" w:name="_GoBack"/>
      <w:bookmarkEnd w:id="5"/>
      <w:r>
        <w:rPr>
          <w:rFonts w:hint="eastAsia" w:ascii="黑体" w:hAnsi="黑体" w:eastAsia="黑体" w:cs="黑体"/>
          <w:sz w:val="32"/>
          <w:szCs w:val="32"/>
          <w:lang w:eastAsia="zh-CN"/>
        </w:rPr>
        <w:t>第三十五条</w:t>
      </w:r>
      <w:r>
        <w:rPr>
          <w:rFonts w:hint="eastAsia" w:ascii="仿宋" w:hAnsi="仿宋" w:eastAsia="仿宋" w:cs="仿宋"/>
          <w:sz w:val="32"/>
          <w:szCs w:val="32"/>
        </w:rPr>
        <w:t xml:space="preserve">  本条例执行中的具体问题由辽宁省人民政府负责解释。</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第三十六条</w:t>
      </w:r>
      <w:r>
        <w:rPr>
          <w:rFonts w:hint="eastAsia" w:ascii="仿宋" w:hAnsi="仿宋" w:eastAsia="仿宋" w:cs="仿宋"/>
          <w:sz w:val="32"/>
          <w:szCs w:val="32"/>
        </w:rPr>
        <w:t xml:space="preserve">  本条例自发布之日起实施。</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 w:hAnsi="仿宋" w:eastAsia="仿宋" w:cs="仿宋"/>
          <w:sz w:val="32"/>
          <w:szCs w:val="32"/>
        </w:rPr>
      </w:pPr>
    </w:p>
    <w:p>
      <w:pPr>
        <w:rPr>
          <w:rFonts w:hint="eastAsia" w:ascii="仿宋" w:hAnsi="仿宋" w:eastAsia="仿宋" w:cs="仿宋"/>
          <w:sz w:val="32"/>
          <w:szCs w:val="32"/>
        </w:rPr>
      </w:pPr>
    </w:p>
    <w:sectPr>
      <w:footerReference r:id="rId3" w:type="default"/>
      <w:pgSz w:w="11906" w:h="16838"/>
      <w:pgMar w:top="2041" w:right="1531" w:bottom="2041" w:left="1531" w:header="851" w:footer="992" w:gutter="0"/>
      <w:pgNumType w:fmt="decimal"/>
      <w:cols w:space="720" w:num="1"/>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方正中倩_GBK">
    <w:panose1 w:val="03000509000000000000"/>
    <w:charset w:val="86"/>
    <w:family w:val="auto"/>
    <w:pitch w:val="default"/>
    <w:sig w:usb0="00000001" w:usb1="080E0000" w:usb2="00000000" w:usb3="00000000" w:csb0="00040000" w:csb1="00000000"/>
  </w:font>
  <w:font w:name="新宋体">
    <w:panose1 w:val="02010609030101010101"/>
    <w:charset w:val="86"/>
    <w:family w:val="auto"/>
    <w:pitch w:val="default"/>
    <w:sig w:usb0="00000003" w:usb1="288F0000" w:usb2="00000006" w:usb3="00000000" w:csb0="00040001" w:csb1="00000000"/>
  </w:font>
  <w:font w:name="微软雅黑">
    <w:panose1 w:val="020B0503020204020204"/>
    <w:charset w:val="86"/>
    <w:family w:val="auto"/>
    <w:pitch w:val="default"/>
    <w:sig w:usb0="80000287" w:usb1="280F3C52" w:usb2="00000016" w:usb3="00000000" w:csb0="0004001F" w:csb1="00000000"/>
  </w:font>
  <w:font w:name="叶根友毛笔行书2.0版">
    <w:panose1 w:val="02010601030101010101"/>
    <w:charset w:val="86"/>
    <w:family w:val="auto"/>
    <w:pitch w:val="default"/>
    <w:sig w:usb0="00000001" w:usb1="080E0000" w:usb2="00000000" w:usb3="00000000" w:csb0="00040000" w:csb1="00000000"/>
  </w:font>
  <w:font w:name="华文隶书">
    <w:panose1 w:val="02010800040101010101"/>
    <w:charset w:val="86"/>
    <w:family w:val="auto"/>
    <w:pitch w:val="default"/>
    <w:sig w:usb0="00000001" w:usb1="080F0000" w:usb2="00000000" w:usb3="00000000" w:csb0="00040000" w:csb1="00000000"/>
  </w:font>
  <w:font w:name="华文行楷">
    <w:panose1 w:val="02010800040101010101"/>
    <w:charset w:val="86"/>
    <w:family w:val="auto"/>
    <w:pitch w:val="default"/>
    <w:sig w:usb0="00000001" w:usb1="080F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华文琥珀">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华文新魏">
    <w:panose1 w:val="02010800040101010101"/>
    <w:charset w:val="86"/>
    <w:family w:val="auto"/>
    <w:pitch w:val="default"/>
    <w:sig w:usb0="00000001" w:usb1="080F0000" w:usb2="00000000" w:usb3="00000000" w:csb0="00040000" w:csb1="00000000"/>
  </w:font>
  <w:font w:name="华文彩云">
    <w:panose1 w:val="02010800040101010101"/>
    <w:charset w:val="86"/>
    <w:family w:val="auto"/>
    <w:pitch w:val="default"/>
    <w:sig w:usb0="00000001" w:usb1="080F0000" w:usb2="00000000" w:usb3="00000000" w:csb0="00040000" w:csb1="00000000"/>
  </w:font>
  <w:font w:name="华文宋体">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中央文件专用字库2">
    <w:panose1 w:val="03000509000000000000"/>
    <w:charset w:val="86"/>
    <w:family w:val="auto"/>
    <w:pitch w:val="default"/>
    <w:sig w:usb0="00000001" w:usb1="08000000" w:usb2="00000000" w:usb3="00000000" w:csb0="00040000" w:csb1="00000000"/>
  </w:font>
  <w:font w:name="中央文件专用字库1">
    <w:panose1 w:val="03000509000000000000"/>
    <w:charset w:val="86"/>
    <w:family w:val="auto"/>
    <w:pitch w:val="default"/>
    <w:sig w:usb0="00000001" w:usb1="08000000" w:usb2="00000000" w:usb3="00000000" w:csb0="00040000" w:csb1="00000000"/>
  </w:font>
  <w:font w:name="宋">
    <w:altName w:val="宋体"/>
    <w:panose1 w:val="00000000000000000000"/>
    <w:charset w:val="00"/>
    <w:family w:val="auto"/>
    <w:pitch w:val="default"/>
    <w:sig w:usb0="00000000" w:usb1="00000000" w:usb2="00000000" w:usb3="00000000" w:csb0="00000000" w:csb1="00000000"/>
  </w:font>
  <w:font w:name="相结合">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相结">
    <w:altName w:val="Segoe Print"/>
    <w:panose1 w:val="00000000000000000000"/>
    <w:charset w:val="00"/>
    <w:family w:val="auto"/>
    <w:pitch w:val="default"/>
    <w:sig w:usb0="00000000" w:usb1="00000000" w:usb2="00000000" w:usb3="00000000" w:csb0="00000000" w:csb1="00000000"/>
  </w:font>
  <w:font w:name="相">
    <w:altName w:val="Segoe Print"/>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 w:name="方正中倩简体">
    <w:panose1 w:val="03000509000000000000"/>
    <w:charset w:val="86"/>
    <w:family w:val="auto"/>
    <w:pitch w:val="default"/>
    <w:sig w:usb0="00000001" w:usb1="080E0000" w:usb2="00000000" w:usb3="00000000" w:csb0="00040000" w:csb1="00000000"/>
  </w:font>
  <w:font w:name="方正中倩繁体">
    <w:panose1 w:val="03000509000000000000"/>
    <w:charset w:val="86"/>
    <w:family w:val="auto"/>
    <w:pitch w:val="default"/>
    <w:sig w:usb0="00000001" w:usb1="080E0000" w:usb2="00000000" w:usb3="00000000" w:csb0="00040000" w:csb1="00000000"/>
  </w:font>
  <w:font w:name="仿">
    <w:altName w:val="Segoe Print"/>
    <w:panose1 w:val="00000000000000000000"/>
    <w:charset w:val="00"/>
    <w:family w:val="auto"/>
    <w:pitch w:val="default"/>
    <w:sig w:usb0="00000000" w:usb1="00000000" w:usb2="00000000" w:usb3="00000000" w:csb0="00000000" w:csb1="00000000"/>
  </w:font>
  <w:font w:name="Calibri Light">
    <w:panose1 w:val="020F0302020204030204"/>
    <w:charset w:val="00"/>
    <w:family w:val="auto"/>
    <w:pitch w:val="default"/>
    <w:sig w:usb0="A00002EF" w:usb1="4000207B" w:usb2="00000000" w:usb3="00000000" w:csb0="2000019F" w:csb1="00000000"/>
  </w:font>
  <w:font w:name="方正中楷繁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keepNext w:val="0"/>
                            <w:keepLines w:val="0"/>
                            <w:pageBreakBefore w:val="0"/>
                            <w:widowControl w:val="0"/>
                            <w:kinsoku/>
                            <w:wordWrap/>
                            <w:overflowPunct/>
                            <w:topLinePunct w:val="0"/>
                            <w:autoSpaceDE/>
                            <w:autoSpaceDN/>
                            <w:bidi w:val="0"/>
                            <w:adjustRightInd w:val="0"/>
                            <w:snapToGrid w:val="0"/>
                            <w:spacing w:line="240" w:lineRule="atLeast"/>
                            <w:ind w:left="420" w:leftChars="200" w:right="420" w:rightChars="200" w:firstLine="0" w:firstLineChars="0"/>
                            <w:jc w:val="both"/>
                            <w:textAlignment w:val="auto"/>
                            <w:outlineLvl w:val="9"/>
                            <w:rPr>
                              <w:rFonts w:hint="eastAsia"/>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p>
                          <w:pPr>
                            <w:snapToGrid w:val="0"/>
                            <w:rPr>
                              <w:rFonts w:hint="eastAsia" w:eastAsia="宋体"/>
                              <w:sz w:val="18"/>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4bVggbAgAAIQQAAA4AAABkcnMvZTJvRG9jLnhtbK1TzW4TMRC+I/EO&#10;lu9kN6FUUZRNFVoFIUW0UkCcHa+dtWR7LNvJbngAeANOXLjzXHkOxt5silpOiIs99vx/8838pjOa&#10;HIQPCmxFx6OSEmE51MruKvrp4+rVlJIQma2ZBisqehSB3ixevpi3biYm0ICuhScYxIZZ6yraxOhm&#10;RRF4IwwLI3DColKCNyzi0++K2rMWoxtdTMryumjB184DFyHg712vpIscX0rB472UQUSiK4q1xXz6&#10;fG7TWSzmbLbzzDWKn8tg/1CFYcpi0kuoOxYZ2Xv1LJRR3EMAGUccTAFSKi5yD9jNuHzSzaZhTuRe&#10;EJzgLjCF/xeWfzg8eKLqil5RYpnBEZ2+fzv9+HX6+ZVcJXhaF2ZotXFoF7u30OGYh/+An6nrTnqT&#10;buyHoB6BPl7AFV0kPDlNJ9NpiSqOuuGB8YtHd+dDfCfAkCRU1OP0MqjssA6xNx1MUjYLK6V1nqC2&#10;pK3o9es3ZXa4aDC4tslWZC6cw6SW+tKTFLttd+5zC/UR2/TQ8yQ4vlJYypqF+MA8EgPLR7LHezyk&#10;BkwJZ4mSBvyXv/0ne5wXailpkWgVtbgJlOj3FueYODkIfhC2g2D35haQuWNcIseziA4+6kGUHsxn&#10;3IBlyoEqZjlmqmgcxNvYkx03iIvlMhvtnVe7pndAFjoW13bjeEqToApuuY8IbUY8AdSjgpNKD+Rh&#10;ntl5ZxLR/3xnq8fNXvwG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s0lY7tAAAAAFAQAADwAAAAAA&#10;AAABACAAAAAiAAAAZHJzL2Rvd25yZXYueG1sUEsBAhQAFAAAAAgAh07iQA4bVggbAgAAIQQAAA4A&#10;AAAAAAAAAQAgAAAAHwEAAGRycy9lMm9Eb2MueG1sUEsFBgAAAAAGAAYAWQEAAKwFAAAAAA==&#10;">
              <v:fill on="f" focussize="0,0"/>
              <v:stroke on="f" weight="0.5pt"/>
              <v:imagedata o:title=""/>
              <o:lock v:ext="edit" aspectratio="f"/>
              <v:textbox inset="0mm,0mm,0mm,0mm" style="mso-fit-shape-to-text:t;">
                <w:txbxContent>
                  <w:p>
                    <w:pPr>
                      <w:keepNext w:val="0"/>
                      <w:keepLines w:val="0"/>
                      <w:pageBreakBefore w:val="0"/>
                      <w:widowControl w:val="0"/>
                      <w:kinsoku/>
                      <w:wordWrap/>
                      <w:overflowPunct/>
                      <w:topLinePunct w:val="0"/>
                      <w:autoSpaceDE/>
                      <w:autoSpaceDN/>
                      <w:bidi w:val="0"/>
                      <w:adjustRightInd w:val="0"/>
                      <w:snapToGrid w:val="0"/>
                      <w:spacing w:line="240" w:lineRule="atLeast"/>
                      <w:ind w:left="420" w:leftChars="200" w:right="420" w:rightChars="200" w:firstLine="0" w:firstLineChars="0"/>
                      <w:jc w:val="both"/>
                      <w:textAlignment w:val="auto"/>
                      <w:outlineLvl w:val="9"/>
                      <w:rPr>
                        <w:rFonts w:hint="eastAsia"/>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p>
                    <w:pPr>
                      <w:snapToGrid w:val="0"/>
                      <w:rPr>
                        <w:rFonts w:hint="eastAsia" w:eastAsia="宋体"/>
                        <w:sz w:val="18"/>
                        <w:lang w:eastAsia="zh-CN"/>
                      </w:rPr>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hyphenationZone w:val="360"/>
  <w:drawingGridVerticalSpacing w:val="159"/>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1F2837"/>
    <w:rsid w:val="00DC6F67"/>
    <w:rsid w:val="0131294C"/>
    <w:rsid w:val="01A90DF8"/>
    <w:rsid w:val="02123303"/>
    <w:rsid w:val="02DC1B4A"/>
    <w:rsid w:val="030B094A"/>
    <w:rsid w:val="03187345"/>
    <w:rsid w:val="03400271"/>
    <w:rsid w:val="04A11D33"/>
    <w:rsid w:val="04E00FF6"/>
    <w:rsid w:val="04F51BA1"/>
    <w:rsid w:val="05266E56"/>
    <w:rsid w:val="054A6246"/>
    <w:rsid w:val="05B10E1F"/>
    <w:rsid w:val="064B52D3"/>
    <w:rsid w:val="06FE6E5A"/>
    <w:rsid w:val="090C6FF4"/>
    <w:rsid w:val="0BFA65D6"/>
    <w:rsid w:val="0C6A4B67"/>
    <w:rsid w:val="0C9250A8"/>
    <w:rsid w:val="0CEC2EA6"/>
    <w:rsid w:val="0D7C2526"/>
    <w:rsid w:val="0E664A1A"/>
    <w:rsid w:val="0F037DF5"/>
    <w:rsid w:val="10630639"/>
    <w:rsid w:val="107F2C41"/>
    <w:rsid w:val="109467B8"/>
    <w:rsid w:val="112C3662"/>
    <w:rsid w:val="11945F12"/>
    <w:rsid w:val="13200AFA"/>
    <w:rsid w:val="13595AA4"/>
    <w:rsid w:val="143D2F2C"/>
    <w:rsid w:val="143F54BF"/>
    <w:rsid w:val="14824A64"/>
    <w:rsid w:val="161F2837"/>
    <w:rsid w:val="164D12D6"/>
    <w:rsid w:val="17726FC4"/>
    <w:rsid w:val="177A3CFF"/>
    <w:rsid w:val="17FE62AE"/>
    <w:rsid w:val="18171061"/>
    <w:rsid w:val="189A5561"/>
    <w:rsid w:val="18AF0FF7"/>
    <w:rsid w:val="18C670C6"/>
    <w:rsid w:val="1AD672BF"/>
    <w:rsid w:val="1C6E12DC"/>
    <w:rsid w:val="1CF5377A"/>
    <w:rsid w:val="1DF5713F"/>
    <w:rsid w:val="1E6229FB"/>
    <w:rsid w:val="1E8C04FB"/>
    <w:rsid w:val="1FCA6FF6"/>
    <w:rsid w:val="20103889"/>
    <w:rsid w:val="20316386"/>
    <w:rsid w:val="20590C69"/>
    <w:rsid w:val="20EF61E1"/>
    <w:rsid w:val="223E6956"/>
    <w:rsid w:val="240D4646"/>
    <w:rsid w:val="25D47A71"/>
    <w:rsid w:val="2624617C"/>
    <w:rsid w:val="2630396D"/>
    <w:rsid w:val="264440A8"/>
    <w:rsid w:val="270B303B"/>
    <w:rsid w:val="27B05AA6"/>
    <w:rsid w:val="27FC2D25"/>
    <w:rsid w:val="287477DF"/>
    <w:rsid w:val="29123653"/>
    <w:rsid w:val="2B031DE5"/>
    <w:rsid w:val="2B537748"/>
    <w:rsid w:val="2BE3684F"/>
    <w:rsid w:val="2CE13614"/>
    <w:rsid w:val="2D013697"/>
    <w:rsid w:val="2D942549"/>
    <w:rsid w:val="2DB7090C"/>
    <w:rsid w:val="2DBE0035"/>
    <w:rsid w:val="2EA67C7A"/>
    <w:rsid w:val="2ED63F14"/>
    <w:rsid w:val="2EF66D7D"/>
    <w:rsid w:val="2FAC7C6C"/>
    <w:rsid w:val="2FFC0332"/>
    <w:rsid w:val="30B05D00"/>
    <w:rsid w:val="315015BF"/>
    <w:rsid w:val="319A7AB0"/>
    <w:rsid w:val="31E03E63"/>
    <w:rsid w:val="330956BB"/>
    <w:rsid w:val="34A4792D"/>
    <w:rsid w:val="3523460C"/>
    <w:rsid w:val="355D574F"/>
    <w:rsid w:val="35E577DF"/>
    <w:rsid w:val="363F69A7"/>
    <w:rsid w:val="36811BED"/>
    <w:rsid w:val="37C466BF"/>
    <w:rsid w:val="37ED52A7"/>
    <w:rsid w:val="38721F4F"/>
    <w:rsid w:val="38EE67B9"/>
    <w:rsid w:val="38F3428F"/>
    <w:rsid w:val="3A3C6DDF"/>
    <w:rsid w:val="3A630D35"/>
    <w:rsid w:val="3AC920CE"/>
    <w:rsid w:val="3BA73BF4"/>
    <w:rsid w:val="3D486918"/>
    <w:rsid w:val="3E277E6D"/>
    <w:rsid w:val="3E400C5F"/>
    <w:rsid w:val="3EF34D8D"/>
    <w:rsid w:val="3F985328"/>
    <w:rsid w:val="3FD8696F"/>
    <w:rsid w:val="40913EE0"/>
    <w:rsid w:val="40934429"/>
    <w:rsid w:val="40B94E87"/>
    <w:rsid w:val="40CC3ADD"/>
    <w:rsid w:val="40F2738E"/>
    <w:rsid w:val="42C267EB"/>
    <w:rsid w:val="43693C5A"/>
    <w:rsid w:val="44B56F0C"/>
    <w:rsid w:val="44BA1352"/>
    <w:rsid w:val="455C5B77"/>
    <w:rsid w:val="45715B28"/>
    <w:rsid w:val="45CC43B8"/>
    <w:rsid w:val="45E94568"/>
    <w:rsid w:val="45EB580A"/>
    <w:rsid w:val="46F25374"/>
    <w:rsid w:val="46FE6ADB"/>
    <w:rsid w:val="47190386"/>
    <w:rsid w:val="48235500"/>
    <w:rsid w:val="496D093B"/>
    <w:rsid w:val="49B60526"/>
    <w:rsid w:val="4A0E14A2"/>
    <w:rsid w:val="4A115B83"/>
    <w:rsid w:val="4A304D48"/>
    <w:rsid w:val="4ACE5D7C"/>
    <w:rsid w:val="4BF3497D"/>
    <w:rsid w:val="4C4F10F0"/>
    <w:rsid w:val="4C8B2202"/>
    <w:rsid w:val="4EE07366"/>
    <w:rsid w:val="4F1678B7"/>
    <w:rsid w:val="4F2C0DC2"/>
    <w:rsid w:val="4F551665"/>
    <w:rsid w:val="4FB03709"/>
    <w:rsid w:val="4FDA2B53"/>
    <w:rsid w:val="50481CEB"/>
    <w:rsid w:val="508E2CC0"/>
    <w:rsid w:val="51774BDD"/>
    <w:rsid w:val="52C57AD3"/>
    <w:rsid w:val="52E867D7"/>
    <w:rsid w:val="532A73B3"/>
    <w:rsid w:val="53966249"/>
    <w:rsid w:val="55F153C4"/>
    <w:rsid w:val="56346931"/>
    <w:rsid w:val="56C277FA"/>
    <w:rsid w:val="57EA54B3"/>
    <w:rsid w:val="585602DF"/>
    <w:rsid w:val="590E0F79"/>
    <w:rsid w:val="59836D8C"/>
    <w:rsid w:val="5A4370C0"/>
    <w:rsid w:val="5AFE29E7"/>
    <w:rsid w:val="5D0A6845"/>
    <w:rsid w:val="5D8666C1"/>
    <w:rsid w:val="5E556905"/>
    <w:rsid w:val="5E790AB1"/>
    <w:rsid w:val="5FC01C05"/>
    <w:rsid w:val="60212DE9"/>
    <w:rsid w:val="6033420B"/>
    <w:rsid w:val="625C6084"/>
    <w:rsid w:val="626C54D9"/>
    <w:rsid w:val="62BC1813"/>
    <w:rsid w:val="64A019F5"/>
    <w:rsid w:val="652671F7"/>
    <w:rsid w:val="65A52084"/>
    <w:rsid w:val="663B59C0"/>
    <w:rsid w:val="66BA54A4"/>
    <w:rsid w:val="67544E85"/>
    <w:rsid w:val="67DD1197"/>
    <w:rsid w:val="680B03CF"/>
    <w:rsid w:val="68DB6E36"/>
    <w:rsid w:val="697E6B15"/>
    <w:rsid w:val="6AAA3BEE"/>
    <w:rsid w:val="6B131566"/>
    <w:rsid w:val="6B6B45BE"/>
    <w:rsid w:val="6BA75280"/>
    <w:rsid w:val="6BE11D86"/>
    <w:rsid w:val="6C076208"/>
    <w:rsid w:val="6C2706A1"/>
    <w:rsid w:val="6CD51EDC"/>
    <w:rsid w:val="6D4443E7"/>
    <w:rsid w:val="6D6A13C0"/>
    <w:rsid w:val="6DA53D50"/>
    <w:rsid w:val="6DBF7B24"/>
    <w:rsid w:val="6F723BC8"/>
    <w:rsid w:val="6F8B7987"/>
    <w:rsid w:val="709C429C"/>
    <w:rsid w:val="70F53D21"/>
    <w:rsid w:val="717C33E8"/>
    <w:rsid w:val="7269452B"/>
    <w:rsid w:val="72EF5052"/>
    <w:rsid w:val="732C51EB"/>
    <w:rsid w:val="746E6EE2"/>
    <w:rsid w:val="74FD13CF"/>
    <w:rsid w:val="753B5365"/>
    <w:rsid w:val="761746CE"/>
    <w:rsid w:val="767B4FBE"/>
    <w:rsid w:val="76D129CF"/>
    <w:rsid w:val="785161E0"/>
    <w:rsid w:val="78C42802"/>
    <w:rsid w:val="78FF556C"/>
    <w:rsid w:val="79E6441F"/>
    <w:rsid w:val="7A86554B"/>
    <w:rsid w:val="7A9044D5"/>
    <w:rsid w:val="7BA834EA"/>
    <w:rsid w:val="7BCA0A4C"/>
    <w:rsid w:val="7CA15643"/>
    <w:rsid w:val="7D2A4684"/>
    <w:rsid w:val="7D4263F2"/>
    <w:rsid w:val="7DD73CD4"/>
    <w:rsid w:val="7E0E014F"/>
    <w:rsid w:val="7ED17299"/>
    <w:rsid w:val="7EF94983"/>
    <w:rsid w:val="7F5E3BC5"/>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3"/>
    <w:qFormat/>
    <w:uiPriority w:val="0"/>
    <w:pPr>
      <w:keepNext/>
      <w:keepLines/>
      <w:spacing w:beforeAutospacing="0" w:afterAutospacing="0" w:line="560" w:lineRule="exact"/>
      <w:ind w:firstLine="0" w:firstLineChars="0"/>
      <w:jc w:val="center"/>
      <w:outlineLvl w:val="0"/>
    </w:pPr>
    <w:rPr>
      <w:rFonts w:eastAsia="黑体"/>
      <w:kern w:val="44"/>
      <w:sz w:val="32"/>
    </w:rPr>
  </w:style>
  <w:style w:type="paragraph" w:styleId="3">
    <w:name w:val="heading 2"/>
    <w:basedOn w:val="1"/>
    <w:next w:val="1"/>
    <w:unhideWhenUsed/>
    <w:qFormat/>
    <w:uiPriority w:val="0"/>
    <w:pPr>
      <w:keepNext/>
      <w:keepLines/>
      <w:spacing w:before="100" w:beforeLines="100" w:beforeAutospacing="0" w:after="100" w:afterLines="100" w:afterAutospacing="0" w:line="413" w:lineRule="auto"/>
      <w:jc w:val="center"/>
      <w:outlineLvl w:val="1"/>
    </w:pPr>
    <w:rPr>
      <w:rFonts w:ascii="Arial" w:hAnsi="Arial" w:eastAsia="宋体"/>
      <w:sz w:val="32"/>
    </w:rPr>
  </w:style>
  <w:style w:type="paragraph" w:styleId="4">
    <w:name w:val="heading 3"/>
    <w:basedOn w:val="1"/>
    <w:next w:val="1"/>
    <w:link w:val="14"/>
    <w:unhideWhenUsed/>
    <w:qFormat/>
    <w:uiPriority w:val="0"/>
    <w:pPr>
      <w:keepNext/>
      <w:keepLines/>
      <w:spacing w:beforeLines="0" w:beforeAutospacing="0" w:afterLines="0" w:afterAutospacing="0" w:line="560" w:lineRule="exact"/>
      <w:ind w:firstLine="640" w:firstLineChars="200"/>
      <w:jc w:val="left"/>
      <w:outlineLvl w:val="2"/>
    </w:pPr>
    <w:rPr>
      <w:rFonts w:eastAsia="楷体"/>
      <w:sz w:val="32"/>
    </w:rPr>
  </w:style>
  <w:style w:type="character" w:default="1" w:styleId="9">
    <w:name w:val="Default Paragraph Font"/>
    <w:semiHidden/>
    <w:qFormat/>
    <w:uiPriority w:val="0"/>
  </w:style>
  <w:style w:type="table" w:default="1" w:styleId="10">
    <w:name w:val="Normal Table"/>
    <w:semiHidden/>
    <w:qFormat/>
    <w:uiPriority w:val="0"/>
    <w:tblPr>
      <w:tblLayout w:type="fixed"/>
      <w:tblCellMar>
        <w:top w:w="0" w:type="dxa"/>
        <w:left w:w="108" w:type="dxa"/>
        <w:bottom w:w="0" w:type="dxa"/>
        <w:right w:w="108" w:type="dxa"/>
      </w:tblCellMar>
    </w:tblPr>
    <w:tcPr>
      <w:textDirection w:val="lrTb"/>
    </w:tc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oc 1"/>
    <w:basedOn w:val="1"/>
    <w:next w:val="1"/>
    <w:qFormat/>
    <w:uiPriority w:val="0"/>
    <w:pPr>
      <w:spacing w:line="560" w:lineRule="exact"/>
      <w:ind w:left="630" w:leftChars="300" w:right="630" w:rightChars="300"/>
    </w:pPr>
    <w:rPr>
      <w:rFonts w:eastAsia="楷体"/>
      <w:sz w:val="32"/>
    </w:rPr>
  </w:style>
  <w:style w:type="paragraph" w:styleId="8">
    <w:name w:val="toc 2"/>
    <w:basedOn w:val="1"/>
    <w:next w:val="1"/>
    <w:qFormat/>
    <w:uiPriority w:val="0"/>
    <w:pPr>
      <w:ind w:left="420" w:leftChars="200"/>
    </w:pPr>
  </w:style>
  <w:style w:type="paragraph" w:customStyle="1" w:styleId="11">
    <w:name w:val="目录"/>
    <w:basedOn w:val="1"/>
    <w:link w:val="12"/>
    <w:qFormat/>
    <w:uiPriority w:val="0"/>
    <w:pPr>
      <w:spacing w:line="560" w:lineRule="exact"/>
    </w:pPr>
    <w:rPr>
      <w:rFonts w:ascii="Calibri" w:hAnsi="Calibri" w:eastAsia="仿宋"/>
      <w:sz w:val="32"/>
    </w:rPr>
  </w:style>
  <w:style w:type="character" w:customStyle="1" w:styleId="12">
    <w:name w:val="目录 Char"/>
    <w:link w:val="11"/>
    <w:qFormat/>
    <w:uiPriority w:val="0"/>
    <w:rPr>
      <w:rFonts w:ascii="Calibri" w:hAnsi="Calibri" w:eastAsia="仿宋"/>
      <w:sz w:val="32"/>
    </w:rPr>
  </w:style>
  <w:style w:type="character" w:customStyle="1" w:styleId="13">
    <w:name w:val="标题 1 Char"/>
    <w:link w:val="2"/>
    <w:qFormat/>
    <w:uiPriority w:val="0"/>
    <w:rPr>
      <w:rFonts w:ascii="Calibri" w:hAnsi="Calibri" w:eastAsia="黑体"/>
      <w:kern w:val="44"/>
      <w:sz w:val="32"/>
    </w:rPr>
  </w:style>
  <w:style w:type="character" w:customStyle="1" w:styleId="14">
    <w:name w:val="标题 3 Char"/>
    <w:link w:val="4"/>
    <w:qFormat/>
    <w:uiPriority w:val="0"/>
    <w:rPr>
      <w:rFonts w:eastAsia="楷体"/>
      <w:sz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2017-02-10T04:07:00Z</dcterms:created>
  <dc:creator>Administrator</dc:creator>
  <cp:lastModifiedBy>Administrator</cp:lastModifiedBy>
  <dcterms:modified xsi:type="dcterms:W3CDTF">2017-02-16T13:26:17Z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2052-10.1.0.6206</vt:lpwstr>
  </property>
</Properties>
</file>