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shd w:val="clear" w:color="auto" w:fill="auto"/>
        <w:kinsoku/>
        <w:wordWrap/>
        <w:overflowPunct/>
        <w:topLinePunct w:val="0"/>
        <w:autoSpaceDE/>
        <w:autoSpaceDN/>
        <w:bidi w:val="0"/>
        <w:adjustRightInd/>
        <w:snapToGrid/>
        <w:textAlignment w:val="auto"/>
        <w:outlineLvl w:val="9"/>
        <w:rPr>
          <w:b w:val="0"/>
          <w:bCs w:val="0"/>
          <w:color w:val="000000" w:themeColor="text1"/>
          <w:kern w:val="0"/>
          <w14:textFill>
            <w14:solidFill>
              <w14:schemeClr w14:val="tx1"/>
            </w14:solidFill>
          </w14:textFill>
        </w:rPr>
      </w:pPr>
    </w:p>
    <w:p>
      <w:pPr>
        <w:keepNext w:val="0"/>
        <w:keepLines w:val="0"/>
        <w:pageBreakBefore w:val="0"/>
        <w:widowControl w:val="0"/>
        <w:shd w:val="clear" w:color="auto" w:fill="auto"/>
        <w:kinsoku/>
        <w:wordWrap/>
        <w:overflowPunct/>
        <w:topLinePunct w:val="0"/>
        <w:autoSpaceDE/>
        <w:autoSpaceDN/>
        <w:bidi w:val="0"/>
        <w:adjustRightInd/>
        <w:snapToGrid/>
        <w:ind w:firstLine="640"/>
        <w:textAlignment w:val="auto"/>
        <w:outlineLvl w:val="9"/>
        <w:rPr>
          <w:b w:val="0"/>
          <w:bCs w:val="0"/>
          <w:color w:val="000000" w:themeColor="text1"/>
          <w14:textFill>
            <w14:solidFill>
              <w14:schemeClr w14:val="tx1"/>
            </w14:solidFill>
          </w14:textFill>
        </w:rPr>
      </w:pPr>
    </w:p>
    <w:p>
      <w:pPr>
        <w:keepNext w:val="0"/>
        <w:keepLines w:val="0"/>
        <w:pageBreakBefore w:val="0"/>
        <w:widowControl w:val="0"/>
        <w:shd w:val="clear" w:color="auto" w:fill="auto"/>
        <w:kinsoku/>
        <w:wordWrap/>
        <w:overflowPunct/>
        <w:topLinePunct w:val="0"/>
        <w:autoSpaceDE/>
        <w:autoSpaceDN/>
        <w:bidi w:val="0"/>
        <w:adjustRightInd/>
        <w:snapToGrid/>
        <w:ind w:firstLine="640"/>
        <w:textAlignment w:val="auto"/>
        <w:outlineLvl w:val="9"/>
        <w:rPr>
          <w:b w:val="0"/>
          <w:bCs w:val="0"/>
          <w:color w:val="000000" w:themeColor="text1"/>
          <w14:textFill>
            <w14:solidFill>
              <w14:schemeClr w14:val="tx1"/>
            </w14:solidFill>
          </w14:textFill>
        </w:rPr>
      </w:pPr>
    </w:p>
    <w:p>
      <w:pPr>
        <w:keepNext w:val="0"/>
        <w:keepLines w:val="0"/>
        <w:pageBreakBefore w:val="0"/>
        <w:widowControl w:val="0"/>
        <w:shd w:val="clear" w:color="auto" w:fill="auto"/>
        <w:kinsoku/>
        <w:wordWrap/>
        <w:overflowPunct/>
        <w:topLinePunct w:val="0"/>
        <w:autoSpaceDE/>
        <w:autoSpaceDN/>
        <w:bidi w:val="0"/>
        <w:adjustRightInd/>
        <w:snapToGrid/>
        <w:ind w:firstLine="640"/>
        <w:textAlignment w:val="auto"/>
        <w:outlineLvl w:val="9"/>
        <w:rPr>
          <w:b w:val="0"/>
          <w:bCs w:val="0"/>
          <w:color w:val="000000" w:themeColor="text1"/>
          <w14:textFill>
            <w14:solidFill>
              <w14:schemeClr w14:val="tx1"/>
            </w14:solidFill>
          </w14:textFill>
        </w:rPr>
      </w:pPr>
    </w:p>
    <w:p>
      <w:pPr>
        <w:keepNext w:val="0"/>
        <w:keepLines w:val="0"/>
        <w:pageBreakBefore w:val="0"/>
        <w:widowControl w:val="0"/>
        <w:shd w:val="clear" w:color="auto" w:fill="auto"/>
        <w:kinsoku/>
        <w:wordWrap/>
        <w:overflowPunct/>
        <w:topLinePunct w:val="0"/>
        <w:autoSpaceDE/>
        <w:autoSpaceDN/>
        <w:bidi w:val="0"/>
        <w:adjustRightInd/>
        <w:snapToGrid/>
        <w:ind w:firstLine="640"/>
        <w:textAlignment w:val="auto"/>
        <w:outlineLvl w:val="9"/>
        <w:rPr>
          <w:b w:val="0"/>
          <w:bCs w:val="0"/>
          <w:color w:val="000000" w:themeColor="text1"/>
          <w14:textFill>
            <w14:solidFill>
              <w14:schemeClr w14:val="tx1"/>
            </w14:solidFill>
          </w14:textFill>
        </w:rPr>
      </w:pPr>
    </w:p>
    <w:p>
      <w:pPr>
        <w:keepNext w:val="0"/>
        <w:keepLines w:val="0"/>
        <w:pageBreakBefore w:val="0"/>
        <w:widowControl w:val="0"/>
        <w:shd w:val="clear" w:color="auto" w:fill="auto"/>
        <w:kinsoku/>
        <w:wordWrap/>
        <w:overflowPunct/>
        <w:topLinePunct w:val="0"/>
        <w:autoSpaceDE/>
        <w:autoSpaceDN/>
        <w:bidi w:val="0"/>
        <w:adjustRightInd/>
        <w:snapToGrid/>
        <w:ind w:firstLine="640"/>
        <w:textAlignment w:val="auto"/>
        <w:outlineLvl w:val="9"/>
        <w:rPr>
          <w:b w:val="0"/>
          <w:bCs w:val="0"/>
          <w:color w:val="000000" w:themeColor="text1"/>
          <w14:textFill>
            <w14:solidFill>
              <w14:schemeClr w14:val="tx1"/>
            </w14:solidFill>
          </w14:textFill>
        </w:rPr>
      </w:pPr>
    </w:p>
    <w:p>
      <w:pPr>
        <w:keepNext w:val="0"/>
        <w:keepLines w:val="0"/>
        <w:pageBreakBefore w:val="0"/>
        <w:widowControl w:val="0"/>
        <w:shd w:val="clear" w:color="auto" w:fill="auto"/>
        <w:kinsoku/>
        <w:wordWrap/>
        <w:overflowPunct/>
        <w:topLinePunct w:val="0"/>
        <w:autoSpaceDE/>
        <w:autoSpaceDN/>
        <w:bidi w:val="0"/>
        <w:adjustRightInd/>
        <w:snapToGrid/>
        <w:spacing w:before="115" w:beforeLines="20" w:line="600" w:lineRule="exact"/>
        <w:ind w:firstLine="641"/>
        <w:textAlignment w:val="auto"/>
        <w:outlineLvl w:val="9"/>
        <w:rPr>
          <w:b w:val="0"/>
          <w:bCs w:val="0"/>
          <w:color w:val="000000" w:themeColor="text1"/>
          <w14:textFill>
            <w14:solidFill>
              <w14:schemeClr w14:val="tx1"/>
            </w14:solidFill>
          </w14:textFill>
        </w:rPr>
      </w:pPr>
    </w:p>
    <w:p>
      <w:pPr>
        <w:keepNext w:val="0"/>
        <w:keepLines w:val="0"/>
        <w:pageBreakBefore w:val="0"/>
        <w:widowControl w:val="0"/>
        <w:shd w:val="clear" w:color="auto" w:fill="auto"/>
        <w:kinsoku/>
        <w:wordWrap/>
        <w:overflowPunct/>
        <w:topLinePunct w:val="0"/>
        <w:autoSpaceDE/>
        <w:autoSpaceDN/>
        <w:bidi w:val="0"/>
        <w:adjustRightInd/>
        <w:jc w:val="center"/>
        <w:textAlignment w:val="auto"/>
        <w:rPr>
          <w:rFonts w:ascii="方正仿宋_GBK"/>
          <w:b w:val="0"/>
          <w:bCs w:val="0"/>
          <w:color w:val="000000" w:themeColor="text1"/>
          <w14:textFill>
            <w14:solidFill>
              <w14:schemeClr w14:val="tx1"/>
            </w14:solidFill>
          </w14:textFill>
        </w:rPr>
      </w:pPr>
      <w:r>
        <w:rPr>
          <w:rFonts w:hint="eastAsia" w:ascii="方正仿宋_GBK"/>
          <w:b w:val="0"/>
          <w:bCs w:val="0"/>
          <w:color w:val="000000" w:themeColor="text1"/>
          <w14:textFill>
            <w14:solidFill>
              <w14:schemeClr w14:val="tx1"/>
            </w14:solidFill>
          </w14:textFill>
        </w:rPr>
        <w:t>渝</w:t>
      </w:r>
      <w:r>
        <w:rPr>
          <w:rFonts w:hint="eastAsia" w:ascii="方正仿宋_GBK"/>
          <w:b w:val="0"/>
          <w:bCs w:val="0"/>
          <w:color w:val="000000" w:themeColor="text1"/>
          <w:lang w:eastAsia="zh-CN"/>
          <w14:textFill>
            <w14:solidFill>
              <w14:schemeClr w14:val="tx1"/>
            </w14:solidFill>
          </w14:textFill>
        </w:rPr>
        <w:t>应急</w:t>
      </w:r>
      <w:r>
        <w:rPr>
          <w:rFonts w:hint="eastAsia" w:ascii="方正仿宋_GBK"/>
          <w:b w:val="0"/>
          <w:bCs w:val="0"/>
          <w:color w:val="000000" w:themeColor="text1"/>
          <w14:textFill>
            <w14:solidFill>
              <w14:schemeClr w14:val="tx1"/>
            </w14:solidFill>
          </w14:textFill>
        </w:rPr>
        <w:t>发〔201</w:t>
      </w:r>
      <w:r>
        <w:rPr>
          <w:rFonts w:hint="eastAsia" w:ascii="方正仿宋_GBK"/>
          <w:b w:val="0"/>
          <w:bCs w:val="0"/>
          <w:color w:val="000000" w:themeColor="text1"/>
          <w:lang w:val="en-US" w:eastAsia="zh-CN"/>
          <w14:textFill>
            <w14:solidFill>
              <w14:schemeClr w14:val="tx1"/>
            </w14:solidFill>
          </w14:textFill>
        </w:rPr>
        <w:t>9</w:t>
      </w:r>
      <w:r>
        <w:rPr>
          <w:rFonts w:hint="eastAsia" w:ascii="方正仿宋_GBK"/>
          <w:b w:val="0"/>
          <w:bCs w:val="0"/>
          <w:color w:val="000000" w:themeColor="text1"/>
          <w14:textFill>
            <w14:solidFill>
              <w14:schemeClr w14:val="tx1"/>
            </w14:solidFill>
          </w14:textFill>
        </w:rPr>
        <w:t>〕</w:t>
      </w:r>
      <w:r>
        <w:rPr>
          <w:rFonts w:hint="eastAsia" w:ascii="方正仿宋_GBK"/>
          <w:b w:val="0"/>
          <w:bCs w:val="0"/>
          <w:color w:val="000000" w:themeColor="text1"/>
          <w:lang w:val="en-US" w:eastAsia="zh-CN"/>
          <w14:textFill>
            <w14:solidFill>
              <w14:schemeClr w14:val="tx1"/>
            </w14:solidFill>
          </w14:textFill>
        </w:rPr>
        <w:t>39</w:t>
      </w:r>
      <w:r>
        <w:rPr>
          <w:rFonts w:hint="eastAsia" w:ascii="方正仿宋_GBK"/>
          <w:b w:val="0"/>
          <w:bCs w:val="0"/>
          <w:color w:val="000000" w:themeColor="text1"/>
          <w14:textFill>
            <w14:solidFill>
              <w14:schemeClr w14:val="tx1"/>
            </w14:solidFill>
          </w14:textFill>
        </w:rPr>
        <w:t>号</w:t>
      </w:r>
    </w:p>
    <w:p>
      <w:pPr>
        <w:keepNext w:val="0"/>
        <w:keepLines w:val="0"/>
        <w:pageBreakBefore w:val="0"/>
        <w:widowControl w:val="0"/>
        <w:shd w:val="clear" w:color="auto" w:fill="auto"/>
        <w:kinsoku/>
        <w:wordWrap/>
        <w:overflowPunct/>
        <w:topLinePunct w:val="0"/>
        <w:autoSpaceDE/>
        <w:autoSpaceDN/>
        <w:bidi w:val="0"/>
        <w:adjustRightInd/>
        <w:textAlignment w:val="auto"/>
        <w:rPr>
          <w:b w:val="0"/>
          <w:bCs w:val="0"/>
          <w:color w:val="000000" w:themeColor="text1"/>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eastAsia" w:ascii="方正小标宋_GBK" w:hAnsi="方正小标宋_GBK" w:eastAsia="方正小标宋_GBK" w:cs="方正小标宋_GBK"/>
          <w:b w:val="0"/>
          <w:bCs w:val="0"/>
          <w:color w:val="000000" w:themeColor="text1"/>
          <w:sz w:val="44"/>
          <w:szCs w:val="44"/>
          <w:lang w:eastAsia="zh-CN"/>
          <w14:textFill>
            <w14:solidFill>
              <w14:schemeClr w14:val="tx1"/>
            </w14:solidFill>
          </w14:textFill>
        </w:rPr>
      </w:pPr>
      <w:r>
        <w:rPr>
          <w:rFonts w:hint="eastAsia" w:ascii="方正小标宋_GBK" w:hAnsi="方正小标宋_GBK" w:eastAsia="方正小标宋_GBK" w:cs="方正小标宋_GBK"/>
          <w:b w:val="0"/>
          <w:bCs w:val="0"/>
          <w:color w:val="000000" w:themeColor="text1"/>
          <w:sz w:val="44"/>
          <w:szCs w:val="44"/>
          <w:lang w:eastAsia="zh-CN"/>
          <w14:textFill>
            <w14:solidFill>
              <w14:schemeClr w14:val="tx1"/>
            </w14:solidFill>
          </w14:textFill>
        </w:rPr>
        <w:t>重庆市应急管理局</w:t>
      </w:r>
    </w:p>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eastAsia" w:ascii="方正小标宋_GBK" w:hAnsi="方正小标宋_GBK" w:eastAsia="方正小标宋_GBK" w:cs="方正小标宋_GBK"/>
          <w:b w:val="0"/>
          <w:bCs w:val="0"/>
          <w:color w:val="000000" w:themeColor="text1"/>
          <w:sz w:val="44"/>
          <w:szCs w:val="44"/>
          <w:lang w:eastAsia="zh-CN"/>
          <w14:textFill>
            <w14:solidFill>
              <w14:schemeClr w14:val="tx1"/>
            </w14:solidFill>
          </w14:textFill>
        </w:rPr>
      </w:pPr>
      <w:r>
        <w:rPr>
          <w:rFonts w:hint="eastAsia" w:ascii="方正小标宋_GBK" w:hAnsi="方正小标宋_GBK" w:eastAsia="方正小标宋_GBK" w:cs="方正小标宋_GBK"/>
          <w:b w:val="0"/>
          <w:bCs w:val="0"/>
          <w:color w:val="000000" w:themeColor="text1"/>
          <w:sz w:val="44"/>
          <w:szCs w:val="44"/>
          <w:lang w:val="en-US" w:eastAsia="zh-CN"/>
          <w14:textFill>
            <w14:solidFill>
              <w14:schemeClr w14:val="tx1"/>
            </w14:solidFill>
          </w14:textFill>
        </w:rPr>
        <w:t>关于印发《</w:t>
      </w:r>
      <w:r>
        <w:rPr>
          <w:rFonts w:hint="eastAsia" w:ascii="方正小标宋_GBK" w:hAnsi="方正小标宋_GBK" w:eastAsia="方正小标宋_GBK" w:cs="方正小标宋_GBK"/>
          <w:b w:val="0"/>
          <w:bCs w:val="0"/>
          <w:color w:val="000000" w:themeColor="text1"/>
          <w:sz w:val="44"/>
          <w:szCs w:val="44"/>
          <w:lang w:eastAsia="zh-CN"/>
          <w14:textFill>
            <w14:solidFill>
              <w14:schemeClr w14:val="tx1"/>
            </w14:solidFill>
          </w14:textFill>
        </w:rPr>
        <w:t>重庆市安全生产</w:t>
      </w:r>
    </w:p>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eastAsia" w:ascii="方正小标宋_GBK" w:hAnsi="方正小标宋_GBK" w:eastAsia="方正小标宋_GBK" w:cs="方正小标宋_GBK"/>
          <w:b w:val="0"/>
          <w:bCs w:val="0"/>
          <w:color w:val="000000" w:themeColor="text1"/>
          <w:sz w:val="44"/>
          <w:szCs w:val="44"/>
          <w:lang w:val="en-US" w:eastAsia="zh-CN"/>
          <w14:textFill>
            <w14:solidFill>
              <w14:schemeClr w14:val="tx1"/>
            </w14:solidFill>
          </w14:textFill>
        </w:rPr>
      </w:pPr>
      <w:r>
        <w:rPr>
          <w:rFonts w:hint="eastAsia" w:ascii="方正小标宋_GBK" w:hAnsi="方正小标宋_GBK" w:eastAsia="方正小标宋_GBK" w:cs="方正小标宋_GBK"/>
          <w:b w:val="0"/>
          <w:bCs w:val="0"/>
          <w:color w:val="000000" w:themeColor="text1"/>
          <w:sz w:val="44"/>
          <w:szCs w:val="44"/>
          <w:lang w:eastAsia="zh-CN"/>
          <w14:textFill>
            <w14:solidFill>
              <w14:schemeClr w14:val="tx1"/>
            </w14:solidFill>
          </w14:textFill>
        </w:rPr>
        <w:t>领域</w:t>
      </w:r>
      <w:r>
        <w:rPr>
          <w:rFonts w:hint="eastAsia" w:ascii="方正小标宋_GBK" w:hAnsi="方正小标宋_GBK" w:eastAsia="方正小标宋_GBK" w:cs="方正小标宋_GBK"/>
          <w:b w:val="0"/>
          <w:bCs w:val="0"/>
          <w:color w:val="000000" w:themeColor="text1"/>
          <w:sz w:val="44"/>
          <w:szCs w:val="44"/>
          <w:lang w:val="en-US" w:eastAsia="zh-CN"/>
          <w14:textFill>
            <w14:solidFill>
              <w14:schemeClr w14:val="tx1"/>
            </w14:solidFill>
          </w14:textFill>
        </w:rPr>
        <w:t>守信行为联合激励</w:t>
      </w:r>
      <w:r>
        <w:rPr>
          <w:rFonts w:hint="eastAsia" w:ascii="方正小标宋_GBK" w:hAnsi="方正小标宋_GBK" w:eastAsia="方正小标宋_GBK" w:cs="方正小标宋_GBK"/>
          <w:b w:val="0"/>
          <w:bCs w:val="0"/>
          <w:color w:val="000000" w:themeColor="text1"/>
          <w:sz w:val="44"/>
          <w:szCs w:val="44"/>
          <w:lang w:eastAsia="zh-CN"/>
          <w14:textFill>
            <w14:solidFill>
              <w14:schemeClr w14:val="tx1"/>
            </w14:solidFill>
          </w14:textFill>
        </w:rPr>
        <w:t>制度</w:t>
      </w:r>
      <w:r>
        <w:rPr>
          <w:rFonts w:hint="eastAsia" w:ascii="方正小标宋_GBK" w:hAnsi="方正小标宋_GBK" w:eastAsia="方正小标宋_GBK" w:cs="方正小标宋_GBK"/>
          <w:b w:val="0"/>
          <w:bCs w:val="0"/>
          <w:color w:val="000000" w:themeColor="text1"/>
          <w:sz w:val="44"/>
          <w:szCs w:val="44"/>
          <w:lang w:val="en-US" w:eastAsia="zh-CN"/>
          <w14:textFill>
            <w14:solidFill>
              <w14:schemeClr w14:val="tx1"/>
            </w14:solidFill>
          </w14:textFill>
        </w:rPr>
        <w:t>》的通知</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atLeast"/>
        <w:ind w:left="0" w:leftChars="0" w:right="0" w:firstLine="0" w:firstLineChars="0"/>
        <w:jc w:val="left"/>
        <w:textAlignment w:val="auto"/>
        <w:outlineLvl w:val="9"/>
        <w:rPr>
          <w:rFonts w:hint="eastAsia" w:ascii="方正仿宋_GBK" w:hAnsi="方正仿宋_GBK" w:eastAsia="方正仿宋_GBK" w:cs="方正仿宋_GBK"/>
          <w:color w:val="000000" w:themeColor="text1"/>
          <w:kern w:val="0"/>
          <w:sz w:val="32"/>
          <w:szCs w:val="32"/>
          <w:lang w:val="en-US" w:eastAsia="zh-CN" w:bidi="ar-SA"/>
          <w14:textFill>
            <w14:solidFill>
              <w14:schemeClr w14:val="tx1"/>
            </w14:solidFill>
          </w14:textFill>
        </w:rPr>
      </w:pP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jc w:val="left"/>
        <w:textAlignment w:val="auto"/>
        <w:outlineLvl w:val="9"/>
        <w:rPr>
          <w:rFonts w:hint="eastAsia" w:ascii="方正仿宋_GBK" w:hAnsi="方正仿宋_GBK" w:eastAsia="方正仿宋_GBK" w:cs="方正仿宋_GBK"/>
          <w:color w:val="000000" w:themeColor="text1"/>
          <w:kern w:val="0"/>
          <w:sz w:val="32"/>
          <w:szCs w:val="32"/>
          <w:lang w:val="en-US" w:eastAsia="zh-CN" w:bidi="ar-SA"/>
          <w14:textFill>
            <w14:solidFill>
              <w14:schemeClr w14:val="tx1"/>
            </w14:solidFill>
          </w14:textFill>
        </w:rPr>
      </w:pPr>
      <w:r>
        <w:rPr>
          <w:rFonts w:hint="eastAsia" w:ascii="方正仿宋_GBK" w:hAnsi="方正仿宋_GBK" w:eastAsia="方正仿宋_GBK" w:cs="方正仿宋_GBK"/>
          <w:color w:val="000000" w:themeColor="text1"/>
          <w:kern w:val="0"/>
          <w:sz w:val="32"/>
          <w:szCs w:val="32"/>
          <w:lang w:val="en-US" w:eastAsia="zh-CN" w:bidi="ar-SA"/>
          <w14:textFill>
            <w14:solidFill>
              <w14:schemeClr w14:val="tx1"/>
            </w14:solidFill>
          </w14:textFill>
        </w:rPr>
        <w:t>各区县（自治县）应急局，两江新区、万盛经开区应急局，有关单位：</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632" w:firstLineChars="200"/>
        <w:jc w:val="left"/>
        <w:textAlignment w:val="auto"/>
        <w:outlineLvl w:val="9"/>
        <w:rPr>
          <w:rFonts w:hint="eastAsia" w:ascii="方正仿宋_GBK" w:hAnsi="方正仿宋_GBK" w:eastAsia="方正仿宋_GBK" w:cs="方正仿宋_GBK"/>
          <w:color w:val="000000" w:themeColor="text1"/>
          <w:kern w:val="0"/>
          <w:sz w:val="32"/>
          <w:szCs w:val="32"/>
          <w:lang w:val="en-US" w:eastAsia="zh-CN" w:bidi="ar-SA"/>
          <w14:textFill>
            <w14:solidFill>
              <w14:schemeClr w14:val="tx1"/>
            </w14:solidFill>
          </w14:textFill>
        </w:rPr>
      </w:pPr>
      <w:r>
        <w:rPr>
          <w:rFonts w:hint="eastAsia" w:ascii="方正仿宋_GBK" w:hAnsi="方正仿宋_GBK" w:eastAsia="方正仿宋_GBK" w:cs="方正仿宋_GBK"/>
          <w:color w:val="000000" w:themeColor="text1"/>
          <w:kern w:val="0"/>
          <w:sz w:val="32"/>
          <w:szCs w:val="32"/>
          <w:lang w:val="en-US" w:eastAsia="zh-CN" w:bidi="ar-SA"/>
          <w14:textFill>
            <w14:solidFill>
              <w14:schemeClr w14:val="tx1"/>
            </w14:solidFill>
          </w14:textFill>
        </w:rPr>
        <w:t>根据国家层面有关安全生产领域守信行为开展联合激励的规定，结合我市实际情况，制定了《重庆市安全生产领域守信行为联合激励制度》，现印发你们，请遵照执行。</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632" w:firstLineChars="200"/>
        <w:jc w:val="left"/>
        <w:textAlignment w:val="auto"/>
        <w:outlineLvl w:val="9"/>
        <w:rPr>
          <w:rFonts w:hint="eastAsia" w:ascii="方正仿宋_GBK" w:hAnsi="方正仿宋_GBK" w:eastAsia="方正仿宋_GBK" w:cs="方正仿宋_GBK"/>
          <w:color w:val="000000" w:themeColor="text1"/>
          <w:kern w:val="0"/>
          <w:sz w:val="32"/>
          <w:szCs w:val="32"/>
          <w:lang w:val="en-US" w:eastAsia="zh-CN" w:bidi="ar-SA"/>
          <w14:textFill>
            <w14:solidFill>
              <w14:schemeClr w14:val="tx1"/>
            </w14:solidFill>
          </w14:textFill>
        </w:rPr>
      </w:pP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left"/>
        <w:textAlignment w:val="auto"/>
        <w:outlineLvl w:val="9"/>
        <w:rPr>
          <w:rFonts w:hint="eastAsia" w:ascii="方正仿宋_GBK" w:hAnsi="方正仿宋_GBK" w:eastAsia="方正仿宋_GBK" w:cs="方正仿宋_GBK"/>
          <w:color w:val="000000" w:themeColor="text1"/>
          <w:kern w:val="0"/>
          <w:sz w:val="32"/>
          <w:szCs w:val="32"/>
          <w:lang w:val="en-US" w:eastAsia="zh-CN" w:bidi="ar-SA"/>
          <w14:textFill>
            <w14:solidFill>
              <w14:schemeClr w14:val="tx1"/>
            </w14:solidFill>
          </w14:textFill>
        </w:rPr>
      </w:pPr>
      <w:r>
        <w:rPr>
          <w:rFonts w:hint="eastAsia" w:ascii="方正仿宋_GBK" w:hAnsi="方正仿宋_GBK" w:eastAsia="方正仿宋_GBK" w:cs="方正仿宋_GBK"/>
          <w:color w:val="000000" w:themeColor="text1"/>
          <w:kern w:val="0"/>
          <w:sz w:val="32"/>
          <w:szCs w:val="32"/>
          <w:lang w:val="en-US" w:eastAsia="zh-CN" w:bidi="ar-SA"/>
          <w14:textFill>
            <w14:solidFill>
              <w14:schemeClr w14:val="tx1"/>
            </w14:solidFill>
          </w14:textFill>
        </w:rPr>
        <w:t xml:space="preserve">                                重庆市应急管理局</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1264" w:rightChars="400" w:firstLine="0" w:firstLineChars="0"/>
        <w:jc w:val="right"/>
        <w:textAlignment w:val="auto"/>
        <w:outlineLvl w:val="9"/>
        <w:rPr>
          <w:rFonts w:hint="eastAsia" w:ascii="方正仿宋_GBK" w:hAnsi="方正仿宋_GBK" w:eastAsia="方正仿宋_GBK" w:cs="方正仿宋_GBK"/>
          <w:color w:val="000000" w:themeColor="text1"/>
          <w:kern w:val="0"/>
          <w:sz w:val="32"/>
          <w:szCs w:val="32"/>
          <w:lang w:val="en-US" w:eastAsia="zh-CN" w:bidi="ar-SA"/>
          <w14:textFill>
            <w14:solidFill>
              <w14:schemeClr w14:val="tx1"/>
            </w14:solidFill>
          </w14:textFill>
        </w:rPr>
      </w:pPr>
      <w:r>
        <w:rPr>
          <w:rFonts w:hint="eastAsia" w:ascii="方正仿宋_GBK" w:hAnsi="方正仿宋_GBK" w:eastAsia="方正仿宋_GBK" w:cs="方正仿宋_GBK"/>
          <w:color w:val="000000" w:themeColor="text1"/>
          <w:kern w:val="0"/>
          <w:sz w:val="32"/>
          <w:szCs w:val="32"/>
          <w:lang w:val="en-US" w:eastAsia="zh-CN" w:bidi="ar-SA"/>
          <w14:textFill>
            <w14:solidFill>
              <w14:schemeClr w14:val="tx1"/>
            </w14:solidFill>
          </w14:textFill>
        </w:rPr>
        <w:t xml:space="preserve">                               2019年4月13日</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jc w:val="left"/>
        <w:textAlignment w:val="auto"/>
        <w:outlineLvl w:val="9"/>
        <w:rPr>
          <w:rFonts w:hint="eastAsia" w:ascii="方正仿宋_GBK" w:hAnsi="方正仿宋_GBK" w:eastAsia="方正仿宋_GBK" w:cs="方正仿宋_GBK"/>
          <w:color w:val="000000" w:themeColor="text1"/>
          <w:kern w:val="0"/>
          <w:sz w:val="32"/>
          <w:szCs w:val="32"/>
          <w:lang w:val="en-US" w:eastAsia="zh-CN" w:bidi="ar-SA"/>
          <w14:textFill>
            <w14:solidFill>
              <w14:schemeClr w14:val="tx1"/>
            </w14:solidFill>
          </w14:textFill>
        </w:rPr>
      </w:pP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jc w:val="left"/>
        <w:textAlignment w:val="auto"/>
        <w:outlineLvl w:val="9"/>
        <w:rPr>
          <w:rFonts w:hint="eastAsia" w:ascii="方正仿宋_GBK" w:hAnsi="方正仿宋_GBK" w:eastAsia="方正仿宋_GBK" w:cs="方正仿宋_GBK"/>
          <w:color w:val="000000" w:themeColor="text1"/>
          <w:kern w:val="0"/>
          <w:sz w:val="32"/>
          <w:szCs w:val="32"/>
          <w:lang w:val="en-US" w:eastAsia="zh-CN" w:bidi="ar-SA"/>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eastAsia" w:ascii="方正小标宋_GBK" w:hAnsi="方正小标宋_GBK" w:eastAsia="方正小标宋_GBK" w:cs="方正小标宋_GBK"/>
          <w:b w:val="0"/>
          <w:bCs w:val="0"/>
          <w:color w:val="000000" w:themeColor="text1"/>
          <w:sz w:val="44"/>
          <w:szCs w:val="44"/>
          <w:lang w:eastAsia="zh-CN"/>
          <w14:textFill>
            <w14:solidFill>
              <w14:schemeClr w14:val="tx1"/>
            </w14:solidFill>
          </w14:textFill>
        </w:rPr>
      </w:pPr>
      <w:r>
        <w:rPr>
          <w:rFonts w:hint="eastAsia" w:ascii="方正小标宋_GBK" w:hAnsi="方正小标宋_GBK" w:eastAsia="方正小标宋_GBK" w:cs="方正小标宋_GBK"/>
          <w:b w:val="0"/>
          <w:bCs w:val="0"/>
          <w:color w:val="000000" w:themeColor="text1"/>
          <w:sz w:val="44"/>
          <w:szCs w:val="44"/>
          <w:lang w:eastAsia="zh-CN"/>
          <w14:textFill>
            <w14:solidFill>
              <w14:schemeClr w14:val="tx1"/>
            </w14:solidFill>
          </w14:textFill>
        </w:rPr>
        <w:t>重庆市安全生产</w:t>
      </w:r>
    </w:p>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eastAsia" w:ascii="方正小标宋_GBK" w:hAnsi="方正小标宋_GBK" w:eastAsia="方正小标宋_GBK" w:cs="方正小标宋_GBK"/>
          <w:b w:val="0"/>
          <w:bCs w:val="0"/>
          <w:color w:val="000000" w:themeColor="text1"/>
          <w:sz w:val="44"/>
          <w:szCs w:val="44"/>
          <w:lang w:eastAsia="zh-CN"/>
          <w14:textFill>
            <w14:solidFill>
              <w14:schemeClr w14:val="tx1"/>
            </w14:solidFill>
          </w14:textFill>
        </w:rPr>
      </w:pPr>
      <w:r>
        <w:rPr>
          <w:rFonts w:hint="eastAsia" w:ascii="方正小标宋_GBK" w:hAnsi="方正小标宋_GBK" w:eastAsia="方正小标宋_GBK" w:cs="方正小标宋_GBK"/>
          <w:b w:val="0"/>
          <w:bCs w:val="0"/>
          <w:color w:val="000000" w:themeColor="text1"/>
          <w:sz w:val="44"/>
          <w:szCs w:val="44"/>
          <w:lang w:eastAsia="zh-CN"/>
          <w14:textFill>
            <w14:solidFill>
              <w14:schemeClr w14:val="tx1"/>
            </w14:solidFill>
          </w14:textFill>
        </w:rPr>
        <w:t>领域</w:t>
      </w:r>
      <w:r>
        <w:rPr>
          <w:rFonts w:hint="eastAsia" w:ascii="方正小标宋_GBK" w:hAnsi="方正小标宋_GBK" w:eastAsia="方正小标宋_GBK" w:cs="方正小标宋_GBK"/>
          <w:b w:val="0"/>
          <w:bCs w:val="0"/>
          <w:color w:val="000000" w:themeColor="text1"/>
          <w:sz w:val="44"/>
          <w:szCs w:val="44"/>
          <w:lang w:val="en-US" w:eastAsia="zh-CN"/>
          <w14:textFill>
            <w14:solidFill>
              <w14:schemeClr w14:val="tx1"/>
            </w14:solidFill>
          </w14:textFill>
        </w:rPr>
        <w:t>守信行为联合激励</w:t>
      </w:r>
      <w:r>
        <w:rPr>
          <w:rFonts w:hint="eastAsia" w:ascii="方正小标宋_GBK" w:hAnsi="方正小标宋_GBK" w:eastAsia="方正小标宋_GBK" w:cs="方正小标宋_GBK"/>
          <w:b w:val="0"/>
          <w:bCs w:val="0"/>
          <w:color w:val="000000" w:themeColor="text1"/>
          <w:sz w:val="44"/>
          <w:szCs w:val="44"/>
          <w:lang w:eastAsia="zh-CN"/>
          <w14:textFill>
            <w14:solidFill>
              <w14:schemeClr w14:val="tx1"/>
            </w14:solidFill>
          </w14:textFill>
        </w:rPr>
        <w:t>制度</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left="0" w:leftChars="0" w:right="0" w:rightChars="0" w:firstLine="0" w:firstLineChars="0"/>
        <w:jc w:val="left"/>
        <w:textAlignment w:val="auto"/>
        <w:outlineLvl w:val="9"/>
        <w:rPr>
          <w:rFonts w:hint="eastAsia" w:ascii="方正仿宋_GBK" w:eastAsia="方正仿宋_GBK" w:cs="宋体" w:hAnsiTheme="minorHAnsi"/>
          <w:color w:val="000000" w:themeColor="text1"/>
          <w:kern w:val="0"/>
          <w:sz w:val="32"/>
          <w:szCs w:val="32"/>
          <w:lang w:val="en-US" w:eastAsia="zh-CN"/>
          <w14:textFill>
            <w14:solidFill>
              <w14:schemeClr w14:val="tx1"/>
            </w14:solidFill>
          </w14:textFill>
        </w:rPr>
      </w:pPr>
    </w:p>
    <w:p>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leftChars="0" w:right="0" w:rightChars="0" w:firstLine="632" w:firstLineChars="200"/>
        <w:jc w:val="left"/>
        <w:textAlignment w:val="auto"/>
        <w:outlineLvl w:val="9"/>
        <w:rPr>
          <w:rFonts w:hint="eastAsia" w:ascii="方正仿宋_GBK" w:eastAsia="方正仿宋_GBK" w:cs="宋体" w:hAnsiTheme="minorHAnsi"/>
          <w:color w:val="000000" w:themeColor="text1"/>
          <w:kern w:val="0"/>
          <w:sz w:val="32"/>
          <w:szCs w:val="32"/>
          <w:lang w:val="en-US" w:eastAsia="zh-CN"/>
          <w14:textFill>
            <w14:solidFill>
              <w14:schemeClr w14:val="tx1"/>
            </w14:solidFill>
          </w14:textFill>
        </w:rPr>
      </w:pPr>
      <w:r>
        <w:rPr>
          <w:rFonts w:hint="eastAsia" w:ascii="方正仿宋_GBK" w:eastAsia="方正仿宋_GBK" w:cs="宋体" w:hAnsiTheme="minorHAnsi"/>
          <w:color w:val="000000" w:themeColor="text1"/>
          <w:kern w:val="0"/>
          <w:sz w:val="32"/>
          <w:szCs w:val="32"/>
          <w:lang w:val="en-US" w:eastAsia="zh-CN"/>
          <w14:textFill>
            <w14:solidFill>
              <w14:schemeClr w14:val="tx1"/>
            </w14:solidFill>
          </w14:textFill>
        </w:rPr>
        <w:t>为认真贯彻落实中共中央</w:t>
      </w:r>
      <w:r>
        <w:rPr>
          <w:rFonts w:hint="eastAsia" w:ascii="方正仿宋_GBK" w:eastAsia="方正仿宋_GBK" w:cs="宋体"/>
          <w:color w:val="000000" w:themeColor="text1"/>
          <w:kern w:val="0"/>
          <w:sz w:val="32"/>
          <w:szCs w:val="32"/>
          <w:lang w:val="en-US" w:eastAsia="zh-CN"/>
          <w14:textFill>
            <w14:solidFill>
              <w14:schemeClr w14:val="tx1"/>
            </w14:solidFill>
          </w14:textFill>
        </w:rPr>
        <w:t>、</w:t>
      </w:r>
      <w:r>
        <w:rPr>
          <w:rFonts w:hint="eastAsia" w:ascii="方正仿宋_GBK" w:eastAsia="方正仿宋_GBK" w:cs="宋体" w:hAnsiTheme="minorHAnsi"/>
          <w:color w:val="000000" w:themeColor="text1"/>
          <w:kern w:val="0"/>
          <w:sz w:val="32"/>
          <w:szCs w:val="32"/>
          <w:lang w:val="en-US" w:eastAsia="zh-CN"/>
          <w14:textFill>
            <w14:solidFill>
              <w14:schemeClr w14:val="tx1"/>
            </w14:solidFill>
          </w14:textFill>
        </w:rPr>
        <w:t>国务院《关于推进安全生产领域改革发展的意见》和国家发展改革委、国家安全监管总局等</w:t>
      </w:r>
      <w:r>
        <w:rPr>
          <w:rFonts w:hint="default" w:ascii="方正仿宋_GBK" w:eastAsia="方正仿宋_GBK" w:cs="宋体" w:hAnsiTheme="minorHAnsi"/>
          <w:color w:val="000000" w:themeColor="text1"/>
          <w:kern w:val="0"/>
          <w:sz w:val="32"/>
          <w:szCs w:val="32"/>
          <w:lang w:val="en-US" w:eastAsia="zh-CN"/>
          <w14:textFill>
            <w14:solidFill>
              <w14:schemeClr w14:val="tx1"/>
            </w14:solidFill>
          </w14:textFill>
        </w:rPr>
        <w:t>26</w:t>
      </w:r>
      <w:r>
        <w:rPr>
          <w:rFonts w:hint="eastAsia" w:ascii="方正仿宋_GBK" w:eastAsia="方正仿宋_GBK" w:cs="宋体" w:hAnsiTheme="minorHAnsi"/>
          <w:color w:val="000000" w:themeColor="text1"/>
          <w:kern w:val="0"/>
          <w:sz w:val="32"/>
          <w:szCs w:val="32"/>
          <w:lang w:val="en-US" w:eastAsia="zh-CN"/>
          <w14:textFill>
            <w14:solidFill>
              <w14:schemeClr w14:val="tx1"/>
            </w14:solidFill>
          </w14:textFill>
        </w:rPr>
        <w:t>部门联合印发的《关于对安全生产领域守信生产经营单位及其有关人员开展联合激励的合作备忘录》和</w:t>
      </w:r>
      <w:r>
        <w:rPr>
          <w:rFonts w:hint="eastAsia" w:ascii="方正仿宋_GBK" w:eastAsia="方正仿宋_GBK" w:cs="宋体"/>
          <w:color w:val="000000" w:themeColor="text1"/>
          <w:kern w:val="0"/>
          <w:sz w:val="32"/>
          <w:szCs w:val="32"/>
          <w:lang w:val="en-US" w:eastAsia="zh-CN"/>
          <w14:textFill>
            <w14:solidFill>
              <w14:schemeClr w14:val="tx1"/>
            </w14:solidFill>
          </w14:textFill>
        </w:rPr>
        <w:t>国家安监总局印发的</w:t>
      </w:r>
      <w:r>
        <w:rPr>
          <w:rFonts w:hint="eastAsia" w:ascii="方正仿宋_GBK" w:eastAsia="方正仿宋_GBK" w:cs="宋体" w:hAnsiTheme="minorHAnsi"/>
          <w:color w:val="000000" w:themeColor="text1"/>
          <w:kern w:val="0"/>
          <w:sz w:val="32"/>
          <w:szCs w:val="32"/>
          <w:lang w:val="en-US" w:eastAsia="zh-CN"/>
          <w14:textFill>
            <w14:solidFill>
              <w14:schemeClr w14:val="tx1"/>
            </w14:solidFill>
          </w14:textFill>
        </w:rPr>
        <w:t>《对安全生产领域守信行为开展联合激励的实施办法》</w:t>
      </w:r>
      <w:r>
        <w:rPr>
          <w:rFonts w:hint="eastAsia" w:ascii="方正仿宋_GBK" w:eastAsia="方正仿宋_GBK" w:cs="宋体"/>
          <w:color w:val="000000" w:themeColor="text1"/>
          <w:kern w:val="0"/>
          <w:sz w:val="32"/>
          <w:szCs w:val="32"/>
          <w:lang w:val="en-US" w:eastAsia="zh-CN"/>
          <w14:textFill>
            <w14:solidFill>
              <w14:schemeClr w14:val="tx1"/>
            </w14:solidFill>
          </w14:textFill>
        </w:rPr>
        <w:t>（安监总办</w:t>
      </w:r>
      <w:r>
        <w:rPr>
          <w:rFonts w:hint="eastAsia" w:ascii="方正仿宋_GBK" w:hAnsi="方正仿宋_GBK" w:eastAsia="方正仿宋_GBK" w:cs="方正仿宋_GBK"/>
          <w:color w:val="000000" w:themeColor="text1"/>
          <w:kern w:val="0"/>
          <w:sz w:val="32"/>
          <w:szCs w:val="32"/>
          <w:lang w:val="en-US" w:eastAsia="zh-CN" w:bidi="ar-SA"/>
          <w14:textFill>
            <w14:solidFill>
              <w14:schemeClr w14:val="tx1"/>
            </w14:solidFill>
          </w14:textFill>
        </w:rPr>
        <w:t>〔2017〕133号</w:t>
      </w:r>
      <w:r>
        <w:rPr>
          <w:rFonts w:hint="eastAsia" w:ascii="方正仿宋_GBK" w:eastAsia="方正仿宋_GBK" w:cs="宋体"/>
          <w:color w:val="000000" w:themeColor="text1"/>
          <w:kern w:val="0"/>
          <w:sz w:val="32"/>
          <w:szCs w:val="32"/>
          <w:lang w:val="en-US" w:eastAsia="zh-CN"/>
          <w14:textFill>
            <w14:solidFill>
              <w14:schemeClr w14:val="tx1"/>
            </w14:solidFill>
          </w14:textFill>
        </w:rPr>
        <w:t>）</w:t>
      </w:r>
      <w:r>
        <w:rPr>
          <w:rFonts w:hint="eastAsia" w:ascii="方正仿宋_GBK" w:eastAsia="方正仿宋_GBK" w:cs="宋体" w:hAnsiTheme="minorHAnsi"/>
          <w:color w:val="000000" w:themeColor="text1"/>
          <w:kern w:val="0"/>
          <w:sz w:val="32"/>
          <w:szCs w:val="32"/>
          <w:lang w:val="en-US" w:eastAsia="zh-CN"/>
          <w14:textFill>
            <w14:solidFill>
              <w14:schemeClr w14:val="tx1"/>
            </w14:solidFill>
          </w14:textFill>
        </w:rPr>
        <w:t>，在重庆市范围内有效激励生产经营单位安全生产守信行为，推动形成褒奖诚信的社会氛围，制定本制度。</w:t>
      </w:r>
    </w:p>
    <w:p>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leftChars="0" w:right="0" w:rightChars="0" w:firstLine="632" w:firstLineChars="200"/>
        <w:jc w:val="left"/>
        <w:textAlignment w:val="auto"/>
        <w:outlineLvl w:val="9"/>
        <w:rPr>
          <w:rFonts w:hint="eastAsia" w:ascii="方正黑体_GBK" w:hAnsi="方正黑体_GBK" w:eastAsia="方正黑体_GBK" w:cs="方正黑体_GBK"/>
          <w:color w:val="000000" w:themeColor="text1"/>
          <w:kern w:val="0"/>
          <w:sz w:val="32"/>
          <w:szCs w:val="32"/>
          <w:lang w:val="en-US" w:eastAsia="zh-CN"/>
          <w14:textFill>
            <w14:solidFill>
              <w14:schemeClr w14:val="tx1"/>
            </w14:solidFill>
          </w14:textFill>
        </w:rPr>
      </w:pPr>
      <w:r>
        <w:rPr>
          <w:rFonts w:hint="eastAsia" w:ascii="方正黑体_GBK" w:hAnsi="方正黑体_GBK" w:eastAsia="方正黑体_GBK" w:cs="方正黑体_GBK"/>
          <w:color w:val="000000" w:themeColor="text1"/>
          <w:kern w:val="0"/>
          <w:sz w:val="32"/>
          <w:szCs w:val="32"/>
          <w:lang w:val="en-US" w:eastAsia="zh-CN"/>
          <w14:textFill>
            <w14:solidFill>
              <w14:schemeClr w14:val="tx1"/>
            </w14:solidFill>
          </w14:textFill>
        </w:rPr>
        <w:t>一、纳入守信激励的对象</w:t>
      </w:r>
    </w:p>
    <w:p>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leftChars="0" w:right="0" w:rightChars="0" w:firstLine="632" w:firstLineChars="200"/>
        <w:jc w:val="left"/>
        <w:textAlignment w:val="auto"/>
        <w:outlineLvl w:val="9"/>
        <w:rPr>
          <w:rFonts w:hint="eastAsia" w:ascii="方正仿宋_GBK" w:eastAsia="方正仿宋_GBK" w:cs="宋体" w:hAnsiTheme="minorHAnsi"/>
          <w:color w:val="000000" w:themeColor="text1"/>
          <w:kern w:val="0"/>
          <w:sz w:val="32"/>
          <w:szCs w:val="32"/>
          <w:lang w:val="en-US" w:eastAsia="zh-CN"/>
          <w14:textFill>
            <w14:solidFill>
              <w14:schemeClr w14:val="tx1"/>
            </w14:solidFill>
          </w14:textFill>
        </w:rPr>
      </w:pPr>
      <w:r>
        <w:rPr>
          <w:rFonts w:hint="eastAsia" w:ascii="方正仿宋_GBK" w:eastAsia="方正仿宋_GBK" w:cs="宋体" w:hAnsiTheme="minorHAnsi"/>
          <w:color w:val="000000" w:themeColor="text1"/>
          <w:kern w:val="0"/>
          <w:sz w:val="32"/>
          <w:szCs w:val="32"/>
          <w:lang w:val="en-US" w:eastAsia="zh-CN"/>
          <w14:textFill>
            <w14:solidFill>
              <w14:schemeClr w14:val="tx1"/>
            </w14:solidFill>
          </w14:textFill>
        </w:rPr>
        <w:t>纳入安全生产守信联合激励对象的生产经营单位，必须同时符合以下条件：</w:t>
      </w:r>
    </w:p>
    <w:p>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leftChars="0" w:right="0" w:rightChars="0" w:firstLine="632" w:firstLineChars="200"/>
        <w:jc w:val="left"/>
        <w:textAlignment w:val="auto"/>
        <w:outlineLvl w:val="9"/>
        <w:rPr>
          <w:rFonts w:hint="eastAsia" w:ascii="方正仿宋_GBK" w:eastAsia="方正仿宋_GBK" w:cs="宋体" w:hAnsiTheme="minorHAnsi"/>
          <w:color w:val="000000" w:themeColor="text1"/>
          <w:kern w:val="0"/>
          <w:sz w:val="32"/>
          <w:szCs w:val="32"/>
          <w:lang w:val="en-US" w:eastAsia="zh-CN"/>
          <w14:textFill>
            <w14:solidFill>
              <w14:schemeClr w14:val="tx1"/>
            </w14:solidFill>
          </w14:textFill>
        </w:rPr>
      </w:pPr>
      <w:r>
        <w:rPr>
          <w:rFonts w:hint="eastAsia" w:ascii="方正仿宋_GBK" w:eastAsia="方正仿宋_GBK" w:cs="宋体" w:hAnsiTheme="minorHAnsi"/>
          <w:color w:val="000000" w:themeColor="text1"/>
          <w:kern w:val="0"/>
          <w:sz w:val="32"/>
          <w:szCs w:val="32"/>
          <w:lang w:val="en-US" w:eastAsia="zh-CN"/>
          <w14:textFill>
            <w14:solidFill>
              <w14:schemeClr w14:val="tx1"/>
            </w14:solidFill>
          </w14:textFill>
        </w:rPr>
        <w:t>（一）必须公开向社会承诺并严格遵守安全生产法律、法规、标准等有关规定，严格履行安全生产主体责任。</w:t>
      </w:r>
    </w:p>
    <w:p>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leftChars="0" w:right="0" w:rightChars="0" w:firstLine="632" w:firstLineChars="200"/>
        <w:jc w:val="left"/>
        <w:textAlignment w:val="auto"/>
        <w:outlineLvl w:val="9"/>
        <w:rPr>
          <w:rFonts w:hint="eastAsia" w:ascii="方正仿宋_GBK" w:eastAsia="方正仿宋_GBK" w:cs="宋体" w:hAnsiTheme="minorHAnsi"/>
          <w:color w:val="000000" w:themeColor="text1"/>
          <w:kern w:val="0"/>
          <w:sz w:val="32"/>
          <w:szCs w:val="32"/>
          <w:lang w:val="en-US" w:eastAsia="zh-CN"/>
          <w14:textFill>
            <w14:solidFill>
              <w14:schemeClr w14:val="tx1"/>
            </w14:solidFill>
          </w14:textFill>
        </w:rPr>
      </w:pPr>
      <w:r>
        <w:rPr>
          <w:rFonts w:hint="eastAsia" w:ascii="方正仿宋_GBK" w:eastAsia="方正仿宋_GBK" w:cs="宋体" w:hAnsiTheme="minorHAnsi"/>
          <w:color w:val="000000" w:themeColor="text1"/>
          <w:kern w:val="0"/>
          <w:sz w:val="32"/>
          <w:szCs w:val="32"/>
          <w:lang w:val="en-US" w:eastAsia="zh-CN"/>
          <w14:textFill>
            <w14:solidFill>
              <w14:schemeClr w14:val="tx1"/>
            </w14:solidFill>
          </w14:textFill>
        </w:rPr>
        <w:t>（二）生产经营单位及其主要负责人、分管安全负责人</w:t>
      </w:r>
      <w:r>
        <w:rPr>
          <w:rFonts w:hint="default" w:ascii="方正仿宋_GBK" w:eastAsia="方正仿宋_GBK" w:cs="宋体" w:hAnsiTheme="minorHAnsi"/>
          <w:color w:val="000000" w:themeColor="text1"/>
          <w:kern w:val="0"/>
          <w:sz w:val="32"/>
          <w:szCs w:val="32"/>
          <w:lang w:val="en-US" w:eastAsia="zh-CN"/>
          <w14:textFill>
            <w14:solidFill>
              <w14:schemeClr w14:val="tx1"/>
            </w14:solidFill>
          </w14:textFill>
        </w:rPr>
        <w:t>3</w:t>
      </w:r>
      <w:r>
        <w:rPr>
          <w:rFonts w:hint="eastAsia" w:ascii="方正仿宋_GBK" w:eastAsia="方正仿宋_GBK" w:cs="宋体" w:hAnsiTheme="minorHAnsi"/>
          <w:color w:val="000000" w:themeColor="text1"/>
          <w:kern w:val="0"/>
          <w:sz w:val="32"/>
          <w:szCs w:val="32"/>
          <w:lang w:val="en-US" w:eastAsia="zh-CN"/>
          <w14:textFill>
            <w14:solidFill>
              <w14:schemeClr w14:val="tx1"/>
            </w14:solidFill>
          </w14:textFill>
        </w:rPr>
        <w:t>年内无安全生产失信行为。</w:t>
      </w:r>
    </w:p>
    <w:p>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leftChars="0" w:right="0" w:rightChars="0" w:firstLine="632" w:firstLineChars="200"/>
        <w:jc w:val="left"/>
        <w:textAlignment w:val="auto"/>
        <w:outlineLvl w:val="9"/>
        <w:rPr>
          <w:rFonts w:hint="eastAsia" w:ascii="方正仿宋_GBK" w:eastAsia="方正仿宋_GBK" w:cs="宋体" w:hAnsiTheme="minorHAnsi"/>
          <w:color w:val="000000" w:themeColor="text1"/>
          <w:kern w:val="0"/>
          <w:sz w:val="32"/>
          <w:szCs w:val="32"/>
          <w:lang w:val="en-US" w:eastAsia="zh-CN"/>
          <w14:textFill>
            <w14:solidFill>
              <w14:schemeClr w14:val="tx1"/>
            </w14:solidFill>
          </w14:textFill>
        </w:rPr>
      </w:pPr>
      <w:r>
        <w:rPr>
          <w:rFonts w:hint="eastAsia" w:ascii="方正仿宋_GBK" w:eastAsia="方正仿宋_GBK" w:cs="宋体" w:hAnsiTheme="minorHAnsi"/>
          <w:color w:val="000000" w:themeColor="text1"/>
          <w:kern w:val="0"/>
          <w:sz w:val="32"/>
          <w:szCs w:val="32"/>
          <w:lang w:val="en-US" w:eastAsia="zh-CN"/>
          <w14:textFill>
            <w14:solidFill>
              <w14:schemeClr w14:val="tx1"/>
            </w14:solidFill>
          </w14:textFill>
        </w:rPr>
        <w:t>（三）</w:t>
      </w:r>
      <w:r>
        <w:rPr>
          <w:rFonts w:hint="default" w:ascii="方正仿宋_GBK" w:eastAsia="方正仿宋_GBK" w:cs="宋体" w:hAnsiTheme="minorHAnsi"/>
          <w:color w:val="000000" w:themeColor="text1"/>
          <w:kern w:val="0"/>
          <w:sz w:val="32"/>
          <w:szCs w:val="32"/>
          <w:lang w:val="en-US" w:eastAsia="zh-CN"/>
          <w14:textFill>
            <w14:solidFill>
              <w14:schemeClr w14:val="tx1"/>
            </w14:solidFill>
          </w14:textFill>
        </w:rPr>
        <w:t>3</w:t>
      </w:r>
      <w:r>
        <w:rPr>
          <w:rFonts w:hint="eastAsia" w:ascii="方正仿宋_GBK" w:eastAsia="方正仿宋_GBK" w:cs="宋体" w:hAnsiTheme="minorHAnsi"/>
          <w:color w:val="000000" w:themeColor="text1"/>
          <w:kern w:val="0"/>
          <w:sz w:val="32"/>
          <w:szCs w:val="32"/>
          <w:lang w:val="en-US" w:eastAsia="zh-CN"/>
          <w14:textFill>
            <w14:solidFill>
              <w14:schemeClr w14:val="tx1"/>
            </w14:solidFill>
          </w14:textFill>
        </w:rPr>
        <w:t>年内未受到</w:t>
      </w:r>
      <w:r>
        <w:rPr>
          <w:rFonts w:hint="eastAsia" w:ascii="方正仿宋_GBK" w:eastAsia="方正仿宋_GBK" w:cs="宋体"/>
          <w:color w:val="000000" w:themeColor="text1"/>
          <w:kern w:val="0"/>
          <w:sz w:val="32"/>
          <w:szCs w:val="32"/>
          <w:lang w:val="en-US" w:eastAsia="zh-CN"/>
          <w14:textFill>
            <w14:solidFill>
              <w14:schemeClr w14:val="tx1"/>
            </w14:solidFill>
          </w14:textFill>
        </w:rPr>
        <w:t>应急管理局</w:t>
      </w:r>
      <w:r>
        <w:rPr>
          <w:rFonts w:hint="eastAsia" w:ascii="方正仿宋_GBK" w:eastAsia="方正仿宋_GBK" w:cs="宋体" w:hAnsiTheme="minorHAnsi"/>
          <w:color w:val="000000" w:themeColor="text1"/>
          <w:kern w:val="0"/>
          <w:sz w:val="32"/>
          <w:szCs w:val="32"/>
          <w:lang w:val="en-US" w:eastAsia="zh-CN"/>
          <w14:textFill>
            <w14:solidFill>
              <w14:schemeClr w14:val="tx1"/>
            </w14:solidFill>
          </w14:textFill>
        </w:rPr>
        <w:t>作出的行政处罚。</w:t>
      </w:r>
    </w:p>
    <w:p>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leftChars="0" w:right="0" w:rightChars="0" w:firstLine="632" w:firstLineChars="200"/>
        <w:jc w:val="left"/>
        <w:textAlignment w:val="auto"/>
        <w:outlineLvl w:val="9"/>
        <w:rPr>
          <w:rFonts w:hint="eastAsia" w:ascii="方正仿宋_GBK" w:eastAsia="方正仿宋_GBK" w:cs="宋体" w:hAnsiTheme="minorHAnsi"/>
          <w:color w:val="000000" w:themeColor="text1"/>
          <w:kern w:val="0"/>
          <w:sz w:val="32"/>
          <w:szCs w:val="32"/>
          <w:lang w:val="en-US" w:eastAsia="zh-CN"/>
          <w14:textFill>
            <w14:solidFill>
              <w14:schemeClr w14:val="tx1"/>
            </w14:solidFill>
          </w14:textFill>
        </w:rPr>
      </w:pPr>
      <w:r>
        <w:rPr>
          <w:rFonts w:hint="eastAsia" w:ascii="方正仿宋_GBK" w:eastAsia="方正仿宋_GBK" w:cs="宋体" w:hAnsiTheme="minorHAnsi"/>
          <w:color w:val="000000" w:themeColor="text1"/>
          <w:kern w:val="0"/>
          <w:sz w:val="32"/>
          <w:szCs w:val="32"/>
          <w:lang w:val="en-US" w:eastAsia="zh-CN"/>
          <w14:textFill>
            <w14:solidFill>
              <w14:schemeClr w14:val="tx1"/>
            </w14:solidFill>
          </w14:textFill>
        </w:rPr>
        <w:t>（四）</w:t>
      </w:r>
      <w:r>
        <w:rPr>
          <w:rFonts w:hint="default" w:ascii="方正仿宋_GBK" w:eastAsia="方正仿宋_GBK" w:cs="宋体" w:hAnsiTheme="minorHAnsi"/>
          <w:color w:val="000000" w:themeColor="text1"/>
          <w:kern w:val="0"/>
          <w:sz w:val="32"/>
          <w:szCs w:val="32"/>
          <w:lang w:val="en-US" w:eastAsia="zh-CN"/>
          <w14:textFill>
            <w14:solidFill>
              <w14:schemeClr w14:val="tx1"/>
            </w14:solidFill>
          </w14:textFill>
        </w:rPr>
        <w:t>3</w:t>
      </w:r>
      <w:r>
        <w:rPr>
          <w:rFonts w:hint="eastAsia" w:ascii="方正仿宋_GBK" w:eastAsia="方正仿宋_GBK" w:cs="宋体" w:hAnsiTheme="minorHAnsi"/>
          <w:color w:val="000000" w:themeColor="text1"/>
          <w:kern w:val="0"/>
          <w:sz w:val="32"/>
          <w:szCs w:val="32"/>
          <w:lang w:val="en-US" w:eastAsia="zh-CN"/>
          <w14:textFill>
            <w14:solidFill>
              <w14:schemeClr w14:val="tx1"/>
            </w14:solidFill>
          </w14:textFill>
        </w:rPr>
        <w:t>年内未发生造成人员死亡的生产安全责任事故</w:t>
      </w:r>
      <w:r>
        <w:rPr>
          <w:rFonts w:hint="eastAsia" w:ascii="方正仿宋_GBK" w:eastAsia="方正仿宋_GBK" w:cs="宋体"/>
          <w:color w:val="000000" w:themeColor="text1"/>
          <w:kern w:val="0"/>
          <w:sz w:val="32"/>
          <w:szCs w:val="32"/>
          <w:lang w:val="en-US" w:eastAsia="zh-CN"/>
          <w14:textFill>
            <w14:solidFill>
              <w14:schemeClr w14:val="tx1"/>
            </w14:solidFill>
          </w14:textFill>
        </w:rPr>
        <w:t>。</w:t>
      </w:r>
    </w:p>
    <w:p>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leftChars="0" w:right="0" w:rightChars="0" w:firstLine="632" w:firstLineChars="200"/>
        <w:jc w:val="left"/>
        <w:textAlignment w:val="auto"/>
        <w:outlineLvl w:val="9"/>
        <w:rPr>
          <w:rFonts w:hint="eastAsia" w:ascii="方正仿宋_GBK" w:eastAsia="方正仿宋_GBK" w:cs="宋体" w:hAnsiTheme="minorHAnsi"/>
          <w:color w:val="000000" w:themeColor="text1"/>
          <w:kern w:val="0"/>
          <w:sz w:val="32"/>
          <w:szCs w:val="32"/>
          <w:lang w:val="en-US" w:eastAsia="zh-CN"/>
          <w14:textFill>
            <w14:solidFill>
              <w14:schemeClr w14:val="tx1"/>
            </w14:solidFill>
          </w14:textFill>
        </w:rPr>
      </w:pPr>
      <w:r>
        <w:rPr>
          <w:rFonts w:hint="eastAsia" w:ascii="方正仿宋_GBK" w:eastAsia="方正仿宋_GBK" w:cs="宋体" w:hAnsiTheme="minorHAnsi"/>
          <w:color w:val="000000" w:themeColor="text1"/>
          <w:kern w:val="0"/>
          <w:sz w:val="32"/>
          <w:szCs w:val="32"/>
          <w:lang w:val="en-US" w:eastAsia="zh-CN"/>
          <w14:textFill>
            <w14:solidFill>
              <w14:schemeClr w14:val="tx1"/>
            </w14:solidFill>
          </w14:textFill>
        </w:rPr>
        <w:t>（五）安全生产标准化建设达到</w:t>
      </w:r>
      <w:r>
        <w:rPr>
          <w:rFonts w:hint="eastAsia" w:ascii="方正仿宋_GBK" w:eastAsia="方正仿宋_GBK" w:cs="宋体"/>
          <w:color w:val="000000" w:themeColor="text1"/>
          <w:kern w:val="0"/>
          <w:sz w:val="32"/>
          <w:szCs w:val="32"/>
          <w:lang w:val="en-US" w:eastAsia="zh-CN"/>
          <w14:textFill>
            <w14:solidFill>
              <w14:schemeClr w14:val="tx1"/>
            </w14:solidFill>
          </w14:textFill>
        </w:rPr>
        <w:t>二</w:t>
      </w:r>
      <w:r>
        <w:rPr>
          <w:rFonts w:hint="eastAsia" w:ascii="方正仿宋_GBK" w:eastAsia="方正仿宋_GBK" w:cs="宋体" w:hAnsiTheme="minorHAnsi"/>
          <w:color w:val="000000" w:themeColor="text1"/>
          <w:kern w:val="0"/>
          <w:sz w:val="32"/>
          <w:szCs w:val="32"/>
          <w:lang w:val="en-US" w:eastAsia="zh-CN"/>
          <w14:textFill>
            <w14:solidFill>
              <w14:schemeClr w14:val="tx1"/>
            </w14:solidFill>
          </w14:textFill>
        </w:rPr>
        <w:t>级水平。</w:t>
      </w:r>
    </w:p>
    <w:p>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leftChars="0" w:right="0" w:rightChars="0" w:firstLine="632" w:firstLineChars="200"/>
        <w:jc w:val="left"/>
        <w:textAlignment w:val="auto"/>
        <w:outlineLvl w:val="9"/>
        <w:rPr>
          <w:rFonts w:hint="eastAsia" w:ascii="方正仿宋_GBK" w:eastAsia="方正仿宋_GBK" w:cs="宋体" w:hAnsiTheme="minorHAnsi"/>
          <w:color w:val="000000" w:themeColor="text1"/>
          <w:kern w:val="0"/>
          <w:sz w:val="32"/>
          <w:szCs w:val="32"/>
          <w:lang w:val="en-US" w:eastAsia="zh-CN"/>
          <w14:textFill>
            <w14:solidFill>
              <w14:schemeClr w14:val="tx1"/>
            </w14:solidFill>
          </w14:textFill>
        </w:rPr>
      </w:pPr>
      <w:r>
        <w:rPr>
          <w:rFonts w:hint="eastAsia" w:ascii="方正仿宋_GBK" w:eastAsia="方正仿宋_GBK" w:cs="宋体" w:hAnsiTheme="minorHAnsi"/>
          <w:color w:val="000000" w:themeColor="text1"/>
          <w:kern w:val="0"/>
          <w:sz w:val="32"/>
          <w:szCs w:val="32"/>
          <w:lang w:val="en-US" w:eastAsia="zh-CN"/>
          <w14:textFill>
            <w14:solidFill>
              <w14:schemeClr w14:val="tx1"/>
            </w14:solidFill>
          </w14:textFill>
        </w:rPr>
        <w:t>（六）没有被其他行业领域认定为失信联合惩戒对象的记录。</w:t>
      </w:r>
    </w:p>
    <w:p>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leftChars="0" w:right="0" w:rightChars="0" w:firstLine="632" w:firstLineChars="200"/>
        <w:jc w:val="left"/>
        <w:textAlignment w:val="auto"/>
        <w:outlineLvl w:val="9"/>
        <w:rPr>
          <w:rFonts w:hint="eastAsia" w:ascii="方正黑体_GBK" w:hAnsi="方正黑体_GBK" w:eastAsia="方正黑体_GBK" w:cs="方正黑体_GBK"/>
          <w:color w:val="000000" w:themeColor="text1"/>
          <w:kern w:val="0"/>
          <w:sz w:val="32"/>
          <w:szCs w:val="32"/>
          <w:lang w:val="en-US" w:eastAsia="zh-CN"/>
          <w14:textFill>
            <w14:solidFill>
              <w14:schemeClr w14:val="tx1"/>
            </w14:solidFill>
          </w14:textFill>
        </w:rPr>
      </w:pPr>
      <w:r>
        <w:rPr>
          <w:rFonts w:hint="eastAsia" w:ascii="方正黑体_GBK" w:hAnsi="方正黑体_GBK" w:eastAsia="方正黑体_GBK" w:cs="方正黑体_GBK"/>
          <w:color w:val="000000" w:themeColor="text1"/>
          <w:kern w:val="0"/>
          <w:sz w:val="32"/>
          <w:szCs w:val="32"/>
          <w:lang w:val="en-US" w:eastAsia="zh-CN"/>
          <w14:textFill>
            <w14:solidFill>
              <w14:schemeClr w14:val="tx1"/>
            </w14:solidFill>
          </w14:textFill>
        </w:rPr>
        <w:t>二、采取守信激励的措施</w:t>
      </w:r>
    </w:p>
    <w:p>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leftChars="0" w:right="0" w:rightChars="0" w:firstLine="632" w:firstLineChars="200"/>
        <w:jc w:val="left"/>
        <w:textAlignment w:val="auto"/>
        <w:outlineLvl w:val="9"/>
        <w:rPr>
          <w:rFonts w:hint="eastAsia" w:ascii="方正仿宋_GBK" w:eastAsia="方正仿宋_GBK" w:cs="宋体" w:hAnsiTheme="minorHAnsi"/>
          <w:color w:val="000000" w:themeColor="text1"/>
          <w:kern w:val="0"/>
          <w:sz w:val="32"/>
          <w:szCs w:val="32"/>
          <w:lang w:val="en-US" w:eastAsia="zh-CN"/>
          <w14:textFill>
            <w14:solidFill>
              <w14:schemeClr w14:val="tx1"/>
            </w14:solidFill>
          </w14:textFill>
        </w:rPr>
      </w:pPr>
      <w:r>
        <w:rPr>
          <w:rFonts w:hint="eastAsia" w:ascii="方正仿宋_GBK" w:hAnsi="宋体" w:eastAsia="方正仿宋_GBK" w:cs="宋体"/>
          <w:color w:val="000000" w:themeColor="text1"/>
          <w:kern w:val="0"/>
          <w:sz w:val="32"/>
          <w:szCs w:val="32"/>
          <w14:textFill>
            <w14:solidFill>
              <w14:schemeClr w14:val="tx1"/>
            </w14:solidFill>
          </w14:textFill>
        </w:rPr>
        <w:t>市、区县（自治县）</w:t>
      </w:r>
      <w:r>
        <w:rPr>
          <w:rFonts w:hint="eastAsia" w:ascii="方正仿宋_GBK" w:eastAsia="方正仿宋_GBK" w:cs="宋体"/>
          <w:color w:val="000000" w:themeColor="text1"/>
          <w:kern w:val="0"/>
          <w:sz w:val="32"/>
          <w:szCs w:val="32"/>
          <w:lang w:val="en-US" w:eastAsia="zh-CN"/>
          <w14:textFill>
            <w14:solidFill>
              <w14:schemeClr w14:val="tx1"/>
            </w14:solidFill>
          </w14:textFill>
        </w:rPr>
        <w:t>应急管理局</w:t>
      </w:r>
      <w:r>
        <w:rPr>
          <w:rFonts w:hint="eastAsia" w:ascii="方正仿宋_GBK" w:eastAsia="方正仿宋_GBK" w:cs="宋体" w:hAnsiTheme="minorHAnsi"/>
          <w:color w:val="000000" w:themeColor="text1"/>
          <w:kern w:val="0"/>
          <w:sz w:val="32"/>
          <w:szCs w:val="32"/>
          <w:lang w:val="en-US" w:eastAsia="zh-CN"/>
          <w14:textFill>
            <w14:solidFill>
              <w14:schemeClr w14:val="tx1"/>
            </w14:solidFill>
          </w14:textFill>
        </w:rPr>
        <w:t>对纳入守信联合激励对象的生产经营单位可采取以下激励措施：</w:t>
      </w:r>
    </w:p>
    <w:p>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leftChars="0" w:right="0" w:rightChars="0" w:firstLine="632" w:firstLineChars="200"/>
        <w:jc w:val="left"/>
        <w:textAlignment w:val="auto"/>
        <w:outlineLvl w:val="9"/>
        <w:rPr>
          <w:rFonts w:hint="eastAsia" w:ascii="方正仿宋_GBK" w:eastAsia="方正仿宋_GBK" w:cs="宋体" w:hAnsiTheme="minorHAnsi"/>
          <w:color w:val="000000" w:themeColor="text1"/>
          <w:kern w:val="0"/>
          <w:sz w:val="32"/>
          <w:szCs w:val="32"/>
          <w:lang w:val="en-US" w:eastAsia="zh-CN"/>
          <w14:textFill>
            <w14:solidFill>
              <w14:schemeClr w14:val="tx1"/>
            </w14:solidFill>
          </w14:textFill>
        </w:rPr>
      </w:pPr>
      <w:r>
        <w:rPr>
          <w:rFonts w:hint="eastAsia" w:ascii="方正仿宋_GBK" w:eastAsia="方正仿宋_GBK" w:cs="宋体" w:hAnsiTheme="minorHAnsi"/>
          <w:color w:val="000000" w:themeColor="text1"/>
          <w:kern w:val="0"/>
          <w:sz w:val="32"/>
          <w:szCs w:val="32"/>
          <w:lang w:val="en-US" w:eastAsia="zh-CN"/>
          <w14:textFill>
            <w14:solidFill>
              <w14:schemeClr w14:val="tx1"/>
            </w14:solidFill>
          </w14:textFill>
        </w:rPr>
        <w:t>（一）在制定执法检查计划时，减少对其执法检查的频次。</w:t>
      </w:r>
    </w:p>
    <w:p>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leftChars="0" w:right="0" w:rightChars="0" w:firstLine="632" w:firstLineChars="200"/>
        <w:jc w:val="left"/>
        <w:textAlignment w:val="auto"/>
        <w:outlineLvl w:val="9"/>
        <w:rPr>
          <w:rFonts w:hint="eastAsia" w:ascii="方正仿宋_GBK" w:eastAsia="方正仿宋_GBK" w:cs="宋体" w:hAnsiTheme="minorHAnsi"/>
          <w:color w:val="000000" w:themeColor="text1"/>
          <w:kern w:val="0"/>
          <w:sz w:val="32"/>
          <w:szCs w:val="32"/>
          <w:lang w:val="en-US" w:eastAsia="zh-CN"/>
          <w14:textFill>
            <w14:solidFill>
              <w14:schemeClr w14:val="tx1"/>
            </w14:solidFill>
          </w14:textFill>
        </w:rPr>
      </w:pPr>
      <w:r>
        <w:rPr>
          <w:rFonts w:hint="eastAsia" w:ascii="方正仿宋_GBK" w:eastAsia="方正仿宋_GBK" w:cs="宋体" w:hAnsiTheme="minorHAnsi"/>
          <w:color w:val="000000" w:themeColor="text1"/>
          <w:kern w:val="0"/>
          <w:sz w:val="32"/>
          <w:szCs w:val="32"/>
          <w:lang w:val="en-US" w:eastAsia="zh-CN"/>
          <w14:textFill>
            <w14:solidFill>
              <w14:schemeClr w14:val="tx1"/>
            </w14:solidFill>
          </w14:textFill>
        </w:rPr>
        <w:t>（二）安全生产许可证到期后可通过申报有关资料，直接延期一个许可周期。</w:t>
      </w:r>
    </w:p>
    <w:p>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leftChars="0" w:right="0" w:rightChars="0" w:firstLine="632" w:firstLineChars="200"/>
        <w:jc w:val="left"/>
        <w:textAlignment w:val="auto"/>
        <w:outlineLvl w:val="9"/>
        <w:rPr>
          <w:rFonts w:hint="eastAsia" w:ascii="方正仿宋_GBK" w:eastAsia="方正仿宋_GBK" w:cs="宋体" w:hAnsiTheme="minorHAnsi"/>
          <w:color w:val="000000" w:themeColor="text1"/>
          <w:kern w:val="0"/>
          <w:sz w:val="32"/>
          <w:szCs w:val="32"/>
          <w:lang w:val="en-US" w:eastAsia="zh-CN"/>
          <w14:textFill>
            <w14:solidFill>
              <w14:schemeClr w14:val="tx1"/>
            </w14:solidFill>
          </w14:textFill>
        </w:rPr>
      </w:pPr>
      <w:r>
        <w:rPr>
          <w:rFonts w:hint="eastAsia" w:ascii="方正仿宋_GBK" w:eastAsia="方正仿宋_GBK" w:cs="宋体" w:hAnsiTheme="minorHAnsi"/>
          <w:color w:val="000000" w:themeColor="text1"/>
          <w:kern w:val="0"/>
          <w:sz w:val="32"/>
          <w:szCs w:val="32"/>
          <w:lang w:val="en-US" w:eastAsia="zh-CN"/>
          <w14:textFill>
            <w14:solidFill>
              <w14:schemeClr w14:val="tx1"/>
            </w14:solidFill>
          </w14:textFill>
        </w:rPr>
        <w:t>（三）在申请安全生产政策性资金、评先评优活动中，予以优先考虑。</w:t>
      </w:r>
    </w:p>
    <w:p>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leftChars="0" w:right="0" w:rightChars="0" w:firstLine="632" w:firstLineChars="200"/>
        <w:jc w:val="left"/>
        <w:textAlignment w:val="auto"/>
        <w:outlineLvl w:val="9"/>
        <w:rPr>
          <w:rFonts w:hint="eastAsia" w:ascii="方正仿宋_GBK" w:eastAsia="方正仿宋_GBK" w:cs="宋体" w:hAnsiTheme="minorHAnsi"/>
          <w:color w:val="000000" w:themeColor="text1"/>
          <w:kern w:val="0"/>
          <w:sz w:val="32"/>
          <w:szCs w:val="32"/>
          <w:lang w:val="en-US" w:eastAsia="zh-CN"/>
          <w14:textFill>
            <w14:solidFill>
              <w14:schemeClr w14:val="tx1"/>
            </w14:solidFill>
          </w14:textFill>
        </w:rPr>
      </w:pPr>
      <w:r>
        <w:rPr>
          <w:rFonts w:hint="eastAsia" w:ascii="方正仿宋_GBK" w:eastAsia="方正仿宋_GBK" w:cs="宋体" w:hAnsiTheme="minorHAnsi"/>
          <w:color w:val="000000" w:themeColor="text1"/>
          <w:kern w:val="0"/>
          <w:sz w:val="32"/>
          <w:szCs w:val="32"/>
          <w:lang w:val="en-US" w:eastAsia="zh-CN"/>
          <w14:textFill>
            <w14:solidFill>
              <w14:schemeClr w14:val="tx1"/>
            </w14:solidFill>
          </w14:textFill>
        </w:rPr>
        <w:t>（四）优先参与安全生产法规、规章和标准的制修订工作。</w:t>
      </w:r>
    </w:p>
    <w:p>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leftChars="0" w:right="0" w:rightChars="0" w:firstLine="632" w:firstLineChars="200"/>
        <w:jc w:val="left"/>
        <w:textAlignment w:val="auto"/>
        <w:outlineLvl w:val="9"/>
        <w:rPr>
          <w:rFonts w:hint="eastAsia" w:ascii="方正仿宋_GBK" w:eastAsia="方正仿宋_GBK" w:cs="宋体" w:hAnsiTheme="minorHAnsi"/>
          <w:color w:val="000000" w:themeColor="text1"/>
          <w:kern w:val="0"/>
          <w:sz w:val="32"/>
          <w:szCs w:val="32"/>
          <w:lang w:val="en-US" w:eastAsia="zh-CN"/>
          <w14:textFill>
            <w14:solidFill>
              <w14:schemeClr w14:val="tx1"/>
            </w14:solidFill>
          </w14:textFill>
        </w:rPr>
      </w:pPr>
      <w:r>
        <w:rPr>
          <w:rFonts w:hint="eastAsia" w:ascii="方正仿宋_GBK" w:eastAsia="方正仿宋_GBK" w:cs="宋体" w:hAnsiTheme="minorHAnsi"/>
          <w:color w:val="000000" w:themeColor="text1"/>
          <w:kern w:val="0"/>
          <w:sz w:val="32"/>
          <w:szCs w:val="32"/>
          <w:lang w:val="en-US" w:eastAsia="zh-CN"/>
          <w14:textFill>
            <w14:solidFill>
              <w14:schemeClr w14:val="tx1"/>
            </w14:solidFill>
          </w14:textFill>
        </w:rPr>
        <w:t>（五）建立联合激励对象名录，作为安全生产典型示范企业加以宣传推广。</w:t>
      </w:r>
    </w:p>
    <w:p>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leftChars="0" w:right="0" w:rightChars="0" w:firstLine="632" w:firstLineChars="200"/>
        <w:jc w:val="left"/>
        <w:textAlignment w:val="auto"/>
        <w:outlineLvl w:val="9"/>
        <w:rPr>
          <w:rFonts w:hint="eastAsia" w:ascii="方正黑体_GBK" w:hAnsi="方正黑体_GBK" w:eastAsia="方正黑体_GBK" w:cs="方正黑体_GBK"/>
          <w:color w:val="000000" w:themeColor="text1"/>
          <w:kern w:val="0"/>
          <w:sz w:val="32"/>
          <w:szCs w:val="32"/>
          <w:lang w:val="en-US" w:eastAsia="zh-CN"/>
          <w14:textFill>
            <w14:solidFill>
              <w14:schemeClr w14:val="tx1"/>
            </w14:solidFill>
          </w14:textFill>
        </w:rPr>
      </w:pPr>
      <w:r>
        <w:rPr>
          <w:rFonts w:hint="eastAsia" w:ascii="方正黑体_GBK" w:hAnsi="方正黑体_GBK" w:eastAsia="方正黑体_GBK" w:cs="方正黑体_GBK"/>
          <w:color w:val="000000" w:themeColor="text1"/>
          <w:kern w:val="0"/>
          <w:sz w:val="32"/>
          <w:szCs w:val="32"/>
          <w:lang w:val="en-US" w:eastAsia="zh-CN"/>
          <w14:textFill>
            <w14:solidFill>
              <w14:schemeClr w14:val="tx1"/>
            </w14:solidFill>
          </w14:textFill>
        </w:rPr>
        <w:t>三、实施守信激励的流程</w:t>
      </w:r>
    </w:p>
    <w:p>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leftChars="0" w:right="0" w:rightChars="0" w:firstLine="632" w:firstLineChars="200"/>
        <w:jc w:val="left"/>
        <w:textAlignment w:val="auto"/>
        <w:outlineLvl w:val="9"/>
        <w:rPr>
          <w:rFonts w:hint="eastAsia" w:ascii="方正仿宋_GBK" w:eastAsia="方正仿宋_GBK" w:cs="宋体" w:hAnsiTheme="minorHAnsi"/>
          <w:color w:val="000000" w:themeColor="text1"/>
          <w:kern w:val="0"/>
          <w:sz w:val="32"/>
          <w:szCs w:val="32"/>
          <w:lang w:val="en-US" w:eastAsia="zh-CN"/>
          <w14:textFill>
            <w14:solidFill>
              <w14:schemeClr w14:val="tx1"/>
            </w14:solidFill>
          </w14:textFill>
        </w:rPr>
      </w:pPr>
      <w:r>
        <w:rPr>
          <w:rFonts w:hint="eastAsia" w:ascii="方正仿宋_GBK" w:eastAsia="方正仿宋_GBK" w:cs="宋体" w:hAnsiTheme="minorHAnsi"/>
          <w:color w:val="000000" w:themeColor="text1"/>
          <w:kern w:val="0"/>
          <w:sz w:val="32"/>
          <w:szCs w:val="32"/>
          <w:lang w:val="en-US" w:eastAsia="zh-CN"/>
          <w14:textFill>
            <w14:solidFill>
              <w14:schemeClr w14:val="tx1"/>
            </w14:solidFill>
          </w14:textFill>
        </w:rPr>
        <w:t>（一）符合纳入守信激励的对象条件的生产经营单位，可向所在地</w:t>
      </w:r>
      <w:r>
        <w:rPr>
          <w:rFonts w:hint="eastAsia" w:ascii="方正仿宋_GBK" w:eastAsia="方正仿宋_GBK" w:cs="宋体"/>
          <w:color w:val="000000" w:themeColor="text1"/>
          <w:kern w:val="0"/>
          <w:sz w:val="32"/>
          <w:szCs w:val="32"/>
          <w:lang w:val="en-US" w:eastAsia="zh-CN"/>
          <w14:textFill>
            <w14:solidFill>
              <w14:schemeClr w14:val="tx1"/>
            </w14:solidFill>
          </w14:textFill>
        </w:rPr>
        <w:t>应急管理局</w:t>
      </w:r>
      <w:r>
        <w:rPr>
          <w:rFonts w:hint="eastAsia" w:ascii="方正仿宋_GBK" w:eastAsia="方正仿宋_GBK" w:cs="宋体" w:hAnsiTheme="minorHAnsi"/>
          <w:color w:val="000000" w:themeColor="text1"/>
          <w:kern w:val="0"/>
          <w:sz w:val="32"/>
          <w:szCs w:val="32"/>
          <w:lang w:val="en-US" w:eastAsia="zh-CN"/>
          <w14:textFill>
            <w14:solidFill>
              <w14:schemeClr w14:val="tx1"/>
            </w14:solidFill>
          </w14:textFill>
        </w:rPr>
        <w:t>提出申请，经所在地</w:t>
      </w:r>
      <w:r>
        <w:rPr>
          <w:rFonts w:hint="eastAsia" w:ascii="方正仿宋_GBK" w:eastAsia="方正仿宋_GBK" w:cs="宋体"/>
          <w:color w:val="000000" w:themeColor="text1"/>
          <w:kern w:val="0"/>
          <w:sz w:val="32"/>
          <w:szCs w:val="32"/>
          <w:lang w:val="en-US" w:eastAsia="zh-CN"/>
          <w14:textFill>
            <w14:solidFill>
              <w14:schemeClr w14:val="tx1"/>
            </w14:solidFill>
          </w14:textFill>
        </w:rPr>
        <w:t>应急管理局</w:t>
      </w:r>
      <w:r>
        <w:rPr>
          <w:rFonts w:hint="eastAsia" w:ascii="方正仿宋_GBK" w:eastAsia="方正仿宋_GBK" w:cs="宋体" w:hAnsiTheme="minorHAnsi"/>
          <w:color w:val="000000" w:themeColor="text1"/>
          <w:kern w:val="0"/>
          <w:sz w:val="32"/>
          <w:szCs w:val="32"/>
          <w:lang w:val="en-US" w:eastAsia="zh-CN"/>
          <w14:textFill>
            <w14:solidFill>
              <w14:schemeClr w14:val="tx1"/>
            </w14:solidFill>
          </w14:textFill>
        </w:rPr>
        <w:t>审核确认后，</w:t>
      </w:r>
      <w:r>
        <w:rPr>
          <w:rFonts w:hint="eastAsia" w:ascii="方正仿宋_GBK" w:eastAsia="方正仿宋_GBK" w:cs="宋体"/>
          <w:color w:val="000000" w:themeColor="text1"/>
          <w:kern w:val="0"/>
          <w:sz w:val="32"/>
          <w:szCs w:val="32"/>
          <w:lang w:val="en-US" w:eastAsia="zh-CN"/>
          <w14:textFill>
            <w14:solidFill>
              <w14:schemeClr w14:val="tx1"/>
            </w14:solidFill>
          </w14:textFill>
        </w:rPr>
        <w:t>填写《安全生产守信联合激励对象信息汇总表》</w:t>
      </w:r>
      <w:r>
        <w:rPr>
          <w:rFonts w:hint="eastAsia" w:ascii="方正仿宋_GBK" w:eastAsia="方正仿宋_GBK" w:cs="宋体" w:hAnsiTheme="minorHAnsi"/>
          <w:color w:val="000000" w:themeColor="text1"/>
          <w:kern w:val="0"/>
          <w:sz w:val="32"/>
          <w:szCs w:val="32"/>
          <w:lang w:val="en-US" w:eastAsia="zh-CN"/>
          <w14:textFill>
            <w14:solidFill>
              <w14:schemeClr w14:val="tx1"/>
            </w14:solidFill>
          </w14:textFill>
        </w:rPr>
        <w:t>报送市应急管理局。市应急管理局进行审查核实，对符合条件的，</w:t>
      </w:r>
      <w:r>
        <w:rPr>
          <w:rFonts w:hint="eastAsia" w:ascii="方正仿宋_GBK" w:eastAsia="方正仿宋_GBK" w:cs="宋体"/>
          <w:color w:val="000000" w:themeColor="text1"/>
          <w:kern w:val="0"/>
          <w:sz w:val="32"/>
          <w:szCs w:val="32"/>
          <w:lang w:val="en-US" w:eastAsia="zh-CN"/>
          <w14:textFill>
            <w14:solidFill>
              <w14:schemeClr w14:val="tx1"/>
            </w14:solidFill>
          </w14:textFill>
        </w:rPr>
        <w:t>由市应急局按照相关程序</w:t>
      </w:r>
      <w:r>
        <w:rPr>
          <w:rFonts w:hint="eastAsia" w:ascii="方正仿宋_GBK" w:eastAsia="方正仿宋_GBK" w:cs="宋体" w:hAnsiTheme="minorHAnsi"/>
          <w:color w:val="000000" w:themeColor="text1"/>
          <w:kern w:val="0"/>
          <w:sz w:val="32"/>
          <w:szCs w:val="32"/>
          <w:lang w:val="en-US" w:eastAsia="zh-CN"/>
          <w14:textFill>
            <w14:solidFill>
              <w14:schemeClr w14:val="tx1"/>
            </w14:solidFill>
          </w14:textFill>
        </w:rPr>
        <w:t>报送应急管理部。</w:t>
      </w:r>
      <w:r>
        <w:rPr>
          <w:rFonts w:hint="eastAsia" w:ascii="方正仿宋_GBK" w:eastAsia="方正仿宋_GBK" w:cs="宋体"/>
          <w:color w:val="000000" w:themeColor="text1"/>
          <w:kern w:val="0"/>
          <w:sz w:val="32"/>
          <w:szCs w:val="32"/>
          <w:lang w:val="en-US" w:eastAsia="zh-CN"/>
          <w14:textFill>
            <w14:solidFill>
              <w14:schemeClr w14:val="tx1"/>
            </w14:solidFill>
          </w14:textFill>
        </w:rPr>
        <w:t>经应急管理部审核公示无异议的，</w:t>
      </w:r>
      <w:r>
        <w:rPr>
          <w:rFonts w:hint="eastAsia" w:ascii="方正仿宋_GBK" w:eastAsia="方正仿宋_GBK" w:cs="宋体" w:hAnsiTheme="minorHAnsi"/>
          <w:color w:val="000000" w:themeColor="text1"/>
          <w:kern w:val="0"/>
          <w:sz w:val="32"/>
          <w:szCs w:val="32"/>
          <w:lang w:val="en-US" w:eastAsia="zh-CN"/>
          <w14:textFill>
            <w14:solidFill>
              <w14:schemeClr w14:val="tx1"/>
            </w14:solidFill>
          </w14:textFill>
        </w:rPr>
        <w:t>纳入守信联合激励对象，向社会公告并</w:t>
      </w:r>
      <w:r>
        <w:rPr>
          <w:rFonts w:hint="eastAsia" w:ascii="方正仿宋_GBK" w:eastAsia="方正仿宋_GBK" w:cs="宋体"/>
          <w:color w:val="000000" w:themeColor="text1"/>
          <w:kern w:val="0"/>
          <w:sz w:val="32"/>
          <w:szCs w:val="32"/>
          <w:lang w:val="en-US" w:eastAsia="zh-CN"/>
          <w14:textFill>
            <w14:solidFill>
              <w14:schemeClr w14:val="tx1"/>
            </w14:solidFill>
          </w14:textFill>
        </w:rPr>
        <w:t>推送到</w:t>
      </w:r>
      <w:r>
        <w:rPr>
          <w:rFonts w:hint="eastAsia" w:ascii="方正仿宋_GBK" w:eastAsia="方正仿宋_GBK" w:cs="宋体" w:hAnsiTheme="minorHAnsi"/>
          <w:color w:val="000000" w:themeColor="text1"/>
          <w:kern w:val="0"/>
          <w:sz w:val="32"/>
          <w:szCs w:val="32"/>
          <w:lang w:val="en-US" w:eastAsia="zh-CN"/>
          <w14:textFill>
            <w14:solidFill>
              <w14:schemeClr w14:val="tx1"/>
            </w14:solidFill>
          </w14:textFill>
        </w:rPr>
        <w:t>有关部门</w:t>
      </w:r>
      <w:r>
        <w:rPr>
          <w:rFonts w:hint="eastAsia" w:ascii="方正仿宋_GBK" w:eastAsia="方正仿宋_GBK" w:cs="宋体"/>
          <w:color w:val="000000" w:themeColor="text1"/>
          <w:kern w:val="0"/>
          <w:sz w:val="32"/>
          <w:szCs w:val="32"/>
          <w:lang w:val="en-US" w:eastAsia="zh-CN"/>
          <w14:textFill>
            <w14:solidFill>
              <w14:schemeClr w14:val="tx1"/>
            </w14:solidFill>
          </w14:textFill>
        </w:rPr>
        <w:t>和社会媒体</w:t>
      </w:r>
      <w:r>
        <w:rPr>
          <w:rFonts w:hint="eastAsia" w:ascii="方正仿宋_GBK" w:eastAsia="方正仿宋_GBK" w:cs="宋体" w:hAnsiTheme="minorHAnsi"/>
          <w:color w:val="000000" w:themeColor="text1"/>
          <w:kern w:val="0"/>
          <w:sz w:val="32"/>
          <w:szCs w:val="32"/>
          <w:lang w:val="en-US" w:eastAsia="zh-CN"/>
          <w14:textFill>
            <w14:solidFill>
              <w14:schemeClr w14:val="tx1"/>
            </w14:solidFill>
          </w14:textFill>
        </w:rPr>
        <w:t>。</w:t>
      </w:r>
    </w:p>
    <w:p>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leftChars="0" w:right="0" w:rightChars="0" w:firstLine="632" w:firstLineChars="200"/>
        <w:jc w:val="left"/>
        <w:textAlignment w:val="auto"/>
        <w:outlineLvl w:val="9"/>
        <w:rPr>
          <w:rFonts w:hint="eastAsia" w:ascii="方正黑体_GBK" w:hAnsi="方正黑体_GBK" w:eastAsia="方正黑体_GBK" w:cs="方正黑体_GBK"/>
          <w:color w:val="000000" w:themeColor="text1"/>
          <w:kern w:val="0"/>
          <w:sz w:val="32"/>
          <w:szCs w:val="32"/>
          <w:lang w:val="en-US" w:eastAsia="zh-CN"/>
          <w14:textFill>
            <w14:solidFill>
              <w14:schemeClr w14:val="tx1"/>
            </w14:solidFill>
          </w14:textFill>
        </w:rPr>
      </w:pPr>
      <w:r>
        <w:rPr>
          <w:rFonts w:hint="eastAsia" w:ascii="方正黑体_GBK" w:hAnsi="方正黑体_GBK" w:eastAsia="方正黑体_GBK" w:cs="方正黑体_GBK"/>
          <w:color w:val="000000" w:themeColor="text1"/>
          <w:kern w:val="0"/>
          <w:sz w:val="32"/>
          <w:szCs w:val="32"/>
          <w:lang w:val="en-US" w:eastAsia="zh-CN"/>
          <w14:textFill>
            <w14:solidFill>
              <w14:schemeClr w14:val="tx1"/>
            </w14:solidFill>
          </w14:textFill>
        </w:rPr>
        <w:t>四、守信激励对象的有效期限</w:t>
      </w:r>
    </w:p>
    <w:p>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leftChars="0" w:right="0" w:rightChars="0" w:firstLine="632" w:firstLineChars="200"/>
        <w:jc w:val="left"/>
        <w:textAlignment w:val="auto"/>
        <w:outlineLvl w:val="9"/>
        <w:rPr>
          <w:rFonts w:hint="eastAsia" w:ascii="方正仿宋_GBK" w:eastAsia="方正仿宋_GBK" w:cs="宋体" w:hAnsiTheme="minorHAnsi"/>
          <w:color w:val="000000" w:themeColor="text1"/>
          <w:kern w:val="0"/>
          <w:sz w:val="32"/>
          <w:szCs w:val="32"/>
          <w:lang w:val="en-US" w:eastAsia="zh-CN"/>
          <w14:textFill>
            <w14:solidFill>
              <w14:schemeClr w14:val="tx1"/>
            </w14:solidFill>
          </w14:textFill>
        </w:rPr>
      </w:pPr>
      <w:r>
        <w:rPr>
          <w:rFonts w:hint="eastAsia" w:ascii="方正仿宋_GBK" w:eastAsia="方正仿宋_GBK" w:cs="宋体" w:hAnsiTheme="minorHAnsi"/>
          <w:color w:val="000000" w:themeColor="text1"/>
          <w:kern w:val="0"/>
          <w:sz w:val="32"/>
          <w:szCs w:val="32"/>
          <w:lang w:val="en-US" w:eastAsia="zh-CN"/>
          <w14:textFill>
            <w14:solidFill>
              <w14:schemeClr w14:val="tx1"/>
            </w14:solidFill>
          </w14:textFill>
        </w:rPr>
        <w:t>（一）生产经营单位守信联合激励管理自公布之日起计算，期限为</w:t>
      </w:r>
      <w:r>
        <w:rPr>
          <w:rFonts w:hint="default" w:ascii="方正仿宋_GBK" w:eastAsia="方正仿宋_GBK" w:cs="宋体" w:hAnsiTheme="minorHAnsi"/>
          <w:color w:val="000000" w:themeColor="text1"/>
          <w:kern w:val="0"/>
          <w:sz w:val="32"/>
          <w:szCs w:val="32"/>
          <w:lang w:val="en-US" w:eastAsia="zh-CN"/>
          <w14:textFill>
            <w14:solidFill>
              <w14:schemeClr w14:val="tx1"/>
            </w14:solidFill>
          </w14:textFill>
        </w:rPr>
        <w:t>3</w:t>
      </w:r>
      <w:r>
        <w:rPr>
          <w:rFonts w:hint="eastAsia" w:ascii="方正仿宋_GBK" w:eastAsia="方正仿宋_GBK" w:cs="宋体" w:hAnsiTheme="minorHAnsi"/>
          <w:color w:val="000000" w:themeColor="text1"/>
          <w:kern w:val="0"/>
          <w:sz w:val="32"/>
          <w:szCs w:val="32"/>
          <w:lang w:val="en-US" w:eastAsia="zh-CN"/>
          <w14:textFill>
            <w14:solidFill>
              <w14:schemeClr w14:val="tx1"/>
            </w14:solidFill>
          </w14:textFill>
        </w:rPr>
        <w:t>年。管理期限届满前，其条件仍满足本制度纳入守信激励对象规定的，可按照实施守信激励的流程，提前</w:t>
      </w:r>
      <w:r>
        <w:rPr>
          <w:rFonts w:hint="default" w:ascii="方正仿宋_GBK" w:eastAsia="方正仿宋_GBK" w:cs="宋体" w:hAnsiTheme="minorHAnsi"/>
          <w:color w:val="000000" w:themeColor="text1"/>
          <w:kern w:val="0"/>
          <w:sz w:val="32"/>
          <w:szCs w:val="32"/>
          <w:lang w:val="en-US" w:eastAsia="zh-CN"/>
          <w14:textFill>
            <w14:solidFill>
              <w14:schemeClr w14:val="tx1"/>
            </w14:solidFill>
          </w14:textFill>
        </w:rPr>
        <w:t>3</w:t>
      </w:r>
      <w:r>
        <w:rPr>
          <w:rFonts w:hint="eastAsia" w:ascii="方正仿宋_GBK" w:eastAsia="方正仿宋_GBK" w:cs="宋体" w:hAnsiTheme="minorHAnsi"/>
          <w:color w:val="000000" w:themeColor="text1"/>
          <w:kern w:val="0"/>
          <w:sz w:val="32"/>
          <w:szCs w:val="32"/>
          <w:lang w:val="en-US" w:eastAsia="zh-CN"/>
          <w14:textFill>
            <w14:solidFill>
              <w14:schemeClr w14:val="tx1"/>
            </w14:solidFill>
          </w14:textFill>
        </w:rPr>
        <w:t>个月重新提出申请。</w:t>
      </w:r>
    </w:p>
    <w:p>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leftChars="0" w:right="0" w:rightChars="0" w:firstLine="632" w:firstLineChars="200"/>
        <w:jc w:val="left"/>
        <w:textAlignment w:val="auto"/>
        <w:outlineLvl w:val="9"/>
        <w:rPr>
          <w:rFonts w:hint="eastAsia" w:ascii="方正仿宋_GBK" w:eastAsia="方正仿宋_GBK" w:cs="宋体" w:hAnsiTheme="minorHAnsi"/>
          <w:color w:val="000000" w:themeColor="text1"/>
          <w:kern w:val="0"/>
          <w:sz w:val="32"/>
          <w:szCs w:val="32"/>
          <w:lang w:val="en-US" w:eastAsia="zh-CN"/>
          <w14:textFill>
            <w14:solidFill>
              <w14:schemeClr w14:val="tx1"/>
            </w14:solidFill>
          </w14:textFill>
        </w:rPr>
      </w:pPr>
      <w:r>
        <w:rPr>
          <w:rFonts w:hint="eastAsia" w:ascii="方正仿宋_GBK" w:eastAsia="方正仿宋_GBK" w:cs="宋体" w:hAnsiTheme="minorHAnsi"/>
          <w:color w:val="000000" w:themeColor="text1"/>
          <w:kern w:val="0"/>
          <w:sz w:val="32"/>
          <w:szCs w:val="32"/>
          <w:lang w:val="en-US" w:eastAsia="zh-CN"/>
          <w14:textFill>
            <w14:solidFill>
              <w14:schemeClr w14:val="tx1"/>
            </w14:solidFill>
          </w14:textFill>
        </w:rPr>
        <w:t>（二）生产经营单位相关情况发生变化时，要及时告知所在地</w:t>
      </w:r>
      <w:r>
        <w:rPr>
          <w:rFonts w:hint="eastAsia" w:ascii="方正仿宋_GBK" w:eastAsia="方正仿宋_GBK" w:cs="宋体"/>
          <w:color w:val="000000" w:themeColor="text1"/>
          <w:kern w:val="0"/>
          <w:sz w:val="32"/>
          <w:szCs w:val="32"/>
          <w:lang w:val="en-US" w:eastAsia="zh-CN"/>
          <w14:textFill>
            <w14:solidFill>
              <w14:schemeClr w14:val="tx1"/>
            </w14:solidFill>
          </w14:textFill>
        </w:rPr>
        <w:t>应急管理局</w:t>
      </w:r>
      <w:r>
        <w:rPr>
          <w:rFonts w:hint="eastAsia" w:ascii="方正仿宋_GBK" w:eastAsia="方正仿宋_GBK" w:cs="宋体" w:hAnsiTheme="minorHAnsi"/>
          <w:color w:val="000000" w:themeColor="text1"/>
          <w:kern w:val="0"/>
          <w:sz w:val="32"/>
          <w:szCs w:val="32"/>
          <w:lang w:val="en-US" w:eastAsia="zh-CN"/>
          <w14:textFill>
            <w14:solidFill>
              <w14:schemeClr w14:val="tx1"/>
            </w14:solidFill>
          </w14:textFill>
        </w:rPr>
        <w:t>，并逐级</w:t>
      </w:r>
      <w:r>
        <w:rPr>
          <w:rFonts w:hint="eastAsia" w:ascii="方正仿宋_GBK" w:eastAsia="方正仿宋_GBK" w:cs="宋体"/>
          <w:color w:val="000000" w:themeColor="text1"/>
          <w:kern w:val="0"/>
          <w:sz w:val="32"/>
          <w:szCs w:val="32"/>
          <w:lang w:val="en-US" w:eastAsia="zh-CN"/>
          <w14:textFill>
            <w14:solidFill>
              <w14:schemeClr w14:val="tx1"/>
            </w14:solidFill>
          </w14:textFill>
        </w:rPr>
        <w:t>上报</w:t>
      </w:r>
      <w:r>
        <w:rPr>
          <w:rFonts w:hint="eastAsia" w:ascii="方正仿宋_GBK" w:eastAsia="方正仿宋_GBK" w:cs="宋体" w:hAnsiTheme="minorHAnsi"/>
          <w:color w:val="000000" w:themeColor="text1"/>
          <w:kern w:val="0"/>
          <w:sz w:val="32"/>
          <w:szCs w:val="32"/>
          <w:lang w:val="en-US" w:eastAsia="zh-CN"/>
          <w14:textFill>
            <w14:solidFill>
              <w14:schemeClr w14:val="tx1"/>
            </w14:solidFill>
          </w14:textFill>
        </w:rPr>
        <w:t>至应急管理部。对不符合守信联合激励条件的，及时移出守信联合激励对象管理，并通报相关部门，同时向社会公布。</w:t>
      </w:r>
    </w:p>
    <w:p>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leftChars="0" w:right="0" w:rightChars="0" w:firstLine="632" w:firstLineChars="200"/>
        <w:jc w:val="left"/>
        <w:textAlignment w:val="auto"/>
        <w:outlineLvl w:val="9"/>
        <w:rPr>
          <w:rFonts w:hint="eastAsia" w:ascii="方正黑体_GBK" w:hAnsi="方正黑体_GBK" w:eastAsia="方正黑体_GBK" w:cs="方正黑体_GBK"/>
          <w:color w:val="000000" w:themeColor="text1"/>
          <w:kern w:val="0"/>
          <w:sz w:val="32"/>
          <w:szCs w:val="32"/>
          <w:lang w:val="en-US" w:eastAsia="zh-CN"/>
          <w14:textFill>
            <w14:solidFill>
              <w14:schemeClr w14:val="tx1"/>
            </w14:solidFill>
          </w14:textFill>
        </w:rPr>
      </w:pPr>
      <w:r>
        <w:rPr>
          <w:rFonts w:hint="eastAsia" w:ascii="方正黑体_GBK" w:hAnsi="方正黑体_GBK" w:eastAsia="方正黑体_GBK" w:cs="方正黑体_GBK"/>
          <w:color w:val="000000" w:themeColor="text1"/>
          <w:kern w:val="0"/>
          <w:sz w:val="32"/>
          <w:szCs w:val="32"/>
          <w:lang w:val="en-US" w:eastAsia="zh-CN"/>
          <w14:textFill>
            <w14:solidFill>
              <w14:schemeClr w14:val="tx1"/>
            </w14:solidFill>
          </w14:textFill>
        </w:rPr>
        <w:t>五、守信激励的其他规定</w:t>
      </w:r>
    </w:p>
    <w:p>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leftChars="0" w:right="0" w:rightChars="0" w:firstLine="632" w:firstLineChars="200"/>
        <w:jc w:val="left"/>
        <w:textAlignment w:val="auto"/>
        <w:outlineLvl w:val="9"/>
        <w:rPr>
          <w:rFonts w:hint="eastAsia" w:ascii="方正仿宋_GBK" w:eastAsia="方正仿宋_GBK" w:cs="宋体" w:hAnsiTheme="minorHAnsi"/>
          <w:color w:val="000000" w:themeColor="text1"/>
          <w:kern w:val="0"/>
          <w:sz w:val="32"/>
          <w:szCs w:val="32"/>
          <w:lang w:val="en-US" w:eastAsia="zh-CN"/>
          <w14:textFill>
            <w14:solidFill>
              <w14:schemeClr w14:val="tx1"/>
            </w14:solidFill>
          </w14:textFill>
        </w:rPr>
      </w:pPr>
      <w:r>
        <w:rPr>
          <w:rFonts w:hint="eastAsia" w:ascii="方正仿宋_GBK" w:eastAsia="方正仿宋_GBK" w:cs="宋体" w:hAnsiTheme="minorHAnsi"/>
          <w:color w:val="000000" w:themeColor="text1"/>
          <w:kern w:val="0"/>
          <w:sz w:val="32"/>
          <w:szCs w:val="32"/>
          <w:lang w:val="en-US" w:eastAsia="zh-CN"/>
          <w14:textFill>
            <w14:solidFill>
              <w14:schemeClr w14:val="tx1"/>
            </w14:solidFill>
          </w14:textFill>
        </w:rPr>
        <w:t>（一）生产经营单位应对本单位申请信息的真实性、完整性负责。</w:t>
      </w:r>
      <w:r>
        <w:rPr>
          <w:rFonts w:hint="eastAsia" w:ascii="方正仿宋_GBK" w:eastAsia="方正仿宋_GBK" w:cs="宋体"/>
          <w:color w:val="000000" w:themeColor="text1"/>
          <w:kern w:val="0"/>
          <w:sz w:val="32"/>
          <w:szCs w:val="32"/>
          <w:lang w:val="en-US" w:eastAsia="zh-CN"/>
          <w14:textFill>
            <w14:solidFill>
              <w14:schemeClr w14:val="tx1"/>
            </w14:solidFill>
          </w14:textFill>
        </w:rPr>
        <w:t>所在地应急管理局</w:t>
      </w:r>
      <w:r>
        <w:rPr>
          <w:rFonts w:hint="eastAsia" w:ascii="方正仿宋_GBK" w:eastAsia="方正仿宋_GBK" w:cs="宋体" w:hAnsiTheme="minorHAnsi"/>
          <w:color w:val="000000" w:themeColor="text1"/>
          <w:kern w:val="0"/>
          <w:sz w:val="32"/>
          <w:szCs w:val="32"/>
          <w:lang w:val="en-US" w:eastAsia="zh-CN"/>
          <w14:textFill>
            <w14:solidFill>
              <w14:schemeClr w14:val="tx1"/>
            </w14:solidFill>
          </w14:textFill>
        </w:rPr>
        <w:t>发现生产经营单位通过报送虚假信息等不当手段取得联合激励资格的，在移出守信联合激励对象管理的同时，纳入安全生产失信联合</w:t>
      </w:r>
      <w:bookmarkStart w:id="1" w:name="_GoBack"/>
      <w:bookmarkEnd w:id="1"/>
      <w:r>
        <w:rPr>
          <w:rFonts w:hint="eastAsia" w:ascii="方正仿宋_GBK" w:eastAsia="方正仿宋_GBK" w:cs="宋体" w:hAnsiTheme="minorHAnsi"/>
          <w:color w:val="000000" w:themeColor="text1"/>
          <w:kern w:val="0"/>
          <w:sz w:val="32"/>
          <w:szCs w:val="32"/>
          <w:lang w:val="en-US" w:eastAsia="zh-CN"/>
          <w14:textFill>
            <w14:solidFill>
              <w14:schemeClr w14:val="tx1"/>
            </w14:solidFill>
          </w14:textFill>
        </w:rPr>
        <w:t>惩戒“黑名单”。</w:t>
      </w:r>
    </w:p>
    <w:p>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leftChars="0" w:right="0" w:rightChars="0" w:firstLine="632" w:firstLineChars="200"/>
        <w:jc w:val="left"/>
        <w:textAlignment w:val="auto"/>
        <w:outlineLvl w:val="9"/>
        <w:rPr>
          <w:rFonts w:hint="eastAsia" w:ascii="方正仿宋_GBK" w:eastAsia="方正仿宋_GBK" w:cs="宋体" w:hAnsiTheme="minorHAnsi"/>
          <w:color w:val="000000" w:themeColor="text1"/>
          <w:kern w:val="0"/>
          <w:sz w:val="32"/>
          <w:szCs w:val="32"/>
          <w:lang w:val="en-US" w:eastAsia="zh-CN"/>
          <w14:textFill>
            <w14:solidFill>
              <w14:schemeClr w14:val="tx1"/>
            </w14:solidFill>
          </w14:textFill>
        </w:rPr>
      </w:pPr>
      <w:r>
        <w:rPr>
          <w:rFonts w:hint="eastAsia" w:ascii="方正仿宋_GBK" w:eastAsia="方正仿宋_GBK" w:cs="宋体"/>
          <w:color w:val="000000" w:themeColor="text1"/>
          <w:kern w:val="0"/>
          <w:sz w:val="32"/>
          <w:szCs w:val="32"/>
          <w:lang w:val="en-US" w:eastAsia="zh-CN"/>
          <w14:textFill>
            <w14:solidFill>
              <w14:schemeClr w14:val="tx1"/>
            </w14:solidFill>
          </w14:textFill>
        </w:rPr>
        <w:t>（二）</w:t>
      </w:r>
      <w:r>
        <w:rPr>
          <w:rFonts w:hint="eastAsia" w:ascii="方正仿宋_GBK" w:eastAsia="方正仿宋_GBK" w:cs="宋体" w:hAnsiTheme="minorHAnsi"/>
          <w:color w:val="000000" w:themeColor="text1"/>
          <w:kern w:val="0"/>
          <w:sz w:val="32"/>
          <w:szCs w:val="32"/>
          <w:lang w:val="en-US" w:eastAsia="zh-CN"/>
          <w14:textFill>
            <w14:solidFill>
              <w14:schemeClr w14:val="tx1"/>
            </w14:solidFill>
          </w14:textFill>
        </w:rPr>
        <w:t>移出守信联合激励对象管理</w:t>
      </w:r>
      <w:r>
        <w:rPr>
          <w:rFonts w:hint="eastAsia" w:ascii="方正仿宋_GBK" w:eastAsia="方正仿宋_GBK" w:cs="宋体"/>
          <w:color w:val="000000" w:themeColor="text1"/>
          <w:kern w:val="0"/>
          <w:sz w:val="32"/>
          <w:szCs w:val="32"/>
          <w:lang w:val="en-US" w:eastAsia="zh-CN"/>
          <w14:textFill>
            <w14:solidFill>
              <w14:schemeClr w14:val="tx1"/>
            </w14:solidFill>
          </w14:textFill>
        </w:rPr>
        <w:t>时，所在地应急管理局应当填写《移出安全生产守信联合激励对象信息确认表》</w:t>
      </w:r>
      <w:r>
        <w:rPr>
          <w:rFonts w:hint="eastAsia" w:ascii="方正仿宋_GBK" w:eastAsia="方正仿宋_GBK" w:cs="宋体" w:hAnsiTheme="minorHAnsi"/>
          <w:color w:val="000000" w:themeColor="text1"/>
          <w:kern w:val="0"/>
          <w:sz w:val="32"/>
          <w:szCs w:val="32"/>
          <w:lang w:val="en-US" w:eastAsia="zh-CN"/>
          <w14:textFill>
            <w14:solidFill>
              <w14:schemeClr w14:val="tx1"/>
            </w14:solidFill>
          </w14:textFill>
        </w:rPr>
        <w:t>报送市应急管理局。市应急管理局进行审查核实</w:t>
      </w:r>
      <w:r>
        <w:rPr>
          <w:rFonts w:hint="eastAsia" w:ascii="方正仿宋_GBK" w:eastAsia="方正仿宋_GBK" w:cs="宋体"/>
          <w:color w:val="000000" w:themeColor="text1"/>
          <w:kern w:val="0"/>
          <w:sz w:val="32"/>
          <w:szCs w:val="32"/>
          <w:lang w:val="en-US" w:eastAsia="zh-CN"/>
          <w14:textFill>
            <w14:solidFill>
              <w14:schemeClr w14:val="tx1"/>
            </w14:solidFill>
          </w14:textFill>
        </w:rPr>
        <w:t>后</w:t>
      </w:r>
      <w:r>
        <w:rPr>
          <w:rFonts w:hint="eastAsia" w:ascii="方正仿宋_GBK" w:eastAsia="方正仿宋_GBK" w:cs="宋体" w:hAnsiTheme="minorHAnsi"/>
          <w:color w:val="000000" w:themeColor="text1"/>
          <w:kern w:val="0"/>
          <w:sz w:val="32"/>
          <w:szCs w:val="32"/>
          <w:lang w:val="en-US" w:eastAsia="zh-CN"/>
          <w14:textFill>
            <w14:solidFill>
              <w14:schemeClr w14:val="tx1"/>
            </w14:solidFill>
          </w14:textFill>
        </w:rPr>
        <w:t>，于每月</w:t>
      </w:r>
      <w:r>
        <w:rPr>
          <w:rFonts w:hint="default" w:ascii="方正仿宋_GBK" w:eastAsia="方正仿宋_GBK" w:cs="宋体" w:hAnsiTheme="minorHAnsi"/>
          <w:color w:val="000000" w:themeColor="text1"/>
          <w:kern w:val="0"/>
          <w:sz w:val="32"/>
          <w:szCs w:val="32"/>
          <w:lang w:val="en-US" w:eastAsia="zh-CN"/>
          <w14:textFill>
            <w14:solidFill>
              <w14:schemeClr w14:val="tx1"/>
            </w14:solidFill>
          </w14:textFill>
        </w:rPr>
        <w:t>10</w:t>
      </w:r>
      <w:r>
        <w:rPr>
          <w:rFonts w:hint="eastAsia" w:ascii="方正仿宋_GBK" w:eastAsia="方正仿宋_GBK" w:cs="宋体" w:hAnsiTheme="minorHAnsi"/>
          <w:color w:val="000000" w:themeColor="text1"/>
          <w:kern w:val="0"/>
          <w:sz w:val="32"/>
          <w:szCs w:val="32"/>
          <w:lang w:val="en-US" w:eastAsia="zh-CN"/>
          <w14:textFill>
            <w14:solidFill>
              <w14:schemeClr w14:val="tx1"/>
            </w14:solidFill>
          </w14:textFill>
        </w:rPr>
        <w:t>日前报送应急管理部审核把关</w:t>
      </w:r>
      <w:r>
        <w:rPr>
          <w:rFonts w:hint="eastAsia" w:ascii="方正仿宋_GBK" w:eastAsia="方正仿宋_GBK" w:cs="宋体"/>
          <w:color w:val="000000" w:themeColor="text1"/>
          <w:kern w:val="0"/>
          <w:sz w:val="32"/>
          <w:szCs w:val="32"/>
          <w:lang w:val="en-US" w:eastAsia="zh-CN"/>
          <w14:textFill>
            <w14:solidFill>
              <w14:schemeClr w14:val="tx1"/>
            </w14:solidFill>
          </w14:textFill>
        </w:rPr>
        <w:t>后移出。</w:t>
      </w:r>
    </w:p>
    <w:p>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right="0" w:rightChars="0" w:firstLine="632" w:firstLineChars="200"/>
        <w:jc w:val="left"/>
        <w:textAlignment w:val="auto"/>
        <w:outlineLvl w:val="9"/>
        <w:rPr>
          <w:rFonts w:hint="eastAsia" w:ascii="方正仿宋_GBK" w:hAnsi="方正仿宋_GBK" w:eastAsia="方正仿宋_GBK" w:cs="方正仿宋_GBK"/>
          <w:color w:val="000000" w:themeColor="text1"/>
          <w:spacing w:val="8"/>
          <w:sz w:val="32"/>
          <w:szCs w:val="32"/>
          <w:lang w:eastAsia="zh-CN"/>
          <w14:textFill>
            <w14:solidFill>
              <w14:schemeClr w14:val="tx1"/>
            </w14:solidFill>
          </w14:textFill>
        </w:rPr>
      </w:pPr>
      <w:r>
        <w:rPr>
          <w:rFonts w:hint="eastAsia" w:ascii="方正仿宋_GBK" w:eastAsia="方正仿宋_GBK" w:cs="宋体" w:hAnsiTheme="minorHAnsi"/>
          <w:color w:val="000000" w:themeColor="text1"/>
          <w:kern w:val="0"/>
          <w:sz w:val="32"/>
          <w:szCs w:val="32"/>
          <w:lang w:val="en-US" w:eastAsia="zh-CN"/>
          <w14:textFill>
            <w14:solidFill>
              <w14:schemeClr w14:val="tx1"/>
            </w14:solidFill>
          </w14:textFill>
        </w:rPr>
        <w:t>（三）</w:t>
      </w:r>
      <w:r>
        <w:rPr>
          <w:rFonts w:hint="eastAsia" w:ascii="方正仿宋_GBK" w:eastAsia="方正仿宋_GBK" w:cs="宋体"/>
          <w:color w:val="000000" w:themeColor="text1"/>
          <w:kern w:val="0"/>
          <w:sz w:val="32"/>
          <w:szCs w:val="32"/>
          <w:lang w:val="en-US" w:eastAsia="zh-CN"/>
          <w14:textFill>
            <w14:solidFill>
              <w14:schemeClr w14:val="tx1"/>
            </w14:solidFill>
          </w14:textFill>
        </w:rPr>
        <w:t>凡是</w:t>
      </w:r>
      <w:r>
        <w:rPr>
          <w:rFonts w:hint="eastAsia" w:ascii="方正仿宋_GBK" w:eastAsia="方正仿宋_GBK" w:cs="宋体" w:hAnsiTheme="minorHAnsi"/>
          <w:color w:val="000000" w:themeColor="text1"/>
          <w:kern w:val="0"/>
          <w:sz w:val="32"/>
          <w:szCs w:val="32"/>
          <w:lang w:val="en-US" w:eastAsia="zh-CN"/>
          <w14:textFill>
            <w14:solidFill>
              <w14:schemeClr w14:val="tx1"/>
            </w14:solidFill>
          </w14:textFill>
        </w:rPr>
        <w:t>纳入安全生产守信联合激励对象</w:t>
      </w:r>
      <w:r>
        <w:rPr>
          <w:rFonts w:hint="eastAsia" w:ascii="方正仿宋_GBK" w:eastAsia="方正仿宋_GBK" w:cs="宋体"/>
          <w:color w:val="000000" w:themeColor="text1"/>
          <w:kern w:val="0"/>
          <w:sz w:val="32"/>
          <w:szCs w:val="32"/>
          <w:lang w:val="en-US" w:eastAsia="zh-CN"/>
          <w14:textFill>
            <w14:solidFill>
              <w14:schemeClr w14:val="tx1"/>
            </w14:solidFill>
          </w14:textFill>
        </w:rPr>
        <w:t>管理的生产经营单位，其信用信息的归集上报、使用</w:t>
      </w:r>
      <w:r>
        <w:rPr>
          <w:rFonts w:hint="eastAsia" w:ascii="方正仿宋_GBK" w:hAnsi="方正仿宋_GBK" w:eastAsia="方正仿宋_GBK" w:cs="方正仿宋_GBK"/>
          <w:color w:val="000000" w:themeColor="text1"/>
          <w:spacing w:val="8"/>
          <w:sz w:val="32"/>
          <w:szCs w:val="32"/>
          <w:lang w:eastAsia="zh-CN"/>
          <w14:textFill>
            <w14:solidFill>
              <w14:schemeClr w14:val="tx1"/>
            </w14:solidFill>
          </w14:textFill>
        </w:rPr>
        <w:t>查询、触发“红名单”反馈处理措施等，均参照《重庆市应急管理局办公室</w:t>
      </w:r>
      <w:r>
        <w:rPr>
          <w:rFonts w:hint="eastAsia" w:ascii="方正仿宋_GBK" w:eastAsia="方正仿宋_GBK" w:cs="宋体" w:hAnsiTheme="minorHAnsi"/>
          <w:color w:val="000000" w:themeColor="text1"/>
          <w:kern w:val="0"/>
          <w:sz w:val="32"/>
          <w:szCs w:val="32"/>
          <w:lang w:val="en-US" w:eastAsia="zh-CN"/>
          <w14:textFill>
            <w14:solidFill>
              <w14:schemeClr w14:val="tx1"/>
            </w14:solidFill>
          </w14:textFill>
        </w:rPr>
        <w:t>关于进一步加强信用体系建设相关工作的通知</w:t>
      </w:r>
      <w:r>
        <w:rPr>
          <w:rFonts w:hint="eastAsia" w:ascii="方正仿宋_GBK" w:hAnsi="方正仿宋_GBK" w:eastAsia="方正仿宋_GBK" w:cs="方正仿宋_GBK"/>
          <w:color w:val="000000" w:themeColor="text1"/>
          <w:spacing w:val="8"/>
          <w:sz w:val="32"/>
          <w:szCs w:val="32"/>
          <w:lang w:eastAsia="zh-CN"/>
          <w14:textFill>
            <w14:solidFill>
              <w14:schemeClr w14:val="tx1"/>
            </w14:solidFill>
          </w14:textFill>
        </w:rPr>
        <w:t>》（渝应急办</w:t>
      </w:r>
      <w:bookmarkStart w:id="0" w:name="OLE_LINK1"/>
      <w:r>
        <w:rPr>
          <w:rFonts w:hint="eastAsia" w:ascii="方正仿宋_GBK" w:hAnsi="方正仿宋_GBK" w:eastAsia="方正仿宋_GBK" w:cs="方正仿宋_GBK"/>
          <w:color w:val="000000" w:themeColor="text1"/>
          <w:kern w:val="0"/>
          <w:sz w:val="32"/>
          <w:szCs w:val="32"/>
          <w:lang w:val="en-US" w:eastAsia="zh-CN" w:bidi="ar-SA"/>
          <w14:textFill>
            <w14:solidFill>
              <w14:schemeClr w14:val="tx1"/>
            </w14:solidFill>
          </w14:textFill>
        </w:rPr>
        <w:t>〔2019〕</w:t>
      </w:r>
      <w:bookmarkEnd w:id="0"/>
      <w:r>
        <w:rPr>
          <w:rFonts w:hint="eastAsia" w:ascii="方正仿宋_GBK" w:hAnsi="方正仿宋_GBK" w:eastAsia="方正仿宋_GBK" w:cs="方正仿宋_GBK"/>
          <w:color w:val="000000" w:themeColor="text1"/>
          <w:kern w:val="0"/>
          <w:sz w:val="32"/>
          <w:szCs w:val="32"/>
          <w:lang w:val="en-US" w:eastAsia="zh-CN" w:bidi="ar-SA"/>
          <w14:textFill>
            <w14:solidFill>
              <w14:schemeClr w14:val="tx1"/>
            </w14:solidFill>
          </w14:textFill>
        </w:rPr>
        <w:t>5号</w:t>
      </w:r>
      <w:r>
        <w:rPr>
          <w:rFonts w:hint="eastAsia" w:ascii="方正仿宋_GBK" w:hAnsi="方正仿宋_GBK" w:eastAsia="方正仿宋_GBK" w:cs="方正仿宋_GBK"/>
          <w:color w:val="000000" w:themeColor="text1"/>
          <w:spacing w:val="8"/>
          <w:sz w:val="32"/>
          <w:szCs w:val="32"/>
          <w:lang w:eastAsia="zh-CN"/>
          <w14:textFill>
            <w14:solidFill>
              <w14:schemeClr w14:val="tx1"/>
            </w14:solidFill>
          </w14:textFill>
        </w:rPr>
        <w:t>）执行。</w:t>
      </w:r>
    </w:p>
    <w:p>
      <w:pPr>
        <w:pStyle w:val="2"/>
        <w:keepNext w:val="0"/>
        <w:keepLines w:val="0"/>
        <w:pageBreakBefore w:val="0"/>
        <w:widowControl w:val="0"/>
        <w:kinsoku/>
        <w:wordWrap/>
        <w:overflowPunct/>
        <w:topLinePunct w:val="0"/>
        <w:autoSpaceDE w:val="0"/>
        <w:autoSpaceDN w:val="0"/>
        <w:bidi w:val="0"/>
        <w:adjustRightInd w:val="0"/>
        <w:snapToGrid/>
        <w:spacing w:line="300" w:lineRule="exact"/>
        <w:textAlignment w:val="auto"/>
        <w:outlineLvl w:val="9"/>
        <w:rPr>
          <w:rFonts w:hint="eastAsia"/>
          <w:color w:val="000000" w:themeColor="text1"/>
          <w:lang w:val="en-US" w:eastAsia="zh-CN"/>
          <w14:textFill>
            <w14:solidFill>
              <w14:schemeClr w14:val="tx1"/>
            </w14:solidFill>
          </w14:textFill>
        </w:rPr>
      </w:pPr>
    </w:p>
    <w:p>
      <w:pPr>
        <w:keepNext w:val="0"/>
        <w:keepLines w:val="0"/>
        <w:pageBreakBefore w:val="0"/>
        <w:widowControl w:val="0"/>
        <w:pBdr>
          <w:top w:val="single" w:color="auto" w:sz="4" w:space="1"/>
          <w:bottom w:val="single" w:color="auto" w:sz="8" w:space="1"/>
        </w:pBdr>
        <w:shd w:val="clear" w:color="auto" w:fill="auto"/>
        <w:kinsoku/>
        <w:wordWrap/>
        <w:overflowPunct/>
        <w:topLinePunct w:val="0"/>
        <w:bidi w:val="0"/>
        <w:textAlignment w:val="auto"/>
        <w:rPr>
          <w:b w:val="0"/>
          <w:bCs w:val="0"/>
          <w:color w:val="000000" w:themeColor="text1"/>
          <w14:textFill>
            <w14:solidFill>
              <w14:schemeClr w14:val="tx1"/>
            </w14:solidFill>
          </w14:textFill>
        </w:rPr>
      </w:pPr>
      <w:r>
        <w:drawing>
          <wp:anchor distT="0" distB="0" distL="114300" distR="114300" simplePos="0" relativeHeight="251658240" behindDoc="0" locked="0" layoutInCell="1" allowOverlap="1">
            <wp:simplePos x="0" y="0"/>
            <wp:positionH relativeFrom="column">
              <wp:posOffset>3603625</wp:posOffset>
            </wp:positionH>
            <wp:positionV relativeFrom="paragraph">
              <wp:posOffset>424180</wp:posOffset>
            </wp:positionV>
            <wp:extent cx="1790700" cy="552450"/>
            <wp:effectExtent l="0" t="0" r="0" b="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6"/>
                    <a:stretch>
                      <a:fillRect/>
                    </a:stretch>
                  </pic:blipFill>
                  <pic:spPr>
                    <a:xfrm>
                      <a:off x="0" y="0"/>
                      <a:ext cx="1790700" cy="552450"/>
                    </a:xfrm>
                    <a:prstGeom prst="rect">
                      <a:avLst/>
                    </a:prstGeom>
                    <a:noFill/>
                    <a:ln w="9525">
                      <a:noFill/>
                    </a:ln>
                  </pic:spPr>
                </pic:pic>
              </a:graphicData>
            </a:graphic>
          </wp:anchor>
        </w:drawing>
      </w:r>
      <w:r>
        <w:rPr>
          <w:rFonts w:hint="eastAsia"/>
          <w:b w:val="0"/>
          <w:bCs w:val="0"/>
          <w:color w:val="000000" w:themeColor="text1"/>
          <w:sz w:val="28"/>
          <w:szCs w:val="28"/>
          <w14:textFill>
            <w14:solidFill>
              <w14:schemeClr w14:val="tx1"/>
            </w14:solidFill>
          </w14:textFill>
        </w:rPr>
        <w:t xml:space="preserve"> </w:t>
      </w:r>
      <w:r>
        <w:rPr>
          <w:rFonts w:hint="eastAsia" w:ascii="方正仿宋_GBK" w:hAnsi="Times New Roman" w:cs="Times New Roman"/>
          <w:b w:val="0"/>
          <w:bCs w:val="0"/>
          <w:color w:val="000000" w:themeColor="text1"/>
          <w:sz w:val="28"/>
          <w:szCs w:val="28"/>
          <w14:textFill>
            <w14:solidFill>
              <w14:schemeClr w14:val="tx1"/>
            </w14:solidFill>
          </w14:textFill>
        </w:rPr>
        <w:t>重庆市</w:t>
      </w:r>
      <w:r>
        <w:rPr>
          <w:rFonts w:hint="eastAsia" w:ascii="方正仿宋_GBK" w:hAnsi="Times New Roman" w:cs="Times New Roman"/>
          <w:b w:val="0"/>
          <w:bCs w:val="0"/>
          <w:color w:val="000000" w:themeColor="text1"/>
          <w:sz w:val="28"/>
          <w:szCs w:val="28"/>
          <w:lang w:eastAsia="zh-CN"/>
          <w14:textFill>
            <w14:solidFill>
              <w14:schemeClr w14:val="tx1"/>
            </w14:solidFill>
          </w14:textFill>
        </w:rPr>
        <w:t>应急管理局</w:t>
      </w:r>
      <w:r>
        <w:rPr>
          <w:rFonts w:hint="eastAsia" w:ascii="方正仿宋_GBK" w:hAnsi="Times New Roman" w:cs="Times New Roman"/>
          <w:b w:val="0"/>
          <w:bCs w:val="0"/>
          <w:color w:val="000000" w:themeColor="text1"/>
          <w:sz w:val="28"/>
          <w:szCs w:val="28"/>
          <w14:textFill>
            <w14:solidFill>
              <w14:schemeClr w14:val="tx1"/>
            </w14:solidFill>
          </w14:textFill>
        </w:rPr>
        <w:t>办公室</w:t>
      </w:r>
      <w:r>
        <w:rPr>
          <w:rFonts w:hint="eastAsia" w:ascii="方正仿宋_GBK"/>
          <w:b w:val="0"/>
          <w:bCs w:val="0"/>
          <w:color w:val="000000" w:themeColor="text1"/>
          <w:sz w:val="28"/>
          <w:szCs w:val="28"/>
          <w14:textFill>
            <w14:solidFill>
              <w14:schemeClr w14:val="tx1"/>
            </w14:solidFill>
          </w14:textFill>
        </w:rPr>
        <w:t xml:space="preserve">  </w:t>
      </w:r>
      <w:r>
        <w:rPr>
          <w:rFonts w:hint="eastAsia" w:ascii="方正仿宋_GBK"/>
          <w:b w:val="0"/>
          <w:bCs w:val="0"/>
          <w:color w:val="000000" w:themeColor="text1"/>
          <w:sz w:val="28"/>
          <w:szCs w:val="28"/>
          <w:lang w:val="en-US" w:eastAsia="zh-CN"/>
          <w14:textFill>
            <w14:solidFill>
              <w14:schemeClr w14:val="tx1"/>
            </w14:solidFill>
          </w14:textFill>
        </w:rPr>
        <w:t xml:space="preserve">               </w:t>
      </w:r>
      <w:r>
        <w:rPr>
          <w:rFonts w:hint="eastAsia" w:ascii="方正仿宋_GBK"/>
          <w:b w:val="0"/>
          <w:bCs w:val="0"/>
          <w:color w:val="000000" w:themeColor="text1"/>
          <w:sz w:val="28"/>
          <w:szCs w:val="28"/>
          <w14:textFill>
            <w14:solidFill>
              <w14:schemeClr w14:val="tx1"/>
            </w14:solidFill>
          </w14:textFill>
        </w:rPr>
        <w:t xml:space="preserve">  201</w:t>
      </w:r>
      <w:r>
        <w:rPr>
          <w:rFonts w:hint="eastAsia" w:ascii="方正仿宋_GBK"/>
          <w:b w:val="0"/>
          <w:bCs w:val="0"/>
          <w:color w:val="000000" w:themeColor="text1"/>
          <w:sz w:val="28"/>
          <w:szCs w:val="28"/>
          <w:lang w:val="en-US" w:eastAsia="zh-CN"/>
          <w14:textFill>
            <w14:solidFill>
              <w14:schemeClr w14:val="tx1"/>
            </w14:solidFill>
          </w14:textFill>
        </w:rPr>
        <w:t>9</w:t>
      </w:r>
      <w:r>
        <w:rPr>
          <w:rFonts w:hint="eastAsia" w:ascii="方正仿宋_GBK"/>
          <w:b w:val="0"/>
          <w:bCs w:val="0"/>
          <w:color w:val="000000" w:themeColor="text1"/>
          <w:sz w:val="28"/>
          <w:szCs w:val="28"/>
          <w14:textFill>
            <w14:solidFill>
              <w14:schemeClr w14:val="tx1"/>
            </w14:solidFill>
          </w14:textFill>
        </w:rPr>
        <w:t>年</w:t>
      </w:r>
      <w:r>
        <w:rPr>
          <w:rFonts w:hint="eastAsia" w:ascii="方正仿宋_GBK"/>
          <w:b w:val="0"/>
          <w:bCs w:val="0"/>
          <w:color w:val="000000" w:themeColor="text1"/>
          <w:sz w:val="28"/>
          <w:szCs w:val="28"/>
          <w:lang w:val="en-US" w:eastAsia="zh-CN"/>
          <w14:textFill>
            <w14:solidFill>
              <w14:schemeClr w14:val="tx1"/>
            </w14:solidFill>
          </w14:textFill>
        </w:rPr>
        <w:t>4</w:t>
      </w:r>
      <w:r>
        <w:rPr>
          <w:rFonts w:hint="eastAsia" w:ascii="方正仿宋_GBK"/>
          <w:b w:val="0"/>
          <w:bCs w:val="0"/>
          <w:color w:val="000000" w:themeColor="text1"/>
          <w:sz w:val="28"/>
          <w:szCs w:val="28"/>
          <w14:textFill>
            <w14:solidFill>
              <w14:schemeClr w14:val="tx1"/>
            </w14:solidFill>
          </w14:textFill>
        </w:rPr>
        <w:t>月</w:t>
      </w:r>
      <w:r>
        <w:rPr>
          <w:rFonts w:hint="eastAsia" w:ascii="方正仿宋_GBK"/>
          <w:b w:val="0"/>
          <w:bCs w:val="0"/>
          <w:color w:val="000000" w:themeColor="text1"/>
          <w:sz w:val="28"/>
          <w:szCs w:val="28"/>
          <w:lang w:val="en-US" w:eastAsia="zh-CN"/>
          <w14:textFill>
            <w14:solidFill>
              <w14:schemeClr w14:val="tx1"/>
            </w14:solidFill>
          </w14:textFill>
        </w:rPr>
        <w:t>13</w:t>
      </w:r>
      <w:r>
        <w:rPr>
          <w:rFonts w:hint="eastAsia" w:ascii="方正仿宋_GBK"/>
          <w:b w:val="0"/>
          <w:bCs w:val="0"/>
          <w:color w:val="000000" w:themeColor="text1"/>
          <w:sz w:val="28"/>
          <w:szCs w:val="28"/>
          <w14:textFill>
            <w14:solidFill>
              <w14:schemeClr w14:val="tx1"/>
            </w14:solidFill>
          </w14:textFill>
        </w:rPr>
        <w:t>日印</w:t>
      </w:r>
      <w:r>
        <w:rPr>
          <w:rFonts w:hint="eastAsia" w:ascii="方正仿宋_GBK"/>
          <w:b w:val="0"/>
          <w:bCs w:val="0"/>
          <w:color w:val="000000" w:themeColor="text1"/>
          <w:sz w:val="28"/>
          <w:szCs w:val="28"/>
          <w:lang w:eastAsia="zh-CN"/>
          <w14:textFill>
            <w14:solidFill>
              <w14:schemeClr w14:val="tx1"/>
            </w14:solidFill>
          </w14:textFill>
        </w:rPr>
        <w:t>发</w:t>
      </w:r>
    </w:p>
    <w:sectPr>
      <w:footerReference r:id="rId3" w:type="default"/>
      <w:footerReference r:id="rId4" w:type="even"/>
      <w:pgSz w:w="11906" w:h="16838"/>
      <w:pgMar w:top="2098" w:right="1474" w:bottom="1984" w:left="1587" w:header="851" w:footer="1474" w:gutter="0"/>
      <w:pgNumType w:fmt="decimal"/>
      <w:cols w:space="0" w:num="1"/>
      <w:rtlGutter w:val="0"/>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Arial Rounded MT Bold"/>
    <w:panose1 w:val="020F0502020204030204"/>
    <w:charset w:val="00"/>
    <w:family w:val="swiss"/>
    <w:pitch w:val="default"/>
    <w:sig w:usb0="00000000" w:usb1="00000000" w:usb2="00000001" w:usb3="00000000" w:csb0="0000019F" w:csb1="00000000"/>
  </w:font>
  <w:font w:name="方正黑体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仿宋_GB2312">
    <w:altName w:val="仿宋"/>
    <w:panose1 w:val="02010609030101010101"/>
    <w:charset w:val="86"/>
    <w:family w:val="modern"/>
    <w:pitch w:val="default"/>
    <w:sig w:usb0="00000000" w:usb1="0000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Arial Rounded MT Bold">
    <w:panose1 w:val="020F0704030504030204"/>
    <w:charset w:val="00"/>
    <w:family w:val="auto"/>
    <w:pitch w:val="default"/>
    <w:sig w:usb0="00000003" w:usb1="00000000" w:usb2="00000000" w:usb3="00000000" w:csb0="2000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wordWrap w:val="0"/>
      <w:jc w:val="right"/>
      <w:rPr>
        <w:rFonts w:hint="eastAsia" w:eastAsia="方正仿宋_GBK"/>
        <w:lang w:val="en-US" w:eastAsia="zh-CN"/>
      </w:rPr>
    </w:pPr>
    <w:r>
      <w:rPr>
        <w:rFonts w:hint="default" w:ascii="Times New Roman" w:hAnsi="Times New Roman" w:eastAsia="方正仿宋_GBK" w:cs="Times New Roman"/>
        <w:sz w:val="28"/>
        <w:szCs w:val="28"/>
      </w:rPr>
      <w:t xml:space="preserve">— </w:t>
    </w:r>
    <w:r>
      <w:rPr>
        <w:rFonts w:hint="default" w:ascii="Times New Roman" w:hAnsi="Times New Roman" w:eastAsia="方正仿宋_GBK" w:cs="Times New Roman"/>
        <w:sz w:val="28"/>
        <w:szCs w:val="28"/>
      </w:rPr>
      <w:fldChar w:fldCharType="begin"/>
    </w:r>
    <w:r>
      <w:rPr>
        <w:rFonts w:hint="default" w:ascii="Times New Roman" w:hAnsi="Times New Roman" w:eastAsia="方正仿宋_GBK" w:cs="Times New Roman"/>
        <w:sz w:val="28"/>
        <w:szCs w:val="28"/>
      </w:rPr>
      <w:instrText xml:space="preserve">PAGE   \* MERGEFORMAT</w:instrText>
    </w:r>
    <w:r>
      <w:rPr>
        <w:rFonts w:hint="default" w:ascii="Times New Roman" w:hAnsi="Times New Roman" w:eastAsia="方正仿宋_GBK" w:cs="Times New Roman"/>
        <w:sz w:val="28"/>
        <w:szCs w:val="28"/>
      </w:rPr>
      <w:fldChar w:fldCharType="separate"/>
    </w:r>
    <w:r>
      <w:rPr>
        <w:rFonts w:hint="default" w:ascii="Times New Roman" w:hAnsi="Times New Roman" w:eastAsia="方正仿宋_GBK" w:cs="Times New Roman"/>
        <w:sz w:val="28"/>
        <w:szCs w:val="28"/>
        <w:lang w:val="zh-CN"/>
      </w:rPr>
      <w:t>269</w:t>
    </w:r>
    <w:r>
      <w:rPr>
        <w:rFonts w:hint="default" w:ascii="Times New Roman" w:hAnsi="Times New Roman" w:eastAsia="方正仿宋_GBK" w:cs="Times New Roman"/>
        <w:sz w:val="28"/>
        <w:szCs w:val="28"/>
      </w:rPr>
      <w:fldChar w:fldCharType="end"/>
    </w:r>
    <w:r>
      <w:rPr>
        <w:rFonts w:hint="default" w:ascii="Times New Roman" w:hAnsi="Times New Roman" w:eastAsia="方正仿宋_GBK" w:cs="Times New Roman"/>
        <w:sz w:val="28"/>
        <w:szCs w:val="28"/>
      </w:rPr>
      <w:t xml:space="preserve"> —</w:t>
    </w:r>
    <w:r>
      <w:rPr>
        <w:rFonts w:hint="eastAsia" w:ascii="Times New Roman" w:hAnsi="Times New Roman" w:eastAsia="方正仿宋_GBK" w:cs="Times New Roman"/>
        <w:sz w:val="28"/>
        <w:szCs w:val="28"/>
        <w:lang w:val="en-US" w:eastAsia="zh-CN"/>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wordWrap w:val="0"/>
      <w:ind w:firstLine="280" w:firstLineChars="100"/>
    </w:pPr>
    <w:r>
      <w:rPr>
        <w:rFonts w:hint="default" w:ascii="Times New Roman" w:hAnsi="Times New Roman" w:eastAsia="方正仿宋_GBK" w:cs="Times New Roman"/>
        <w:sz w:val="28"/>
        <w:szCs w:val="28"/>
      </w:rPr>
      <w:t xml:space="preserve">— </w:t>
    </w:r>
    <w:r>
      <w:rPr>
        <w:rFonts w:hint="default" w:ascii="Times New Roman" w:hAnsi="Times New Roman" w:eastAsia="方正仿宋_GBK" w:cs="Times New Roman"/>
        <w:sz w:val="28"/>
        <w:szCs w:val="28"/>
      </w:rPr>
      <w:fldChar w:fldCharType="begin"/>
    </w:r>
    <w:r>
      <w:rPr>
        <w:rFonts w:hint="default" w:ascii="Times New Roman" w:hAnsi="Times New Roman" w:eastAsia="方正仿宋_GBK" w:cs="Times New Roman"/>
        <w:sz w:val="28"/>
        <w:szCs w:val="28"/>
      </w:rPr>
      <w:instrText xml:space="preserve">PAGE   \* MERGEFORMAT</w:instrText>
    </w:r>
    <w:r>
      <w:rPr>
        <w:rFonts w:hint="default" w:ascii="Times New Roman" w:hAnsi="Times New Roman" w:eastAsia="方正仿宋_GBK" w:cs="Times New Roman"/>
        <w:sz w:val="28"/>
        <w:szCs w:val="28"/>
      </w:rPr>
      <w:fldChar w:fldCharType="separate"/>
    </w:r>
    <w:r>
      <w:rPr>
        <w:rFonts w:hint="default" w:ascii="Times New Roman" w:hAnsi="Times New Roman" w:eastAsia="方正仿宋_GBK" w:cs="Times New Roman"/>
        <w:sz w:val="28"/>
        <w:szCs w:val="28"/>
        <w:lang w:val="zh-CN"/>
      </w:rPr>
      <w:t>269</w:t>
    </w:r>
    <w:r>
      <w:rPr>
        <w:rFonts w:hint="default" w:ascii="Times New Roman" w:hAnsi="Times New Roman" w:eastAsia="方正仿宋_GBK" w:cs="Times New Roman"/>
        <w:sz w:val="28"/>
        <w:szCs w:val="28"/>
      </w:rPr>
      <w:fldChar w:fldCharType="end"/>
    </w:r>
    <w:r>
      <w:rPr>
        <w:rFonts w:hint="default" w:ascii="Times New Roman" w:hAnsi="Times New Roman" w:eastAsia="方正仿宋_GBK" w:cs="Times New Roman"/>
        <w:sz w:val="28"/>
        <w:szCs w:val="28"/>
      </w:rPr>
      <w:t xml:space="preserve"> —</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evenAndOddHeaders w:val="1"/>
  <w:drawingGridHorizontalSpacing w:val="158"/>
  <w:drawingGridVerticalSpacing w:val="290"/>
  <w:displayHorizontalDrawingGridEvery w:val="2"/>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1791"/>
    <w:rsid w:val="00007E6D"/>
    <w:rsid w:val="00027416"/>
    <w:rsid w:val="00033148"/>
    <w:rsid w:val="000442A4"/>
    <w:rsid w:val="00053D0D"/>
    <w:rsid w:val="0005414C"/>
    <w:rsid w:val="0006196A"/>
    <w:rsid w:val="00063C7E"/>
    <w:rsid w:val="000737B0"/>
    <w:rsid w:val="00095EBD"/>
    <w:rsid w:val="000E25DD"/>
    <w:rsid w:val="000E536E"/>
    <w:rsid w:val="000E6C30"/>
    <w:rsid w:val="000F5392"/>
    <w:rsid w:val="00101B67"/>
    <w:rsid w:val="00107CB6"/>
    <w:rsid w:val="001213F8"/>
    <w:rsid w:val="0012462F"/>
    <w:rsid w:val="0012595F"/>
    <w:rsid w:val="001328D3"/>
    <w:rsid w:val="00135169"/>
    <w:rsid w:val="0014652C"/>
    <w:rsid w:val="0015210D"/>
    <w:rsid w:val="0016070D"/>
    <w:rsid w:val="001737CF"/>
    <w:rsid w:val="00174576"/>
    <w:rsid w:val="00174817"/>
    <w:rsid w:val="001A3895"/>
    <w:rsid w:val="001A3A7D"/>
    <w:rsid w:val="001A5D35"/>
    <w:rsid w:val="001A6132"/>
    <w:rsid w:val="001C4BC9"/>
    <w:rsid w:val="001C6134"/>
    <w:rsid w:val="001D0989"/>
    <w:rsid w:val="001D1401"/>
    <w:rsid w:val="001F6498"/>
    <w:rsid w:val="0022213B"/>
    <w:rsid w:val="00233A19"/>
    <w:rsid w:val="00236B82"/>
    <w:rsid w:val="0026344B"/>
    <w:rsid w:val="002713CF"/>
    <w:rsid w:val="00271E82"/>
    <w:rsid w:val="002958E6"/>
    <w:rsid w:val="00295F7A"/>
    <w:rsid w:val="00296436"/>
    <w:rsid w:val="002B6AF9"/>
    <w:rsid w:val="002C4AE4"/>
    <w:rsid w:val="002D1284"/>
    <w:rsid w:val="002E1154"/>
    <w:rsid w:val="002F4546"/>
    <w:rsid w:val="002F55DC"/>
    <w:rsid w:val="00307BB9"/>
    <w:rsid w:val="00312535"/>
    <w:rsid w:val="00335950"/>
    <w:rsid w:val="00342630"/>
    <w:rsid w:val="00346A7E"/>
    <w:rsid w:val="00366D2A"/>
    <w:rsid w:val="00380593"/>
    <w:rsid w:val="00382DD6"/>
    <w:rsid w:val="00387F91"/>
    <w:rsid w:val="003A60FD"/>
    <w:rsid w:val="003B0C91"/>
    <w:rsid w:val="003C5E8F"/>
    <w:rsid w:val="003D3469"/>
    <w:rsid w:val="003F5632"/>
    <w:rsid w:val="004118B7"/>
    <w:rsid w:val="004310AA"/>
    <w:rsid w:val="00435006"/>
    <w:rsid w:val="00441F78"/>
    <w:rsid w:val="004425B3"/>
    <w:rsid w:val="00451115"/>
    <w:rsid w:val="004A5FAF"/>
    <w:rsid w:val="004B0909"/>
    <w:rsid w:val="004C3E36"/>
    <w:rsid w:val="00521815"/>
    <w:rsid w:val="005412AF"/>
    <w:rsid w:val="00574CA0"/>
    <w:rsid w:val="00575573"/>
    <w:rsid w:val="00590C3B"/>
    <w:rsid w:val="005D70D0"/>
    <w:rsid w:val="005F2B01"/>
    <w:rsid w:val="0060122A"/>
    <w:rsid w:val="00605040"/>
    <w:rsid w:val="00610C6C"/>
    <w:rsid w:val="00630D01"/>
    <w:rsid w:val="00670F64"/>
    <w:rsid w:val="00673A00"/>
    <w:rsid w:val="00687BFA"/>
    <w:rsid w:val="006E632F"/>
    <w:rsid w:val="006F51B3"/>
    <w:rsid w:val="006F5CF4"/>
    <w:rsid w:val="0071070B"/>
    <w:rsid w:val="0071646F"/>
    <w:rsid w:val="00726D91"/>
    <w:rsid w:val="00750A1D"/>
    <w:rsid w:val="00797AFD"/>
    <w:rsid w:val="007A6BAD"/>
    <w:rsid w:val="007C1791"/>
    <w:rsid w:val="00800562"/>
    <w:rsid w:val="00803AC1"/>
    <w:rsid w:val="0081149F"/>
    <w:rsid w:val="00826A87"/>
    <w:rsid w:val="00862475"/>
    <w:rsid w:val="008651D1"/>
    <w:rsid w:val="00877844"/>
    <w:rsid w:val="008844A6"/>
    <w:rsid w:val="00890341"/>
    <w:rsid w:val="008928C9"/>
    <w:rsid w:val="0089438C"/>
    <w:rsid w:val="008A7CF5"/>
    <w:rsid w:val="008C286A"/>
    <w:rsid w:val="008C5BD7"/>
    <w:rsid w:val="008D5BC5"/>
    <w:rsid w:val="009062AC"/>
    <w:rsid w:val="00911BF2"/>
    <w:rsid w:val="00921CB9"/>
    <w:rsid w:val="009324A3"/>
    <w:rsid w:val="009341D1"/>
    <w:rsid w:val="00973C59"/>
    <w:rsid w:val="00974031"/>
    <w:rsid w:val="009A2D42"/>
    <w:rsid w:val="009C370F"/>
    <w:rsid w:val="009D26F5"/>
    <w:rsid w:val="009D48A9"/>
    <w:rsid w:val="009D7670"/>
    <w:rsid w:val="009E4827"/>
    <w:rsid w:val="009F5083"/>
    <w:rsid w:val="00A10DF7"/>
    <w:rsid w:val="00A11F45"/>
    <w:rsid w:val="00A1326E"/>
    <w:rsid w:val="00A17F13"/>
    <w:rsid w:val="00A202E2"/>
    <w:rsid w:val="00A455B0"/>
    <w:rsid w:val="00A505BD"/>
    <w:rsid w:val="00A55E98"/>
    <w:rsid w:val="00AA01F5"/>
    <w:rsid w:val="00AA45A1"/>
    <w:rsid w:val="00AB6F0E"/>
    <w:rsid w:val="00AC475B"/>
    <w:rsid w:val="00B11B78"/>
    <w:rsid w:val="00B23E12"/>
    <w:rsid w:val="00B32097"/>
    <w:rsid w:val="00B37EB6"/>
    <w:rsid w:val="00B45D2D"/>
    <w:rsid w:val="00BB22D4"/>
    <w:rsid w:val="00BC702F"/>
    <w:rsid w:val="00BE5A72"/>
    <w:rsid w:val="00C26018"/>
    <w:rsid w:val="00C818E2"/>
    <w:rsid w:val="00CC67FF"/>
    <w:rsid w:val="00CD3033"/>
    <w:rsid w:val="00CE1BAE"/>
    <w:rsid w:val="00CF4243"/>
    <w:rsid w:val="00D1023D"/>
    <w:rsid w:val="00D41AFB"/>
    <w:rsid w:val="00D42987"/>
    <w:rsid w:val="00D530F0"/>
    <w:rsid w:val="00D57D55"/>
    <w:rsid w:val="00D72A3A"/>
    <w:rsid w:val="00D73916"/>
    <w:rsid w:val="00D779D8"/>
    <w:rsid w:val="00D82E2F"/>
    <w:rsid w:val="00D879AC"/>
    <w:rsid w:val="00DA7AC1"/>
    <w:rsid w:val="00DB12DA"/>
    <w:rsid w:val="00DE582B"/>
    <w:rsid w:val="00E10E54"/>
    <w:rsid w:val="00E23405"/>
    <w:rsid w:val="00E3334D"/>
    <w:rsid w:val="00E442FC"/>
    <w:rsid w:val="00E45EF1"/>
    <w:rsid w:val="00E468E4"/>
    <w:rsid w:val="00E553F9"/>
    <w:rsid w:val="00E75576"/>
    <w:rsid w:val="00EF2718"/>
    <w:rsid w:val="00EF668F"/>
    <w:rsid w:val="00F001C7"/>
    <w:rsid w:val="00F05E27"/>
    <w:rsid w:val="00F20C01"/>
    <w:rsid w:val="00F55505"/>
    <w:rsid w:val="00F70576"/>
    <w:rsid w:val="00F71002"/>
    <w:rsid w:val="00F77872"/>
    <w:rsid w:val="00FA2250"/>
    <w:rsid w:val="00FA6A7A"/>
    <w:rsid w:val="00FB00FD"/>
    <w:rsid w:val="00FB24BB"/>
    <w:rsid w:val="00FD13FD"/>
    <w:rsid w:val="00FE1F79"/>
    <w:rsid w:val="00FE7B29"/>
    <w:rsid w:val="090619D5"/>
    <w:rsid w:val="23865F61"/>
    <w:rsid w:val="24E03D58"/>
    <w:rsid w:val="2CF13C96"/>
    <w:rsid w:val="352E639D"/>
    <w:rsid w:val="374B4008"/>
    <w:rsid w:val="41AC3C1C"/>
    <w:rsid w:val="43832DF6"/>
    <w:rsid w:val="43B5187C"/>
    <w:rsid w:val="43F215FE"/>
    <w:rsid w:val="4797672E"/>
    <w:rsid w:val="4C9F6985"/>
    <w:rsid w:val="4D9539BB"/>
    <w:rsid w:val="50EC2C20"/>
    <w:rsid w:val="516B693A"/>
    <w:rsid w:val="553A4F61"/>
    <w:rsid w:val="563E654A"/>
    <w:rsid w:val="583C5247"/>
    <w:rsid w:val="6402367B"/>
    <w:rsid w:val="6E725EAF"/>
    <w:rsid w:val="719A3A64"/>
    <w:rsid w:val="79BB28C2"/>
    <w:rsid w:val="7A5453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方正仿宋_GBK" w:cs="Times New Roman"/>
      <w:kern w:val="2"/>
      <w:sz w:val="32"/>
      <w:szCs w:val="20"/>
      <w:lang w:val="en-US" w:eastAsia="zh-CN" w:bidi="ar-SA"/>
    </w:rPr>
  </w:style>
  <w:style w:type="character" w:default="1" w:styleId="8">
    <w:name w:val="Default Paragraph Font"/>
    <w:semiHidden/>
    <w:unhideWhenUsed/>
    <w:uiPriority w:val="1"/>
  </w:style>
  <w:style w:type="table" w:default="1" w:styleId="10">
    <w:name w:val="Normal Table"/>
    <w:semiHidden/>
    <w:unhideWhenUsed/>
    <w:uiPriority w:val="99"/>
    <w:tblPr>
      <w:tblLayout w:type="fixed"/>
      <w:tblCellMar>
        <w:top w:w="0" w:type="dxa"/>
        <w:left w:w="108" w:type="dxa"/>
        <w:bottom w:w="0" w:type="dxa"/>
        <w:right w:w="108" w:type="dxa"/>
      </w:tblCellMar>
    </w:tblPr>
  </w:style>
  <w:style w:type="paragraph" w:customStyle="1" w:styleId="2">
    <w:name w:val="Default"/>
    <w:unhideWhenUsed/>
    <w:qFormat/>
    <w:uiPriority w:val="0"/>
    <w:pPr>
      <w:widowControl w:val="0"/>
      <w:autoSpaceDE w:val="0"/>
      <w:autoSpaceDN w:val="0"/>
      <w:adjustRightInd w:val="0"/>
    </w:pPr>
    <w:rPr>
      <w:rFonts w:hint="eastAsia" w:ascii="方正黑体_GBK" w:hAnsi="Times New Roman" w:eastAsia="方正黑体_GBK" w:cs="Times New Roman"/>
      <w:color w:val="000000"/>
      <w:sz w:val="24"/>
      <w:szCs w:val="22"/>
      <w:lang w:val="en-US" w:eastAsia="zh-CN" w:bidi="ar-SA"/>
    </w:rPr>
  </w:style>
  <w:style w:type="paragraph" w:styleId="3">
    <w:name w:val="Balloon Text"/>
    <w:basedOn w:val="1"/>
    <w:link w:val="13"/>
    <w:semiHidden/>
    <w:unhideWhenUsed/>
    <w:qFormat/>
    <w:uiPriority w:val="99"/>
    <w:rPr>
      <w:sz w:val="18"/>
      <w:szCs w:val="18"/>
    </w:rPr>
  </w:style>
  <w:style w:type="paragraph" w:styleId="4">
    <w:name w:val="footer"/>
    <w:basedOn w:val="1"/>
    <w:link w:val="12"/>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5">
    <w:name w:val="header"/>
    <w:basedOn w:val="1"/>
    <w:link w:val="11"/>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6">
    <w:name w:val="Normal (Web)"/>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styleId="7">
    <w:name w:val="Title"/>
    <w:basedOn w:val="1"/>
    <w:next w:val="1"/>
    <w:qFormat/>
    <w:uiPriority w:val="0"/>
    <w:pPr>
      <w:spacing w:before="480" w:after="360"/>
      <w:jc w:val="center"/>
    </w:pPr>
    <w:rPr>
      <w:rFonts w:ascii="Arial" w:hAnsi="Arial" w:eastAsia="华文中宋" w:cs="Arial"/>
      <w:bCs/>
      <w:sz w:val="36"/>
      <w:szCs w:val="36"/>
    </w:rPr>
  </w:style>
  <w:style w:type="character" w:styleId="9">
    <w:name w:val="Hyperlink"/>
    <w:basedOn w:val="8"/>
    <w:semiHidden/>
    <w:unhideWhenUsed/>
    <w:qFormat/>
    <w:uiPriority w:val="99"/>
    <w:rPr>
      <w:color w:val="0000FF"/>
      <w:u w:val="single"/>
    </w:rPr>
  </w:style>
  <w:style w:type="character" w:customStyle="1" w:styleId="11">
    <w:name w:val="页眉 Char"/>
    <w:basedOn w:val="8"/>
    <w:link w:val="5"/>
    <w:qFormat/>
    <w:uiPriority w:val="99"/>
    <w:rPr>
      <w:sz w:val="18"/>
      <w:szCs w:val="18"/>
    </w:rPr>
  </w:style>
  <w:style w:type="character" w:customStyle="1" w:styleId="12">
    <w:name w:val="页脚 Char"/>
    <w:basedOn w:val="8"/>
    <w:link w:val="4"/>
    <w:qFormat/>
    <w:uiPriority w:val="99"/>
    <w:rPr>
      <w:sz w:val="18"/>
      <w:szCs w:val="18"/>
    </w:rPr>
  </w:style>
  <w:style w:type="character" w:customStyle="1" w:styleId="13">
    <w:name w:val="批注框文本 Char"/>
    <w:basedOn w:val="8"/>
    <w:link w:val="3"/>
    <w:semiHidden/>
    <w:qFormat/>
    <w:uiPriority w:val="99"/>
    <w:rPr>
      <w:rFonts w:ascii="Times New Roman" w:hAnsi="Times New Roman" w:eastAsia="宋体" w:cs="Times New Roman"/>
      <w:sz w:val="18"/>
      <w:szCs w:val="18"/>
    </w:rPr>
  </w:style>
  <w:style w:type="paragraph" w:customStyle="1" w:styleId="14">
    <w:name w:val="正文段落"/>
    <w:basedOn w:val="1"/>
    <w:qFormat/>
    <w:uiPriority w:val="0"/>
    <w:pPr>
      <w:ind w:firstLine="635"/>
    </w:pPr>
    <w:rPr>
      <w:rFonts w:eastAsia="仿宋_GB2312"/>
      <w:spacing w:val="-3"/>
      <w:sz w:val="32"/>
      <w:szCs w:val="3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ITianKong.Com</Company>
  <Pages>3</Pages>
  <Words>192</Words>
  <Characters>1095</Characters>
  <Lines>9</Lines>
  <Paragraphs>2</Paragraphs>
  <TotalTime>1</TotalTime>
  <ScaleCrop>false</ScaleCrop>
  <LinksUpToDate>false</LinksUpToDate>
  <CharactersWithSpaces>1285</CharactersWithSpaces>
  <Application>WPS Office_10.8.2.6613_F1E327BC-269C-435d-A152-05C5408002CA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2019-04-02T02:13:00Z</dcterms:created>
  <dc:creator>SkyUser</dc:creator>
  <cp:lastModifiedBy>市安监局办公室</cp:lastModifiedBy>
  <cp:lastPrinted>2019-04-04T06:56:00Z</cp:lastPrinted>
  <dcterms:modified xsi:type="dcterms:W3CDTF">2019-04-13T02:08:47Z</dcterms:modified>
  <cp:revision>284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2052-10.8.2.6613</vt:lpwstr>
  </property>
</Properties>
</file>