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进口饲料和饲料添加剂风险级别划分范围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及相应检验检疫监管措施清单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jc w:val="center"/>
        <w:tblW w:w="11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314"/>
        <w:gridCol w:w="1826"/>
        <w:gridCol w:w="1417"/>
        <w:gridCol w:w="6500"/>
      </w:tblGrid>
      <w:tr>
        <w:trPr>
          <w:tblHeader/>
        </w:trPr>
        <w:tc>
          <w:tcPr>
            <w:tcW w:w="742" w:type="dxa"/>
            <w:vAlign w:val="center"/>
          </w:tcPr>
          <w:p>
            <w:pPr>
              <w:spacing w:line="300" w:lineRule="exact"/>
              <w:jc w:val="center"/>
              <w:rPr>
                <w:rFonts w:eastAsia="方正黑体简体"/>
                <w:sz w:val="24"/>
              </w:rPr>
            </w:pPr>
            <w:r>
              <w:rPr>
                <w:rFonts w:eastAsia="方正黑体简体"/>
                <w:sz w:val="24"/>
              </w:rPr>
              <w:t>类别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方正黑体简体"/>
                <w:sz w:val="24"/>
              </w:rPr>
            </w:pPr>
            <w:r>
              <w:rPr>
                <w:rFonts w:eastAsia="方正黑体简体"/>
                <w:sz w:val="24"/>
              </w:rPr>
              <w:t>范     围</w:t>
            </w:r>
          </w:p>
        </w:tc>
        <w:tc>
          <w:tcPr>
            <w:tcW w:w="1417" w:type="dxa"/>
          </w:tcPr>
          <w:p>
            <w:pPr>
              <w:spacing w:line="300" w:lineRule="exact"/>
              <w:ind w:firstLineChars="50" w:firstLine="130"/>
              <w:jc w:val="center"/>
              <w:rPr>
                <w:rFonts w:eastAsia="方正黑体简体"/>
                <w:spacing w:val="10"/>
                <w:sz w:val="24"/>
              </w:rPr>
            </w:pPr>
            <w:r>
              <w:rPr>
                <w:rFonts w:eastAsia="方正黑体简体"/>
                <w:spacing w:val="10"/>
                <w:sz w:val="24"/>
              </w:rPr>
              <w:t>风险级别</w:t>
            </w:r>
          </w:p>
        </w:tc>
        <w:tc>
          <w:tcPr>
            <w:tcW w:w="6500" w:type="dxa"/>
          </w:tcPr>
          <w:p>
            <w:pPr>
              <w:spacing w:line="300" w:lineRule="exact"/>
              <w:ind w:firstLineChars="50" w:firstLine="130"/>
              <w:jc w:val="center"/>
              <w:rPr>
                <w:rFonts w:eastAsia="方正黑体简体"/>
                <w:spacing w:val="10"/>
                <w:sz w:val="24"/>
              </w:rPr>
            </w:pPr>
            <w:r>
              <w:rPr>
                <w:rFonts w:eastAsia="方正黑体简体"/>
                <w:spacing w:val="10"/>
                <w:sz w:val="24"/>
              </w:rPr>
              <w:t>进口检验检疫监管措施</w:t>
            </w:r>
          </w:p>
        </w:tc>
      </w:tr>
      <w:tr>
        <w:trPr>
          <w:trHeight w:val="233"/>
        </w:trPr>
        <w:tc>
          <w:tcPr>
            <w:tcW w:w="74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动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物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源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饲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料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饵料用活动物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Ⅰ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进口前应办理进境动植物检疫审批；要求随附输出国家/地区官方出具的检疫证书，进口时实施检验检疫；对进口后的隔离、加工场所实施检疫监督。</w:t>
            </w:r>
          </w:p>
        </w:tc>
      </w:tr>
      <w:t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饲料用（含饵料用）冰鲜冷冻陆生动物产品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Ⅰ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进口前应办理进境动植物检疫审批；要求随附输出国家/地区官方出具的检疫证书，进口时实施检验检疫；对进口后的加工场所实施检疫监督。</w:t>
            </w:r>
          </w:p>
        </w:tc>
      </w:tr>
      <w:tr>
        <w:trPr>
          <w:trHeight w:val="341"/>
        </w:trP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饲料用（含饵料用）水产品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345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加工动物蛋白及油脂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鱼粉、鱼油、水产品渣粉、乳粉、乳清粉、明胶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</w:p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855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Ⅱ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进口前应办理进境动植物检疫审批（另有规定的按照相关要求执行）；要求随附输出国家/地区官方出具的检疫证书，进口时实施检验检疫。</w:t>
            </w:r>
          </w:p>
        </w:tc>
      </w:tr>
      <w:tr>
        <w:trPr>
          <w:trHeight w:val="240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宠物食品和咬胶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生的宠物食品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Ⅰ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进口前应办理进境动植物检疫审批；要求随附输出国家/地区官方出具的检疫证书，进口时实施检验检疫；对进口后的加工场所实施检疫监督。</w:t>
            </w:r>
          </w:p>
        </w:tc>
      </w:tr>
      <w:tr>
        <w:trPr>
          <w:trHeight w:val="172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罐头类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728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Ⅱ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进口前应办理进境动植物检疫审批（另有规定的按照相关要求执行）；要求随附输出国家/地区官方出具的检疫证书，进口时实施检验检疫。</w:t>
            </w:r>
          </w:p>
        </w:tc>
      </w:tr>
      <w:tr>
        <w:tc>
          <w:tcPr>
            <w:tcW w:w="742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植</w:t>
            </w:r>
          </w:p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物</w:t>
            </w:r>
          </w:p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源</w:t>
            </w:r>
          </w:p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</w:t>
            </w:r>
          </w:p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饲</w:t>
            </w:r>
          </w:p>
          <w:p>
            <w:pPr>
              <w:spacing w:line="28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料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饲料粮谷类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Ⅰ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进口前应办理进境动植物检疫审批；要求随附输出国家/地区官方出具的检疫证书，进口时实施检验检疫；对进口后的加工场所实施检疫监督。</w:t>
            </w:r>
          </w:p>
        </w:tc>
      </w:tr>
      <w:t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饲料用草籽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Ⅰ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进口前应办理进境动植物检疫审批；要求随附输出国家/地区官方出具的检疫证书，进口时实施检验检疫；对进口后的加工场所实施检疫监督。</w:t>
            </w:r>
          </w:p>
        </w:tc>
      </w:tr>
      <w:tr>
        <w:trPr>
          <w:trHeight w:val="560"/>
        </w:trP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饲草类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Cs w:val="21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135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加工植物蛋白、</w:t>
            </w:r>
          </w:p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糠麸饼粕渣类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Cs w:val="21"/>
              </w:rPr>
              <w:t>原料小麦来自小麦矮腥黑穗病菌（TCK）疫区，进口前未实施有效除害处理的麦麸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Ⅱ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要求随附输出国家/地区官方出具的检疫证书，进口时实施检验检疫；对进口后的加工场所实施检疫监督。</w:t>
            </w:r>
          </w:p>
        </w:tc>
      </w:tr>
      <w:tr>
        <w:trPr>
          <w:trHeight w:val="135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Cs w:val="21"/>
              </w:rPr>
              <w:t>原料小麦来自小麦矮腥黑穗病菌（TCK）疫区，进口前已实施有效除害处理的麦麸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Cs w:val="21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135"/>
        </w:trPr>
        <w:tc>
          <w:tcPr>
            <w:tcW w:w="742" w:type="dxa"/>
            <w:vMerge/>
            <w:vAlign w:val="center"/>
          </w:tcPr>
          <w:p/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Cs w:val="21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青贮料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271"/>
        </w:trPr>
        <w:tc>
          <w:tcPr>
            <w:tcW w:w="742" w:type="dxa"/>
            <w:vMerge/>
            <w:vAlign w:val="center"/>
          </w:tcPr>
          <w:p/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植物粉类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c>
          <w:tcPr>
            <w:tcW w:w="3882" w:type="dxa"/>
            <w:gridSpan w:val="3"/>
            <w:tcBorders>
              <w:bottom w:val="single" w:sz="4" w:space="0" w:color="FF000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配合饲料、浓缩饲料、精料补充料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Ⅱ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进口前应办理进境动植物检疫审批（另有规定的按照相关要求执行）；要求随附输出国家/地区官方出具的检疫证书，进口时实施检验检疫。</w:t>
            </w:r>
          </w:p>
        </w:tc>
      </w:tr>
      <w:tr>
        <w:trPr>
          <w:trHeight w:val="297"/>
        </w:trPr>
        <w:tc>
          <w:tcPr>
            <w:tcW w:w="2056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饲料添加剂</w:t>
            </w:r>
          </w:p>
        </w:tc>
        <w:tc>
          <w:tcPr>
            <w:tcW w:w="1826" w:type="dxa"/>
            <w:tcBorders>
              <w:bottom w:val="single" w:sz="4" w:space="0" w:color="FF0000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含动物源性成份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pacing w:val="-6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Ⅲ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424"/>
        </w:trPr>
        <w:tc>
          <w:tcPr>
            <w:tcW w:w="2056" w:type="dxa"/>
            <w:gridSpan w:val="2"/>
            <w:vMerge/>
            <w:vAlign w:val="center"/>
          </w:tcPr>
          <w:p/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不含动物源性成分但含植物源性成份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pacing w:val="-6"/>
                <w:sz w:val="24"/>
              </w:rPr>
            </w:pPr>
            <w:r>
              <w:rPr>
                <w:rFonts w:eastAsia="方正仿宋简体"/>
                <w:color w:val="000000"/>
                <w:spacing w:val="-6"/>
                <w:sz w:val="24"/>
              </w:rPr>
              <w:t>按所含的植物源性成份分级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300" w:lineRule="exac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参照对应植物源性成份的监管方式。</w:t>
            </w:r>
          </w:p>
        </w:tc>
      </w:tr>
      <w:tr>
        <w:trPr>
          <w:trHeight w:val="225"/>
        </w:trPr>
        <w:tc>
          <w:tcPr>
            <w:tcW w:w="2056" w:type="dxa"/>
            <w:gridSpan w:val="2"/>
            <w:vMerge/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</w:tcBorders>
            <w:vAlign w:val="center"/>
          </w:tcPr>
          <w:p>
            <w:pPr>
              <w:tabs>
                <w:tab w:val="left" w:pos="675"/>
              </w:tabs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Ⅳ级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>进口时实施检验检疫。</w:t>
            </w:r>
          </w:p>
        </w:tc>
      </w:tr>
      <w:tr>
        <w:trPr>
          <w:trHeight w:val="225"/>
        </w:trPr>
        <w:tc>
          <w:tcPr>
            <w:tcW w:w="2056" w:type="dxa"/>
            <w:gridSpan w:val="2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添加剂预混合饲料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含动物源性成份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Ⅱ</w:t>
            </w:r>
            <w:r>
              <w:rPr>
                <w:rFonts w:eastAsia="方正仿宋简体"/>
                <w:color w:val="000000"/>
                <w:sz w:val="24"/>
              </w:rPr>
              <w:t>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jc w:val="lef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进口前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应办理进境动植物检疫审批</w:t>
            </w:r>
            <w:r>
              <w:rPr>
                <w:rFonts w:eastAsia="方正仿宋简体"/>
                <w:color w:val="000000"/>
                <w:sz w:val="24"/>
              </w:rPr>
              <w:t>（另有规定的按照相关要求执行）；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要求随附输出国家/地区官方出具的检疫证书，进口时实施检验检疫。</w:t>
            </w:r>
          </w:p>
        </w:tc>
      </w:tr>
      <w:tr>
        <w:trPr>
          <w:trHeight w:val="225"/>
        </w:trPr>
        <w:tc>
          <w:tcPr>
            <w:tcW w:w="2056" w:type="dxa"/>
            <w:gridSpan w:val="2"/>
            <w:vMerge/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不含动物源性成分但含植物源性成份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按所含的植物源性成份分级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jc w:val="lef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参照对应植物源性成份的监管方式。</w:t>
            </w:r>
          </w:p>
        </w:tc>
      </w:tr>
      <w:tr>
        <w:trPr>
          <w:trHeight w:val="225"/>
        </w:trPr>
        <w:tc>
          <w:tcPr>
            <w:tcW w:w="2056" w:type="dxa"/>
            <w:gridSpan w:val="2"/>
            <w:vMerge/>
            <w:vAlign w:val="center"/>
          </w:tcPr>
          <w:p/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280" w:lineRule="exact"/>
              <w:jc w:val="center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Ⅳ级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80" w:lineRule="exact"/>
              <w:jc w:val="lef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进口时实施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检验</w:t>
            </w:r>
            <w:r>
              <w:rPr>
                <w:rFonts w:eastAsia="方正仿宋简体"/>
                <w:color w:val="000000"/>
                <w:sz w:val="24"/>
              </w:rPr>
              <w:t>检疫。</w:t>
            </w:r>
          </w:p>
        </w:tc>
      </w:tr>
      <w:tr>
        <w:trPr>
          <w:trHeight w:val="1132"/>
        </w:trPr>
        <w:tc>
          <w:tcPr>
            <w:tcW w:w="11799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pStyle w:val="113"/>
              <w:spacing w:line="300" w:lineRule="exact"/>
              <w:ind w:left="0"/>
              <w:jc w:val="left"/>
              <w:rPr>
                <w:rFonts w:eastAsia="方正仿宋简体"/>
                <w:color w:val="000000"/>
                <w:kern w:val="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>注：1.对于出口饲料和饲料添加剂，</w:t>
            </w:r>
            <w:r>
              <w:rPr>
                <w:rFonts w:eastAsia="方正仿宋简体"/>
                <w:color w:val="000000"/>
                <w:kern w:val="0"/>
                <w:sz w:val="24"/>
              </w:rPr>
              <w:t>进口国家或地区有检验检疫要求的，应符合相关要求。</w:t>
            </w:r>
          </w:p>
          <w:p>
            <w:pPr>
              <w:pStyle w:val="113"/>
              <w:spacing w:line="300" w:lineRule="exact"/>
              <w:ind w:left="0"/>
              <w:jc w:val="lef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kern w:val="0"/>
                <w:sz w:val="24"/>
              </w:rPr>
              <w:t xml:space="preserve">    2.对于进口饲料及饲料添加剂，需实施检疫准入、境外企业注册登记管理的，海关总署按照规定公布有关信息并实施动态管理。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方正黑体简体">
    <w:altName w:val="方正黑体_GBK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方正仿宋简体">
    <w:altName w:val="方正仿宋_GBK"/>
    <w:panose1 w:val="00000000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cs="Arial" w:hAnsi="Calibri"/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cs="Arial" w:hAnsi="Calibri"/>
      <w:sz w:val="18"/>
      <w:szCs w:val="18"/>
    </w:rPr>
  </w:style>
  <w:style w:type="paragraph" w:customStyle="1" w:styleId="17">
    <w:name w:val="Revision"/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List Paragraph"/>
    <w:basedOn w:val="0"/>
    <w:pPr>
      <w:ind w:firstLineChars="200" w:firstLine="200"/>
    </w:pPr>
  </w:style>
  <w:style w:type="paragraph" w:customStyle="1" w:styleId="1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3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3">
    <w:name w:val="样式 3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6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7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8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0">
    <w:name w:val="样式 4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1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2">
    <w:name w:val="样式 4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3">
    <w:name w:val="样式 4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4">
    <w:name w:val="样式 4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5">
    <w:name w:val="样式 4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6">
    <w:name w:val="样式 4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7">
    <w:name w:val="样式 4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8">
    <w:name w:val="样式 4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69">
    <w:name w:val="样式 5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0">
    <w:name w:val="样式 5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1">
    <w:name w:val="样式 5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2">
    <w:name w:val="样式 5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3">
    <w:name w:val="样式 5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4">
    <w:name w:val="样式 5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5">
    <w:name w:val="样式 5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5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7">
    <w:name w:val="样式 5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8">
    <w:name w:val="样式 5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9">
    <w:name w:val="样式 6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0">
    <w:name w:val="样式 6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1">
    <w:name w:val="样式 6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6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6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4">
    <w:name w:val="样式 6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5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6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6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9">
    <w:name w:val="样式 7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0">
    <w:name w:val="样式 7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1">
    <w:name w:val="样式 7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2">
    <w:name w:val="样式 7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3">
    <w:name w:val="样式 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4">
    <w:name w:val="样式 7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5">
    <w:name w:val="样式 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6">
    <w:name w:val="样式 7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7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7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8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8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1">
    <w:name w:val="样式 8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8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8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8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5">
    <w:name w:val="样式 8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8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7">
    <w:name w:val="样式 8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8">
    <w:name w:val="样式 8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9">
    <w:name w:val="样式 9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0">
    <w:name w:val="样式 9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1">
    <w:name w:val="样式 9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2">
    <w:name w:val="样式 9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3">
    <w:name w:val="样式 9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4">
    <w:name w:val="样式 9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5">
    <w:name w:val="样式 9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6">
    <w:name w:val="样式 9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7">
    <w:name w:val="样式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18">
    <w:name w:val="样式 9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9">
    <w:name w:val="样式 9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0">
    <w:name w:val="样式 10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381</TotalTime>
  <Application>Yozo_Office</Application>
  <Pages>1</Pages>
  <Words>31</Words>
  <Characters>31</Characters>
  <Lines>2</Lines>
  <Paragraphs>2</Paragraphs>
  <CharactersWithSpaces>31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俞挺</dc:creator>
  <cp:lastModifiedBy>王语冰</cp:lastModifiedBy>
  <cp:revision>28</cp:revision>
  <cp:lastPrinted>2025-11-04T00:34:00Z</cp:lastPrinted>
  <dcterms:created xsi:type="dcterms:W3CDTF">2015-11-25T09:36:00Z</dcterms:created>
  <dcterms:modified xsi:type="dcterms:W3CDTF">2025-12-30T06:23:32Z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2052-12.8.2.18205</vt:lpwstr>
  </property>
  <property fmtid="{D5CDD505-2E9C-101B-9397-08002B2CF9AE}" pid="3" name="ICV">
    <vt:lpwstr>2745CF3813394BEFBEC3568F16925C2E_13</vt:lpwstr>
  </property>
</Properties>
</file>