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A4F59">
      <w:pPr>
        <w:ind w:firstLine="0" w:firstLineChars="0"/>
        <w:rPr>
          <w:rFonts w:eastAsia="黑体"/>
          <w:w w:val="98"/>
        </w:rPr>
      </w:pPr>
      <w:r>
        <w:rPr>
          <w:rFonts w:eastAsia="黑体"/>
          <w:w w:val="98"/>
        </w:rPr>
        <w:t>附件</w:t>
      </w:r>
    </w:p>
    <w:p w14:paraId="4936B209">
      <w:pPr>
        <w:ind w:firstLine="0" w:firstLineChars="0"/>
        <w:jc w:val="center"/>
        <w:rPr>
          <w:rFonts w:eastAsia="方正小标宋简体"/>
          <w:sz w:val="44"/>
          <w:szCs w:val="44"/>
        </w:rPr>
      </w:pPr>
    </w:p>
    <w:p w14:paraId="20A9CAB7">
      <w:pPr>
        <w:ind w:firstLine="0" w:firstLineChars="0"/>
        <w:jc w:val="center"/>
        <w:rPr>
          <w:rFonts w:eastAsia="方正小标宋简体"/>
          <w:sz w:val="44"/>
          <w:szCs w:val="44"/>
        </w:rPr>
      </w:pPr>
      <w:r>
        <w:rPr>
          <w:rFonts w:hint="eastAsia" w:eastAsia="方正小标宋简体"/>
          <w:sz w:val="44"/>
          <w:szCs w:val="44"/>
        </w:rPr>
        <w:t>2025</w:t>
      </w:r>
      <w:r>
        <w:rPr>
          <w:rFonts w:eastAsia="方正小标宋简体"/>
          <w:sz w:val="44"/>
          <w:szCs w:val="44"/>
        </w:rPr>
        <w:t>年天津市食品安全宣传周活动方案</w:t>
      </w:r>
    </w:p>
    <w:p w14:paraId="5E89F65F">
      <w:pPr>
        <w:snapToGrid w:val="0"/>
      </w:pPr>
    </w:p>
    <w:p w14:paraId="464D4F85">
      <w:pPr>
        <w:snapToGrid w:val="0"/>
      </w:pPr>
      <w:r>
        <w:rPr>
          <w:rFonts w:hint="eastAsia"/>
        </w:rPr>
        <w:t>按照国务院食安办关于2025年食品安全宣传周活动统一部署，</w:t>
      </w:r>
      <w:r>
        <w:t>结合</w:t>
      </w:r>
      <w:r>
        <w:rPr>
          <w:rFonts w:hint="eastAsia"/>
          <w:lang w:eastAsia="zh-CN"/>
        </w:rPr>
        <w:t>我市</w:t>
      </w:r>
      <w:r>
        <w:t>实际，制定本方案。</w:t>
      </w:r>
    </w:p>
    <w:p w14:paraId="28296E69">
      <w:pPr>
        <w:snapToGrid w:val="0"/>
        <w:jc w:val="left"/>
        <w:rPr>
          <w:rFonts w:eastAsia="黑体" w:cs="黑体"/>
        </w:rPr>
      </w:pPr>
      <w:r>
        <w:rPr>
          <w:rFonts w:hint="eastAsia" w:eastAsia="黑体" w:cs="黑体"/>
        </w:rPr>
        <w:t>一、宣传周主场活动</w:t>
      </w:r>
    </w:p>
    <w:p w14:paraId="34C49F5F">
      <w:pPr>
        <w:snapToGrid w:val="0"/>
      </w:pPr>
      <w:r>
        <w:rPr>
          <w:rFonts w:hint="eastAsia"/>
        </w:rPr>
        <w:t>在南开区举办2025年天津市食品安全宣传周主场活动。</w:t>
      </w:r>
    </w:p>
    <w:p w14:paraId="66421338">
      <w:pPr>
        <w:snapToGrid w:val="0"/>
        <w:jc w:val="left"/>
        <w:rPr>
          <w:rFonts w:eastAsia="黑体" w:cs="黑体"/>
        </w:rPr>
      </w:pPr>
      <w:r>
        <w:rPr>
          <w:rFonts w:hint="eastAsia" w:eastAsia="黑体" w:cs="黑体"/>
        </w:rPr>
        <w:t>二、主题宣传活动</w:t>
      </w:r>
    </w:p>
    <w:p w14:paraId="3137BD8C">
      <w:pPr>
        <w:snapToGrid w:val="0"/>
        <w:jc w:val="left"/>
        <w:rPr>
          <w:rFonts w:eastAsia="楷体_GB2312" w:cs="楷体_GB2312"/>
        </w:rPr>
      </w:pPr>
      <w:r>
        <w:rPr>
          <w:rFonts w:hint="eastAsia" w:eastAsia="楷体_GB2312" w:cs="楷体_GB2312"/>
        </w:rPr>
        <w:t>（一）市市场监管委</w:t>
      </w:r>
    </w:p>
    <w:p w14:paraId="0F13A650">
      <w:r>
        <w:t>1.多</w:t>
      </w:r>
      <w:r>
        <w:rPr>
          <w:rFonts w:hint="eastAsia"/>
        </w:rPr>
        <w:t>形式开展《中共中央办公厅 国务院办公厅关于进一步强化食品安全全链条监管的意见》、《国务院食安委关于推动建立完善生产经营单位食品安全风险隐患内部报告奖励机制的意见》及全国食品安全内部知情人举报系统应用推动、《食品生产经营企业落实食品安全主体责任监督管理规定》、《集中用餐单位落实食品安全主体责任监督管理规定》</w:t>
      </w:r>
      <w:r>
        <w:rPr>
          <w:rFonts w:hint="eastAsia"/>
          <w:lang w:eastAsia="zh-CN"/>
        </w:rPr>
        <w:t>、</w:t>
      </w:r>
      <w:r>
        <w:rPr>
          <w:rFonts w:hint="eastAsia"/>
        </w:rPr>
        <w:t>《天津市食品安全条例》</w:t>
      </w:r>
      <w:r>
        <w:rPr>
          <w:rFonts w:hint="eastAsia"/>
          <w:lang w:eastAsia="zh-CN"/>
        </w:rPr>
        <w:t>和相关深化改革措施</w:t>
      </w:r>
      <w:r>
        <w:rPr>
          <w:rFonts w:hint="eastAsia"/>
        </w:rPr>
        <w:t>等食品安全政策宣传解读，督促指导食品生产经营者落实主体责任。</w:t>
      </w:r>
    </w:p>
    <w:p w14:paraId="2E1E0DBC">
      <w:pPr>
        <w:overflowPunct/>
        <w:topLinePunct w:val="0"/>
        <w:autoSpaceDE w:val="0"/>
        <w:adjustRightInd/>
        <w:rPr>
          <w:rFonts w:ascii="仿宋_GB2312" w:hAnsi="Calibri"/>
        </w:rPr>
      </w:pPr>
      <w:r>
        <w:rPr>
          <w:rFonts w:hint="eastAsia"/>
        </w:rPr>
        <w:t>2.组织开展</w:t>
      </w:r>
      <w:r>
        <w:rPr>
          <w:rFonts w:hint="eastAsia" w:ascii="仿宋_GB2312" w:hAnsi="Calibri"/>
        </w:rPr>
        <w:t>大型食品生产企业及</w:t>
      </w:r>
      <w:r>
        <w:rPr>
          <w:rFonts w:hint="eastAsia" w:ascii="仿宋_GB2312"/>
        </w:rPr>
        <w:t>高风险大宗消费等重点食品生产企业</w:t>
      </w:r>
      <w:r>
        <w:rPr>
          <w:rFonts w:hint="eastAsia" w:ascii="仿宋_GB2312" w:hAnsi="Calibri"/>
        </w:rPr>
        <w:t>体系检查。</w:t>
      </w:r>
    </w:p>
    <w:p w14:paraId="07769AED">
      <w:pPr>
        <w:overflowPunct/>
        <w:topLinePunct w:val="0"/>
        <w:autoSpaceDE w:val="0"/>
        <w:adjustRightInd/>
        <w:rPr>
          <w:rFonts w:ascii="仿宋_GB2312"/>
        </w:rPr>
      </w:pPr>
      <w:r>
        <w:rPr>
          <w:rFonts w:hint="eastAsia"/>
        </w:rPr>
        <w:t>3.组织向全部获证食品生产企业发放并</w:t>
      </w:r>
      <w:r>
        <w:rPr>
          <w:rFonts w:hint="eastAsia" w:ascii="仿宋_GB2312" w:hAnsi="Calibri"/>
        </w:rPr>
        <w:t>张贴《关于对食品生产经营企业内部举报人举报实施奖励的公告》。</w:t>
      </w:r>
    </w:p>
    <w:p w14:paraId="02569AD8">
      <w:pPr>
        <w:overflowPunct/>
        <w:topLinePunct w:val="0"/>
        <w:autoSpaceDE w:val="0"/>
        <w:adjustRightInd/>
        <w:ind w:firstLine="615" w:firstLineChars="0"/>
        <w:rPr>
          <w:rFonts w:ascii="仿宋_GB2312"/>
        </w:rPr>
      </w:pPr>
      <w:r>
        <w:rPr>
          <w:rFonts w:hint="eastAsia"/>
        </w:rPr>
        <w:t>4.</w:t>
      </w:r>
      <w:r>
        <w:t>持续推进大型连锁食品销售企业</w:t>
      </w:r>
      <w:r>
        <w:rPr>
          <w:rFonts w:hint="eastAsia"/>
        </w:rPr>
        <w:t>和连锁餐饮企业食品安全管理合法合规体系检查，强化</w:t>
      </w:r>
      <w:r>
        <w:rPr>
          <w:rFonts w:hint="eastAsia" w:ascii="仿宋_GB2312"/>
        </w:rPr>
        <w:t>对大型活动涉及重点区域食品经营单位专项检查。</w:t>
      </w:r>
    </w:p>
    <w:p w14:paraId="76A5CEFE">
      <w:pPr>
        <w:overflowPunct/>
        <w:topLinePunct w:val="0"/>
        <w:autoSpaceDE w:val="0"/>
        <w:adjustRightInd/>
        <w:ind w:firstLine="615" w:firstLineChars="0"/>
        <w:rPr>
          <w:rFonts w:ascii="仿宋_GB2312"/>
        </w:rPr>
      </w:pPr>
      <w:r>
        <w:rPr>
          <w:rFonts w:hint="eastAsia"/>
        </w:rPr>
        <w:t>5.</w:t>
      </w:r>
      <w:r>
        <w:t>组织开展</w:t>
      </w:r>
      <w:r>
        <w:rPr>
          <w:rFonts w:hint="eastAsia" w:ascii="仿宋_GB2312"/>
        </w:rPr>
        <w:t>“随机查餐厅”</w:t>
      </w:r>
      <w:r>
        <w:t>活动。</w:t>
      </w:r>
      <w:r>
        <w:rPr>
          <w:rFonts w:hint="eastAsia" w:ascii="仿宋_GB2312"/>
        </w:rPr>
        <w:t>以“红黑榜”形式</w:t>
      </w:r>
      <w:r>
        <w:t>向社会公示检</w:t>
      </w:r>
      <w:r>
        <w:rPr>
          <w:rFonts w:ascii="仿宋_GB2312"/>
          <w:color w:val="000000"/>
          <w:kern w:val="0"/>
        </w:rPr>
        <w:t>查结果，引导餐饮服务提供者主动落实食品安全主体责任，增强公众参与社会监督的积极性。</w:t>
      </w:r>
    </w:p>
    <w:p w14:paraId="6FE6744D">
      <w:pPr>
        <w:overflowPunct/>
        <w:topLinePunct w:val="0"/>
        <w:autoSpaceDE w:val="0"/>
        <w:adjustRightInd/>
        <w:textAlignment w:val="baseline"/>
      </w:pPr>
      <w:r>
        <w:rPr>
          <w:rFonts w:hint="eastAsia"/>
        </w:rPr>
        <w:t>6.</w:t>
      </w:r>
      <w:r>
        <w:rPr>
          <w:rFonts w:hint="eastAsia" w:ascii="仿宋_GB2312"/>
          <w:color w:val="auto"/>
        </w:rPr>
        <w:t>召开全市保健食品生产企业</w:t>
      </w:r>
      <w:r>
        <w:rPr>
          <w:rFonts w:hint="eastAsia"/>
          <w:color w:val="auto"/>
        </w:rPr>
        <w:t>“双无”换证推动会</w:t>
      </w:r>
      <w:r>
        <w:rPr>
          <w:rFonts w:hint="eastAsia" w:ascii="仿宋_GB2312"/>
          <w:color w:val="auto"/>
        </w:rPr>
        <w:t>。</w:t>
      </w:r>
      <w:r>
        <w:rPr>
          <w:rFonts w:ascii="仿宋_GB2312" w:hAnsi="Calibri"/>
          <w:spacing w:val="-6"/>
        </w:rPr>
        <w:t>指导企业</w:t>
      </w:r>
      <w:r>
        <w:rPr>
          <w:rFonts w:ascii="仿宋_GB2312"/>
        </w:rPr>
        <w:t>规范在产在售</w:t>
      </w:r>
      <w:r>
        <w:rPr>
          <w:rFonts w:hint="eastAsia" w:ascii="仿宋_GB2312"/>
        </w:rPr>
        <w:t>“无有效期和无产品技术要求”</w:t>
      </w:r>
      <w:r>
        <w:rPr>
          <w:rFonts w:ascii="仿宋_GB2312"/>
        </w:rPr>
        <w:t>保健食品功能声称，完善标签说明书样稿，产品技术要求等内容</w:t>
      </w:r>
      <w:r>
        <w:rPr>
          <w:rFonts w:ascii="仿宋_GB2312" w:hAnsi="Calibri"/>
          <w:spacing w:val="-6"/>
        </w:rPr>
        <w:t>。</w:t>
      </w:r>
    </w:p>
    <w:p w14:paraId="79763E9C">
      <w:pPr>
        <w:widowControl/>
        <w:shd w:val="clear" w:color="auto" w:fill="FFFFFF"/>
        <w:overflowPunct/>
        <w:topLinePunct w:val="0"/>
        <w:autoSpaceDE w:val="0"/>
        <w:adjustRightInd/>
        <w:rPr>
          <w:spacing w:val="-6"/>
        </w:rPr>
      </w:pPr>
      <w:r>
        <w:rPr>
          <w:rFonts w:hint="eastAsia"/>
        </w:rPr>
        <w:t>7.</w:t>
      </w:r>
      <w:r>
        <w:rPr>
          <w:rFonts w:hint="eastAsia" w:ascii="仿宋_GB2312"/>
        </w:rPr>
        <w:t>开展特殊食品科普宣传。</w:t>
      </w:r>
      <w:r>
        <w:rPr>
          <w:rFonts w:hint="eastAsia" w:ascii="仿宋_GB2312"/>
          <w:spacing w:val="-6"/>
        </w:rPr>
        <w:t>制作特殊食品科普宣材料，展播特医食品公益宣传片，</w:t>
      </w:r>
      <w:r>
        <w:rPr>
          <w:rFonts w:hint="eastAsia" w:ascii="仿宋_GB2312"/>
          <w:color w:val="000000"/>
        </w:rPr>
        <w:t>提升消费者的辨识力和科学理性消费能力。</w:t>
      </w:r>
    </w:p>
    <w:p w14:paraId="0A82E765">
      <w:pPr>
        <w:widowControl/>
        <w:shd w:val="clear" w:color="auto" w:fill="FFFFFF"/>
        <w:overflowPunct/>
        <w:topLinePunct w:val="0"/>
        <w:autoSpaceDE w:val="0"/>
        <w:adjustRightInd/>
        <w:rPr>
          <w:rFonts w:ascii="仿宋_GB2312"/>
        </w:rPr>
      </w:pPr>
      <w:r>
        <w:rPr>
          <w:rFonts w:hint="eastAsia"/>
        </w:rPr>
        <w:t>8.</w:t>
      </w:r>
      <w:r>
        <w:rPr>
          <w:rFonts w:hint="eastAsia" w:ascii="仿宋_GB2312" w:hAnsi="Calibri"/>
          <w:color w:val="000000"/>
          <w:kern w:val="0"/>
          <w:shd w:val="clear" w:color="auto" w:fill="FFFFFF"/>
        </w:rPr>
        <w:t>开展“外卖食品我点选”行动</w:t>
      </w:r>
      <w:r>
        <w:rPr>
          <w:rFonts w:hint="eastAsia" w:ascii="仿宋_GB2312" w:hAnsi="Calibri"/>
          <w:color w:val="000000"/>
          <w:kern w:val="0"/>
          <w:shd w:val="clear" w:color="auto" w:fill="FFFFFF"/>
          <w:lang w:eastAsia="zh-CN"/>
        </w:rPr>
        <w:t>。</w:t>
      </w:r>
      <w:r>
        <w:rPr>
          <w:rFonts w:hint="eastAsia" w:ascii="仿宋_GB2312" w:hAnsi="Calibri"/>
          <w:color w:val="000000"/>
          <w:kern w:val="0"/>
          <w:shd w:val="clear" w:color="auto" w:fill="FFFFFF"/>
        </w:rPr>
        <w:t>在“你点我检 服务惠民生”民意征集系统发布调查问卷，鼓励外卖骑手和消费者共同参与。 邀请消费者代表、人大代表、政协委员等到检测机构，亲身体验</w:t>
      </w:r>
      <w:r>
        <w:rPr>
          <w:rFonts w:hint="eastAsia" w:ascii="仿宋_GB2312"/>
        </w:rPr>
        <w:t>点选食品检验过程。</w:t>
      </w:r>
    </w:p>
    <w:p w14:paraId="6F127688">
      <w:pPr>
        <w:overflowPunct/>
        <w:topLinePunct w:val="0"/>
        <w:autoSpaceDE w:val="0"/>
        <w:adjustRightInd/>
        <w:ind w:firstLine="640" w:firstLineChars="0"/>
        <w:rPr>
          <w:kern w:val="0"/>
        </w:rPr>
      </w:pPr>
      <w:r>
        <w:rPr>
          <w:rFonts w:hint="eastAsia"/>
        </w:rPr>
        <w:t>9.开展食品相关产</w:t>
      </w:r>
      <w:r>
        <w:rPr>
          <w:rFonts w:hint="eastAsia" w:ascii="仿宋_GB2312" w:hAnsi="Calibri"/>
        </w:rPr>
        <w:t>品质量安全宣传</w:t>
      </w:r>
      <w:r>
        <w:rPr>
          <w:rFonts w:hint="eastAsia" w:ascii="楷体_GB2312" w:hAnsi="Calibri" w:eastAsia="楷体_GB2312"/>
        </w:rPr>
        <w:t>。</w:t>
      </w:r>
      <w:r>
        <w:rPr>
          <w:rFonts w:hint="eastAsia" w:ascii="仿宋_GB2312"/>
          <w:kern w:val="0"/>
        </w:rPr>
        <w:t>编制食品相关产品质量安全解读材料，介绍食品相关产品科普知识，指导企业合规生产，帮助消费者合理选购食品相关产品。</w:t>
      </w:r>
    </w:p>
    <w:p w14:paraId="63E95E4F">
      <w:pPr>
        <w:overflowPunct/>
        <w:topLinePunct w:val="0"/>
        <w:autoSpaceDE w:val="0"/>
        <w:adjustRightInd/>
        <w:rPr>
          <w:rFonts w:ascii="仿宋_GB2312" w:hAnsi="Calibri"/>
          <w:color w:val="000000"/>
          <w:kern w:val="0"/>
          <w:shd w:val="clear" w:color="auto" w:fill="FFFFFF"/>
        </w:rPr>
      </w:pPr>
      <w:r>
        <w:rPr>
          <w:rFonts w:hint="eastAsia"/>
          <w:kern w:val="0"/>
        </w:rPr>
        <w:t>10.</w:t>
      </w:r>
      <w:r>
        <w:rPr>
          <w:rFonts w:hint="eastAsia" w:ascii="仿宋_GB2312"/>
          <w:kern w:val="0"/>
        </w:rPr>
        <w:t>开展食品相关产品生产企业质量帮扶。为食品相关产品生产企业提供相关</w:t>
      </w:r>
      <w:r>
        <w:rPr>
          <w:rFonts w:hint="eastAsia" w:ascii="仿宋_GB2312" w:hAnsi="Calibri"/>
          <w:color w:val="000000"/>
          <w:kern w:val="0"/>
          <w:shd w:val="clear" w:color="auto" w:fill="FFFFFF"/>
        </w:rPr>
        <w:t>技术指导和质量帮扶，为企业解难纾困。</w:t>
      </w:r>
    </w:p>
    <w:p w14:paraId="7863583E">
      <w:pPr>
        <w:overflowPunct/>
        <w:topLinePunct w:val="0"/>
        <w:autoSpaceDE w:val="0"/>
        <w:adjustRightInd/>
        <w:rPr>
          <w:rFonts w:ascii="仿宋_GB2312"/>
          <w:kern w:val="0"/>
        </w:rPr>
      </w:pPr>
      <w:r>
        <w:rPr>
          <w:kern w:val="0"/>
        </w:rPr>
        <w:t>1</w:t>
      </w:r>
      <w:r>
        <w:rPr>
          <w:rFonts w:hint="eastAsia"/>
          <w:kern w:val="0"/>
        </w:rPr>
        <w:t>1</w:t>
      </w:r>
      <w:r>
        <w:rPr>
          <w:rFonts w:hint="eastAsia" w:ascii="仿宋_GB2312"/>
          <w:kern w:val="0"/>
        </w:rPr>
        <w:t>.强化执法普法宣传。</w:t>
      </w:r>
      <w:r>
        <w:rPr>
          <w:rFonts w:hint="eastAsia" w:ascii="仿宋_GB2312"/>
          <w:kern w:val="0"/>
          <w:lang w:eastAsia="zh-CN"/>
        </w:rPr>
        <w:t>在</w:t>
      </w:r>
      <w:r>
        <w:rPr>
          <w:rFonts w:hint="eastAsia" w:ascii="仿宋_GB2312"/>
          <w:kern w:val="0"/>
        </w:rPr>
        <w:t>执法检查和案件办理</w:t>
      </w:r>
      <w:r>
        <w:rPr>
          <w:rFonts w:hint="eastAsia" w:ascii="仿宋_GB2312"/>
          <w:kern w:val="0"/>
          <w:lang w:eastAsia="zh-CN"/>
        </w:rPr>
        <w:t>中，</w:t>
      </w:r>
      <w:r>
        <w:rPr>
          <w:rFonts w:hint="eastAsia" w:ascii="仿宋_GB2312"/>
          <w:kern w:val="0"/>
        </w:rPr>
        <w:t>对食品生产经营者</w:t>
      </w:r>
      <w:r>
        <w:rPr>
          <w:rFonts w:hint="eastAsia" w:ascii="仿宋_GB2312"/>
          <w:kern w:val="0"/>
          <w:lang w:eastAsia="zh-CN"/>
        </w:rPr>
        <w:t>开展</w:t>
      </w:r>
      <w:r>
        <w:rPr>
          <w:rFonts w:hint="eastAsia" w:ascii="仿宋_GB2312"/>
          <w:kern w:val="0"/>
        </w:rPr>
        <w:t>一对一的普法宣传活动。充分运用公众号对相关执法信息和有关食品安全科普知识进行宣传。</w:t>
      </w:r>
    </w:p>
    <w:p w14:paraId="53C3A11D">
      <w:pPr>
        <w:overflowPunct/>
        <w:topLinePunct w:val="0"/>
        <w:autoSpaceDE w:val="0"/>
        <w:adjustRightInd/>
      </w:pPr>
      <w:r>
        <w:rPr>
          <w:rFonts w:hint="eastAsia"/>
        </w:rPr>
        <w:t>12.</w:t>
      </w:r>
      <w:r>
        <w:rPr>
          <w:rFonts w:hint="eastAsia" w:ascii="仿宋_GB2312"/>
        </w:rPr>
        <w:t>开展食品安全科普宣传。</w:t>
      </w:r>
      <w:r>
        <w:rPr>
          <w:rFonts w:ascii="仿宋_GB2312"/>
        </w:rPr>
        <w:t>发布</w:t>
      </w:r>
      <w:r>
        <w:rPr>
          <w:rFonts w:hint="eastAsia" w:ascii="仿宋_GB2312"/>
        </w:rPr>
        <w:t>至少</w:t>
      </w:r>
      <w:r>
        <w:t>2</w:t>
      </w:r>
      <w:r>
        <w:rPr>
          <w:rFonts w:ascii="仿宋_GB2312"/>
        </w:rPr>
        <w:t>期</w:t>
      </w:r>
      <w:r>
        <w:rPr>
          <w:rFonts w:hint="eastAsia" w:ascii="仿宋_GB2312"/>
        </w:rPr>
        <w:t>“祥说莹论”</w:t>
      </w:r>
      <w:r>
        <w:rPr>
          <w:rFonts w:ascii="仿宋_GB2312"/>
        </w:rPr>
        <w:t>食品安全科普宣传视频，普及食品安全科学知识，提高科学素养。</w:t>
      </w:r>
    </w:p>
    <w:p w14:paraId="4FA4A265">
      <w:pPr>
        <w:overflowPunct/>
        <w:topLinePunct w:val="0"/>
        <w:autoSpaceDE w:val="0"/>
        <w:adjustRightInd/>
        <w:rPr>
          <w:rFonts w:ascii="Calibri" w:hAnsi="Calibri" w:eastAsia="宋体"/>
          <w:sz w:val="21"/>
          <w:szCs w:val="21"/>
        </w:rPr>
      </w:pPr>
      <w:r>
        <w:rPr>
          <w:rFonts w:hint="eastAsia"/>
        </w:rPr>
        <w:t>13.开展</w:t>
      </w:r>
      <w:r>
        <w:rPr>
          <w:rFonts w:hint="eastAsia" w:ascii="仿宋_GB2312"/>
        </w:rPr>
        <w:t>保健食品科普进社区活动。</w:t>
      </w:r>
      <w:r>
        <w:rPr>
          <w:rFonts w:ascii="仿宋_GB2312"/>
        </w:rPr>
        <w:t>将保健食品知识普及到更多</w:t>
      </w:r>
      <w:r>
        <w:rPr>
          <w:rFonts w:hint="eastAsia" w:ascii="仿宋_GB2312"/>
        </w:rPr>
        <w:t>老年人</w:t>
      </w:r>
      <w:r>
        <w:rPr>
          <w:rFonts w:ascii="仿宋_GB2312"/>
        </w:rPr>
        <w:t>中，引导</w:t>
      </w:r>
      <w:r>
        <w:rPr>
          <w:rFonts w:hint="eastAsia" w:ascii="仿宋_GB2312"/>
        </w:rPr>
        <w:t>老年人</w:t>
      </w:r>
      <w:r>
        <w:rPr>
          <w:rFonts w:ascii="仿宋_GB2312"/>
        </w:rPr>
        <w:t>科学认知保健食品、理性消费保健食品、正确选购并食用保健食品，维护</w:t>
      </w:r>
      <w:r>
        <w:rPr>
          <w:rFonts w:hint="eastAsia" w:ascii="仿宋_GB2312"/>
        </w:rPr>
        <w:t>老年人</w:t>
      </w:r>
      <w:r>
        <w:rPr>
          <w:rFonts w:ascii="仿宋_GB2312"/>
        </w:rPr>
        <w:t>合法权益</w:t>
      </w:r>
      <w:r>
        <w:rPr>
          <w:rFonts w:hint="eastAsia" w:ascii="仿宋_GB2312"/>
        </w:rPr>
        <w:t>。</w:t>
      </w:r>
    </w:p>
    <w:p w14:paraId="4F57D412">
      <w:pPr>
        <w:overflowPunct/>
        <w:topLinePunct w:val="0"/>
        <w:snapToGrid w:val="0"/>
        <w:jc w:val="left"/>
        <w:outlineLvl w:val="0"/>
        <w:rPr>
          <w:rFonts w:hint="eastAsia" w:ascii="仿宋_GB2312"/>
        </w:rPr>
      </w:pPr>
      <w:r>
        <w:t>1</w:t>
      </w:r>
      <w:r>
        <w:rPr>
          <w:rFonts w:hint="eastAsia"/>
        </w:rPr>
        <w:t>4.乡</w:t>
      </w:r>
      <w:r>
        <w:rPr>
          <w:rFonts w:hint="eastAsia" w:ascii="仿宋_GB2312"/>
        </w:rPr>
        <w:t>村振兴工作专题宣传。会同农业农村</w:t>
      </w:r>
      <w:r>
        <w:rPr>
          <w:rFonts w:hint="eastAsia" w:ascii="仿宋_GB2312"/>
          <w:lang w:eastAsia="zh-CN"/>
        </w:rPr>
        <w:t>部门</w:t>
      </w:r>
      <w:r>
        <w:rPr>
          <w:rFonts w:hint="eastAsia" w:ascii="仿宋_GB2312"/>
        </w:rPr>
        <w:t>强化产地准出市场准入衔接，落实承诺达标合格证制度，鼓励食品生产经营者优先采购附具承诺达标合格证的食用农产品。开展《中华人民共和国农产品质量安全法》普法宣传。</w:t>
      </w:r>
    </w:p>
    <w:p w14:paraId="6874F8ED">
      <w:pPr>
        <w:snapToGrid w:val="0"/>
        <w:jc w:val="left"/>
      </w:pPr>
      <w:r>
        <w:rPr>
          <w:rFonts w:hint="eastAsia" w:ascii="仿宋_GB2312"/>
          <w:lang w:val="en-US" w:eastAsia="zh-CN"/>
        </w:rPr>
        <w:t>15.强化外卖平台主体宣传。指导网络餐饮服务交易第三方平台</w:t>
      </w:r>
      <w:r>
        <w:rPr>
          <w:rFonts w:hint="eastAsia"/>
        </w:rPr>
        <w:t>建立全覆盖商户入驻审核、在网监管、违规处置的全生命周期管理体系。升级OCR+P图识别技术，开发门头图重</w:t>
      </w:r>
      <w:r>
        <w:rPr>
          <w:rFonts w:hint="eastAsia"/>
          <w:lang w:eastAsia="zh-CN"/>
        </w:rPr>
        <w:t>复</w:t>
      </w:r>
      <w:r>
        <w:rPr>
          <w:rFonts w:hint="eastAsia"/>
        </w:rPr>
        <w:t>校验模型，建立违规商户公示专区，滚动曝光问题商家。</w:t>
      </w:r>
      <w:r>
        <w:rPr>
          <w:rFonts w:hint="eastAsia"/>
          <w:lang w:eastAsia="zh-CN"/>
        </w:rPr>
        <w:t>在平台</w:t>
      </w:r>
      <w:r>
        <w:rPr>
          <w:rFonts w:hint="eastAsia"/>
        </w:rPr>
        <w:t>APP首页开设“名厨亮灶”专区，骑手端开通食安举报通道，党员骑手带头参与食安志愿监管。</w:t>
      </w:r>
    </w:p>
    <w:p w14:paraId="5D880D53">
      <w:pPr>
        <w:snapToGrid w:val="0"/>
        <w:jc w:val="left"/>
        <w:rPr>
          <w:rFonts w:eastAsia="楷体_GB2312" w:cs="楷体_GB2312"/>
        </w:rPr>
      </w:pPr>
      <w:r>
        <w:rPr>
          <w:rFonts w:hint="eastAsia" w:eastAsia="楷体_GB2312" w:cs="楷体_GB2312"/>
        </w:rPr>
        <w:t>（二）市教委</w:t>
      </w:r>
    </w:p>
    <w:p w14:paraId="5B4475E0">
      <w:pPr>
        <w:overflowPunct/>
        <w:topLinePunct w:val="0"/>
        <w:snapToGrid w:val="0"/>
        <w:jc w:val="left"/>
        <w:outlineLvl w:val="0"/>
        <w:rPr>
          <w:rFonts w:ascii="仿宋_GB2312"/>
        </w:rPr>
      </w:pPr>
      <w:r>
        <w:t>1.</w:t>
      </w:r>
      <w:r>
        <w:rPr>
          <w:rFonts w:ascii="仿宋_GB2312"/>
        </w:rPr>
        <w:t>持</w:t>
      </w:r>
      <w:r>
        <w:rPr>
          <w:rFonts w:hint="eastAsia" w:ascii="仿宋_GB2312"/>
        </w:rPr>
        <w:t>续推进学校食品安全风险隐患排查整治。组织各区教育局、各级各类学校持续巩固专项整治工作成效，结合夏季食品安全风险特点，重点围绕原料采购、储存管理、加工操作、清洗消毒、食品留样等关键环节和从业人员健康管理、环境卫生控制、病媒生物防治等基础性工作，开展常态化自查与监督检查，及时消除风险隐患，切实保障师生“舌尖上的安全”。</w:t>
      </w:r>
    </w:p>
    <w:p w14:paraId="1BE8F857">
      <w:pPr>
        <w:overflowPunct/>
        <w:topLinePunct w:val="0"/>
        <w:snapToGrid w:val="0"/>
        <w:jc w:val="left"/>
        <w:outlineLvl w:val="0"/>
        <w:rPr>
          <w:rFonts w:ascii="仿宋_GB2312"/>
        </w:rPr>
      </w:pPr>
      <w:r>
        <w:rPr>
          <w:rFonts w:hint="eastAsia"/>
        </w:rPr>
        <w:t>2.组织食品安全专家进校园科普宣讲。组织各区教育局遴选1至2所学校，</w:t>
      </w:r>
      <w:r>
        <w:rPr>
          <w:rFonts w:hint="eastAsia" w:ascii="仿宋_GB2312"/>
        </w:rPr>
        <w:t>聚焦夏季易发食品安全问题、食源性疾病预防、健康安全食品选购常识等，</w:t>
      </w:r>
      <w:r>
        <w:rPr>
          <w:rFonts w:hint="eastAsia"/>
        </w:rPr>
        <w:t>邀请食品安全与营养健康</w:t>
      </w:r>
      <w:r>
        <w:rPr>
          <w:rFonts w:hint="eastAsia" w:ascii="仿宋_GB2312"/>
        </w:rPr>
        <w:t>领域专家面向师生开展专题科普讲座。鼓励邀请辖区内其他学校食品安全管理人员、食堂从业人员及家长代表共同参与。</w:t>
      </w:r>
    </w:p>
    <w:p w14:paraId="017FDECD">
      <w:pPr>
        <w:overflowPunct/>
        <w:topLinePunct w:val="0"/>
        <w:snapToGrid w:val="0"/>
        <w:jc w:val="left"/>
        <w:outlineLvl w:val="0"/>
        <w:rPr>
          <w:rFonts w:ascii="仿宋_GB2312"/>
        </w:rPr>
      </w:pPr>
      <w:r>
        <w:rPr>
          <w:rFonts w:hint="eastAsia"/>
        </w:rPr>
        <w:t>3.组织开展校园食品安全知识宣传。组织各级各类学校充分利用</w:t>
      </w:r>
      <w:r>
        <w:rPr>
          <w:rFonts w:hint="eastAsia" w:ascii="仿宋_GB2312"/>
        </w:rPr>
        <w:t>校园网站、微信公众号、校内宣传栏、电子显示屏、班级黑板报、校园广播站等</w:t>
      </w:r>
      <w:r>
        <w:rPr>
          <w:rFonts w:hint="eastAsia"/>
        </w:rPr>
        <w:t>多种途径，依托学生食堂、宿舍、校内超市等重点场所</w:t>
      </w:r>
      <w:r>
        <w:rPr>
          <w:rFonts w:hint="eastAsia"/>
          <w:lang w:eastAsia="zh-CN"/>
        </w:rPr>
        <w:t>，</w:t>
      </w:r>
      <w:r>
        <w:rPr>
          <w:rFonts w:hint="eastAsia"/>
        </w:rPr>
        <w:t>大力宣传食品安全法律法规，倡导</w:t>
      </w:r>
      <w:r>
        <w:rPr>
          <w:rFonts w:hint="eastAsia" w:ascii="仿宋_GB2312"/>
        </w:rPr>
        <w:t>“反对浪费、崇尚节约”</w:t>
      </w:r>
      <w:r>
        <w:rPr>
          <w:rFonts w:hint="eastAsia"/>
        </w:rPr>
        <w:t>的良好习惯，</w:t>
      </w:r>
      <w:r>
        <w:rPr>
          <w:rFonts w:hint="eastAsia" w:ascii="仿宋_GB2312"/>
        </w:rPr>
        <w:t>讲好食安故事。</w:t>
      </w:r>
    </w:p>
    <w:p w14:paraId="065012DC">
      <w:pPr>
        <w:overflowPunct/>
        <w:topLinePunct w:val="0"/>
        <w:snapToGrid w:val="0"/>
        <w:jc w:val="left"/>
        <w:outlineLvl w:val="0"/>
        <w:rPr>
          <w:rFonts w:ascii="仿宋_GB2312"/>
        </w:rPr>
      </w:pPr>
      <w:r>
        <w:rPr>
          <w:rFonts w:hint="eastAsia"/>
        </w:rPr>
        <w:t>4.组织</w:t>
      </w:r>
      <w:r>
        <w:rPr>
          <w:rFonts w:hint="eastAsia" w:ascii="仿宋_GB2312"/>
        </w:rPr>
        <w:t>“食堂开放日”活动。组织开展“学生、家长代表走进食堂”开放日活动。邀请学生社团代表、学生代表及家长代表深入食堂后厨，实地参观食品加工制作流程、了解食品安全管理制度与操作规范。</w:t>
      </w:r>
    </w:p>
    <w:p w14:paraId="4D212A2F">
      <w:pPr>
        <w:overflowPunct/>
        <w:topLinePunct w:val="0"/>
        <w:adjustRightInd/>
        <w:rPr>
          <w:rFonts w:eastAsia="方正仿宋_GB2312"/>
        </w:rPr>
      </w:pPr>
      <w:r>
        <w:rPr>
          <w:rFonts w:hint="eastAsia"/>
        </w:rPr>
        <w:t>5.加强校园食品安全</w:t>
      </w:r>
      <w:r>
        <w:rPr>
          <w:rFonts w:hint="eastAsia" w:ascii="仿宋_GB2312"/>
        </w:rPr>
        <w:t>工作宣传报道。统筹利用天津教育报、天津教育官方微博微信等教育宣传平台，集中报道我市教育系统在落实食品安全主体责任、创新管理模式、提升供餐质量、推进“互联网+明厨亮灶”和智慧监管等方面的典型经验和成效。</w:t>
      </w:r>
    </w:p>
    <w:p w14:paraId="118C7FEB">
      <w:pPr>
        <w:snapToGrid w:val="0"/>
        <w:jc w:val="left"/>
        <w:rPr>
          <w:rFonts w:eastAsia="楷体_GB2312" w:cs="楷体_GB2312"/>
        </w:rPr>
      </w:pPr>
      <w:r>
        <w:rPr>
          <w:rFonts w:hint="eastAsia" w:eastAsia="楷体_GB2312" w:cs="楷体_GB2312"/>
        </w:rPr>
        <w:t>（三）市公安局</w:t>
      </w:r>
    </w:p>
    <w:p w14:paraId="01520465">
      <w:pPr>
        <w:snapToGrid w:val="0"/>
      </w:pPr>
      <w:r>
        <w:rPr>
          <w:rFonts w:hint="eastAsia"/>
        </w:rPr>
        <w:t>1.组织公安专场宣传活动。组织公安机关基层派出所，在公园、广场、居民小区等人群集中场所布置宣传点位，通过设置展板、展牌、标语等方式，宣传食品安全政策法规、展示公安机关打击食品安全犯罪成果，鼓励广大人民群众举报犯罪活动线索，形成协助公安机关打击危害食品安全犯罪合力。</w:t>
      </w:r>
    </w:p>
    <w:p w14:paraId="044BCF63">
      <w:pPr>
        <w:snapToGrid w:val="0"/>
      </w:pPr>
      <w:r>
        <w:rPr>
          <w:rFonts w:hint="eastAsia"/>
        </w:rPr>
        <w:t>2.组织开展集中销毁活动。</w:t>
      </w:r>
      <w:r>
        <w:rPr>
          <w:rFonts w:hint="eastAsia"/>
          <w:lang w:eastAsia="zh-CN"/>
        </w:rPr>
        <w:t>组织全市公安机关</w:t>
      </w:r>
      <w:r>
        <w:rPr>
          <w:rFonts w:hint="eastAsia"/>
        </w:rPr>
        <w:t>集中统一销毁一批本年度查获收缴的假烟、假酒、假冒伪劣食品等，充分展示天津公安机关打击食品犯罪的决心。</w:t>
      </w:r>
    </w:p>
    <w:p w14:paraId="1917BC86">
      <w:pPr>
        <w:snapToGrid w:val="0"/>
      </w:pPr>
      <w:r>
        <w:rPr>
          <w:rFonts w:hint="eastAsia"/>
        </w:rPr>
        <w:t>3.开展“昆仑2025”专项行动宣传。突出“严厉打击肉类产品违法犯罪”、“集中整治校园食品安全”、“打击保健食品非法添加有毒有害物质犯罪”等专项行动成果，积极稳妥开展线上线下集中宣传活动，有力震慑危害食品安全违法犯罪活动，引导群众提升自我防范意识。</w:t>
      </w:r>
    </w:p>
    <w:p w14:paraId="54E4140D">
      <w:pPr>
        <w:snapToGrid w:val="0"/>
      </w:pPr>
      <w:r>
        <w:rPr>
          <w:rFonts w:hint="eastAsia"/>
        </w:rPr>
        <w:t>4.开展食品安全进街道、进社区活动。宣传法律法规及食品选购技巧以及产品标识说明，增强群众对食品安全法律法规标准的认知能力；展示不合格和假冒食品</w:t>
      </w:r>
      <w:r>
        <w:rPr>
          <w:rFonts w:hint="eastAsia" w:ascii="仿宋_GB2312"/>
        </w:rPr>
        <w:t>,</w:t>
      </w:r>
      <w:r>
        <w:rPr>
          <w:rFonts w:hint="eastAsia"/>
        </w:rPr>
        <w:t>发放食品安全宣传材料、宣传品，提升消费者识假辨假能力和自我保护意识。</w:t>
      </w:r>
    </w:p>
    <w:p w14:paraId="3BF64F87">
      <w:pPr>
        <w:snapToGrid w:val="0"/>
      </w:pPr>
      <w:r>
        <w:rPr>
          <w:rFonts w:hint="eastAsia"/>
        </w:rPr>
        <w:t>5.组织开展食品打假研讨会。建立完善警企协作打假机制，会同有关企业、协会组织举办食品打假研讨会，凝聚社会共识，提升社会治理效能。</w:t>
      </w:r>
    </w:p>
    <w:p w14:paraId="37BAC35B">
      <w:pPr>
        <w:snapToGrid w:val="0"/>
        <w:jc w:val="left"/>
        <w:rPr>
          <w:rFonts w:eastAsia="楷体_GB2312" w:cs="楷体_GB2312"/>
        </w:rPr>
      </w:pPr>
      <w:r>
        <w:rPr>
          <w:rFonts w:hint="eastAsia" w:eastAsia="楷体_GB2312" w:cs="楷体_GB2312"/>
        </w:rPr>
        <w:t>（四）市农业农村委</w:t>
      </w:r>
    </w:p>
    <w:p w14:paraId="2C9F92C1">
      <w:pPr>
        <w:snapToGrid w:val="0"/>
      </w:pPr>
      <w:r>
        <w:rPr>
          <w:rFonts w:hint="eastAsia"/>
        </w:rPr>
        <w:t>1.开展食用农产品质量安全宣传活动。围绕食用农产品质量安全基本常识、质量鉴别与安全选购方法、消费维权知识等重点内容，</w:t>
      </w:r>
      <w:r>
        <w:rPr>
          <w:rFonts w:hint="eastAsia" w:cs="仿宋_GB2312"/>
        </w:rPr>
        <w:t>组织专家现场咨询、张贴海报标语、印发明白纸等，普及食用农产品质量安全知识和法律法规，展示监管成效，提升公众安全意识和判断能力。</w:t>
      </w:r>
    </w:p>
    <w:p w14:paraId="39431C3F">
      <w:pPr>
        <w:snapToGrid w:val="0"/>
      </w:pPr>
      <w:r>
        <w:rPr>
          <w:rFonts w:hint="eastAsia"/>
        </w:rPr>
        <w:t>2.开展农产品质量安全技术指导。组织农业技术推广专家开展对生产主体的技术指导，宣传农兽药残留限量规定，普及绿色健康种养模式及病虫害防控技术，指导生产主体科学合理农业投入品，提升农产品质量安全意识和生产管理水平。</w:t>
      </w:r>
    </w:p>
    <w:p w14:paraId="5C864967">
      <w:pPr>
        <w:snapToGrid w:val="0"/>
      </w:pPr>
      <w:r>
        <w:rPr>
          <w:rFonts w:hint="eastAsia"/>
        </w:rPr>
        <w:t>3.开展专题教育培训活动。采用线上线下相结合的方式开展农产品安全专题培训，进一步提升农产品安全监管能力和业务水平。动员、指导农产品企业组织开展农产品安全法律法规、业务技能、警示教育等多形式的宣传培训，推进农产品安全管理。</w:t>
      </w:r>
    </w:p>
    <w:p w14:paraId="77603348">
      <w:pPr>
        <w:snapToGrid w:val="0"/>
      </w:pPr>
      <w:r>
        <w:rPr>
          <w:rFonts w:hint="eastAsia"/>
        </w:rPr>
        <w:t>4.组织绿色食品（绿色优质农产品）展销活动。组织202</w:t>
      </w:r>
      <w:r>
        <w:rPr>
          <w:rFonts w:hint="eastAsia"/>
          <w:lang w:val="en"/>
        </w:rPr>
        <w:t>5</w:t>
      </w:r>
      <w:r>
        <w:rPr>
          <w:rFonts w:hint="eastAsia"/>
        </w:rPr>
        <w:t>年天津市绿色食品（绿色优质农产品）宣传月启动活动，现场展示我市绿色优质农产品。组织小站稻、沙窝萝卜，名特优新农产品茶淀玫瑰香葡萄、劝宝韭菜等绿色优质农产品生产主体参加中国绿色食品博览会、有机食品博览会和全国名特优新农产品产销对接活动，全面展示天津优质农产品特色及绿色农业发展成果，提升“津”字号品牌的社会影响力和市场知名度。</w:t>
      </w:r>
    </w:p>
    <w:p w14:paraId="4459FCED">
      <w:pPr>
        <w:snapToGrid w:val="0"/>
      </w:pPr>
      <w:r>
        <w:rPr>
          <w:rFonts w:hint="eastAsia"/>
        </w:rPr>
        <w:t>5.推动农产品安全宣传“五进”到户、全民共治 。开展绿色优质农产品进社区、进商圈、进机关、进企业、进展会等“五进”活动。在多个大型活动中开展农产品质量安全宣传及绿色优质农产品展示展销。推进绿色食品生产操作规程（绿色食品防控技术）进企入户。组织开展针对青少年群体特点的食品安全科普宣教活动，带动家庭成员和全社会树立共同责任意识与科学观念。</w:t>
      </w:r>
    </w:p>
    <w:p w14:paraId="144D8E73">
      <w:pPr>
        <w:snapToGrid w:val="0"/>
        <w:jc w:val="left"/>
        <w:rPr>
          <w:rFonts w:eastAsia="楷体_GB2312" w:cs="楷体_GB2312"/>
        </w:rPr>
      </w:pPr>
      <w:r>
        <w:rPr>
          <w:rFonts w:hint="eastAsia" w:eastAsia="楷体_GB2312" w:cs="楷体_GB2312"/>
        </w:rPr>
        <w:t>（五）市卫生健康委</w:t>
      </w:r>
    </w:p>
    <w:p w14:paraId="6AD03190">
      <w:pPr>
        <w:overflowPunct/>
        <w:topLinePunct w:val="0"/>
        <w:adjustRightInd/>
      </w:pPr>
      <w:r>
        <w:rPr>
          <w:rFonts w:hint="eastAsia"/>
        </w:rPr>
        <w:t>1.</w:t>
      </w:r>
      <w:r>
        <w:t>开展大众媒体宣传</w:t>
      </w:r>
      <w:r>
        <w:rPr>
          <w:rFonts w:hint="eastAsia"/>
        </w:rPr>
        <w:t>。</w:t>
      </w:r>
      <w:r>
        <w:t>利用各类政务新媒体资源发布科普知识宣传文章，针对常见食源性疾病防控、食品添加剂使用等公众关心的食品安全问题开展宣传。</w:t>
      </w:r>
    </w:p>
    <w:p w14:paraId="77808A74">
      <w:pPr>
        <w:overflowPunct/>
        <w:topLinePunct w:val="0"/>
        <w:adjustRightInd/>
      </w:pPr>
      <w:r>
        <w:rPr>
          <w:rFonts w:hint="eastAsia"/>
        </w:rPr>
        <w:t>2.开展科普知识宣传。</w:t>
      </w:r>
      <w:r>
        <w:t>设计制作食品安全科普视频、宣传折页，制作标准化宣讲课件，以各类宣传品为载体，扩大科普知识普及覆盖面。</w:t>
      </w:r>
    </w:p>
    <w:p w14:paraId="38D8F1AB">
      <w:pPr>
        <w:overflowPunct/>
        <w:topLinePunct w:val="0"/>
        <w:adjustRightInd/>
      </w:pPr>
      <w:r>
        <w:rPr>
          <w:rFonts w:hint="eastAsia"/>
        </w:rPr>
        <w:t>3.</w:t>
      </w:r>
      <w:r>
        <w:t>举办食品安全知识宣讲</w:t>
      </w:r>
      <w:r>
        <w:rPr>
          <w:rFonts w:hint="eastAsia"/>
        </w:rPr>
        <w:t>。</w:t>
      </w:r>
      <w:r>
        <w:t>依</w:t>
      </w:r>
      <w:r>
        <w:rPr>
          <w:rFonts w:hint="eastAsia" w:ascii="仿宋_GB2312"/>
        </w:rPr>
        <w:t>托“营养与健康百人宣讲团”活动，以“面对面”科普交流形式开展</w:t>
      </w:r>
      <w:r>
        <w:t>宣讲，深入学校、养老机构等重点场所，对校园食品安全、老年人群营养膳食与慢性病防控等常见问题开展针对性科普。</w:t>
      </w:r>
    </w:p>
    <w:p w14:paraId="3DCC5B43">
      <w:pPr>
        <w:overflowPunct/>
        <w:topLinePunct w:val="0"/>
        <w:adjustRightInd/>
      </w:pPr>
      <w:r>
        <w:rPr>
          <w:rFonts w:hint="eastAsia"/>
        </w:rPr>
        <w:t>4.</w:t>
      </w:r>
      <w:r>
        <w:t>营造营养健康环境</w:t>
      </w:r>
      <w:r>
        <w:rPr>
          <w:rFonts w:hint="eastAsia"/>
        </w:rPr>
        <w:t>。</w:t>
      </w:r>
      <w:r>
        <w:t>结</w:t>
      </w:r>
      <w:r>
        <w:rPr>
          <w:rFonts w:hint="eastAsia" w:ascii="仿宋_GB2312"/>
        </w:rPr>
        <w:t>合“健康天津”建设以及“体重管理年”活动</w:t>
      </w:r>
      <w:r>
        <w:t>，加强8种慢性病食养指南宣传，倡导杜绝浪费、合理膳食以</w:t>
      </w:r>
      <w:r>
        <w:rPr>
          <w:rFonts w:hint="eastAsia" w:ascii="仿宋_GB2312"/>
        </w:rPr>
        <w:t>及“减油、增豆、加奶”理</w:t>
      </w:r>
      <w:r>
        <w:t>念，普及全谷物营养健康知识，引导公众了解营养成分信息，合理选择食物。</w:t>
      </w:r>
    </w:p>
    <w:p w14:paraId="270BF2DF">
      <w:pPr>
        <w:overflowPunct/>
        <w:topLinePunct w:val="0"/>
        <w:adjustRightInd/>
      </w:pPr>
      <w:r>
        <w:rPr>
          <w:rFonts w:hint="eastAsia"/>
        </w:rPr>
        <w:t>5.</w:t>
      </w:r>
      <w:r>
        <w:t>开展</w:t>
      </w:r>
      <w:r>
        <w:rPr>
          <w:rFonts w:hint="eastAsia" w:ascii="仿宋_GB2312"/>
        </w:rPr>
        <w:t>“标准服务强基层、进企业”</w:t>
      </w:r>
      <w:r>
        <w:t>活动</w:t>
      </w:r>
      <w:r>
        <w:rPr>
          <w:rFonts w:hint="eastAsia"/>
        </w:rPr>
        <w:t>。</w:t>
      </w:r>
      <w:r>
        <w:t>结合食品标签相关标准广泛推动</w:t>
      </w:r>
      <w:r>
        <w:rPr>
          <w:rFonts w:hint="eastAsia" w:ascii="仿宋_GB2312"/>
        </w:rPr>
        <w:t>“食品数字标签”</w:t>
      </w:r>
      <w:r>
        <w:t>使用，贴近一线监管人员和食品企业开展常态化标准宣贯服务，针对新发布及现行食品安全国家标准、天津市食品安全地方标准进行宣贯解读及科普交流，增强公众对食品安全标准的理解。</w:t>
      </w:r>
    </w:p>
    <w:p w14:paraId="255EA60B">
      <w:pPr>
        <w:snapToGrid w:val="0"/>
        <w:jc w:val="left"/>
        <w:rPr>
          <w:rFonts w:eastAsia="楷体_GB2312" w:cs="楷体_GB2312"/>
          <w:color w:val="FF0000"/>
        </w:rPr>
      </w:pPr>
      <w:r>
        <w:rPr>
          <w:rFonts w:hint="eastAsia" w:eastAsia="楷体_GB2312" w:cs="楷体_GB2312"/>
        </w:rPr>
        <w:t>（六）天津海关</w:t>
      </w:r>
    </w:p>
    <w:p w14:paraId="0BDAB4B7">
      <w:pPr>
        <w:overflowPunct/>
        <w:topLinePunct w:val="0"/>
        <w:adjustRightInd/>
      </w:pPr>
      <w:r>
        <w:rPr>
          <w:rFonts w:hint="eastAsia"/>
        </w:rPr>
        <w:t>1.组织召开天津海关“食品安全宣传周”新闻发布会。向社会公众介绍天津口岸进出口食品及口岸食品安全基本情况和天津海关近期在食品安全监管方面的亮点和成效。</w:t>
      </w:r>
    </w:p>
    <w:p w14:paraId="2C3BE552">
      <w:pPr>
        <w:overflowPunct/>
        <w:topLinePunct w:val="0"/>
        <w:adjustRightInd/>
      </w:pPr>
      <w:r>
        <w:rPr>
          <w:rFonts w:hint="eastAsia"/>
        </w:rPr>
        <w:t>2.开展“食品安全口岸行”活动。</w:t>
      </w:r>
      <w:r>
        <w:rPr>
          <w:rFonts w:hint="eastAsia"/>
          <w:color w:val="000000"/>
        </w:rPr>
        <w:t>通过开展进口食品安全宣讲“驻企业”、“进校园”、“在社区”等活动，监管人员与企业、师生、社区居民现场互动，发放科普读物，张贴海报标语、解答公众关切的食品安全问题等多种方式，</w:t>
      </w:r>
      <w:r>
        <w:rPr>
          <w:color w:val="000000"/>
        </w:rPr>
        <w:t>强化企业主体责任意识</w:t>
      </w:r>
      <w:r>
        <w:rPr>
          <w:rFonts w:hint="eastAsia"/>
          <w:color w:val="000000"/>
        </w:rPr>
        <w:t>，提升公众参与意识，营造良好食品安全氛围。</w:t>
      </w:r>
    </w:p>
    <w:p w14:paraId="094CAB48">
      <w:pPr>
        <w:overflowPunct/>
        <w:topLinePunct w:val="0"/>
        <w:adjustRightInd/>
      </w:pPr>
      <w:r>
        <w:rPr>
          <w:rFonts w:hint="eastAsia"/>
        </w:rPr>
        <w:t>3.</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组织走进海关实验室活动。组织社会人员到天津海关科技大楼参观科技展以及食品安全实验室，讲解进出口食品安全监管知识，发放食品安全宣传材料和动植</w:t>
      </w:r>
      <w:r>
        <w:rPr>
          <w:rFonts w:hint="eastAsia" w:ascii="仿宋_GB2312" w:hAnsi="仿宋_GB2312" w:cs="仿宋_GB2312"/>
          <w:b w:val="0"/>
          <w:bCs w:val="0"/>
          <w:i w:val="0"/>
          <w:iCs w:val="0"/>
          <w:caps w:val="0"/>
          <w:color w:val="000000"/>
          <w:spacing w:val="0"/>
          <w:kern w:val="0"/>
          <w:sz w:val="32"/>
          <w:szCs w:val="32"/>
          <w:lang w:val="en-US" w:eastAsia="zh-CN" w:bidi="ar"/>
        </w:rPr>
        <w:t>食中心业务简介材料。</w:t>
      </w:r>
    </w:p>
    <w:p w14:paraId="4FD91C17">
      <w:pPr>
        <w:overflowPunct/>
        <w:topLinePunct w:val="0"/>
        <w:adjustRightInd/>
        <w:rPr>
          <w:color w:val="FF0000"/>
        </w:rPr>
      </w:pPr>
      <w:r>
        <w:rPr>
          <w:rFonts w:hint="eastAsia"/>
          <w:color w:val="000000"/>
        </w:rPr>
        <w:t>4.利用各类新媒体平台开展宣传活动。充分利用海关和社会各类新媒体平台，例如微信公众号、微博、抖音短视频等新媒体资源，结合实际生活案例开展宣传，形成互动式传播态势，提升公众对食品安全的关注度。</w:t>
      </w:r>
    </w:p>
    <w:p w14:paraId="0EFBF861">
      <w:pPr>
        <w:overflowPunct/>
        <w:topLinePunct w:val="0"/>
        <w:adjustRightInd/>
      </w:pPr>
      <w:r>
        <w:rPr>
          <w:rFonts w:hint="eastAsia"/>
        </w:rPr>
        <w:t>5.联合所在地监管部门共同开展宣传活动。向广大消费者讲解食品选购常识、标签中营养成分表的含义、常见微生物指标不合格等知识，不断提高市民的食品安全意识。</w:t>
      </w:r>
    </w:p>
    <w:p w14:paraId="01917F44">
      <w:pPr>
        <w:snapToGrid w:val="0"/>
        <w:jc w:val="left"/>
        <w:rPr>
          <w:rFonts w:eastAsia="楷体_GB2312" w:cs="楷体_GB2312"/>
          <w:color w:val="000000" w:themeColor="text1"/>
          <w14:textFill>
            <w14:solidFill>
              <w14:schemeClr w14:val="tx1"/>
            </w14:solidFill>
          </w14:textFill>
        </w:rPr>
      </w:pPr>
      <w:r>
        <w:rPr>
          <w:rFonts w:hint="eastAsia" w:eastAsia="楷体_GB2312" w:cs="楷体_GB2312"/>
          <w:color w:val="000000" w:themeColor="text1"/>
          <w14:textFill>
            <w14:solidFill>
              <w14:schemeClr w14:val="tx1"/>
            </w14:solidFill>
          </w14:textFill>
        </w:rPr>
        <w:t>（七）市工业和信息化局</w:t>
      </w:r>
    </w:p>
    <w:p w14:paraId="0A88CB3F">
      <w:pPr>
        <w:overflowPunct/>
        <w:topLinePunct w:val="0"/>
        <w:adjustRightInd/>
      </w:pPr>
      <w:r>
        <w:rPr>
          <w:rFonts w:hint="eastAsia"/>
        </w:rPr>
        <w:t>1.深入企业开展食品安全宣传。围绕食品安全宣传周主题，赴乳制品加工和饮料制造等食品生产企业，通过座谈交流、现场指导等多种形式进行广泛宣传，强化食品企业依法依规生产经营，进一步压实企业食品安全主体责任。</w:t>
      </w:r>
    </w:p>
    <w:p w14:paraId="4B439953">
      <w:pPr>
        <w:overflowPunct/>
        <w:topLinePunct w:val="0"/>
        <w:adjustRightInd/>
      </w:pPr>
      <w:r>
        <w:rPr>
          <w:rFonts w:hint="eastAsia"/>
        </w:rPr>
        <w:t>2.强化食盐电子追溯体系保障。加强对4家食盐定点生产企业电子追溯系统数据常态化上传指导，确保实现食盐产品源头可追溯、流向可追踪、信息可查询，保障食盐市场秩序，让市民吃好盐，吃放心盐。</w:t>
      </w:r>
    </w:p>
    <w:p w14:paraId="2A8A12C8">
      <w:pPr>
        <w:rPr>
          <w:rFonts w:ascii="楷体" w:hAnsi="楷体" w:eastAsia="楷体" w:cs="楷体"/>
        </w:rPr>
      </w:pPr>
      <w:r>
        <w:rPr>
          <w:rFonts w:hint="eastAsia" w:ascii="楷体" w:hAnsi="楷体" w:eastAsia="楷体" w:cs="楷体"/>
        </w:rPr>
        <w:t>（八）市民族宗教委</w:t>
      </w:r>
    </w:p>
    <w:p w14:paraId="510F9ABE">
      <w:pPr>
        <w:overflowPunct/>
        <w:topLinePunct w:val="0"/>
        <w:adjustRightInd/>
      </w:pPr>
      <w:r>
        <w:t>开展食品安全和清真食品工作检查，</w:t>
      </w:r>
      <w:r>
        <w:rPr>
          <w:rFonts w:hint="eastAsia"/>
        </w:rPr>
        <w:t>突出对清真食品生产经营单位的检查，</w:t>
      </w:r>
      <w:r>
        <w:t>走访较大的商业体和旅游景点，采取多种形式向较有影响的商户宣传“尚德守法 共享食安”主题。</w:t>
      </w:r>
    </w:p>
    <w:p w14:paraId="6D7B2D7C">
      <w:pPr>
        <w:snapToGrid w:val="0"/>
        <w:jc w:val="left"/>
        <w:rPr>
          <w:rFonts w:eastAsia="楷体_GB2312" w:cs="楷体_GB2312"/>
        </w:rPr>
      </w:pPr>
      <w:r>
        <w:rPr>
          <w:rFonts w:hint="eastAsia" w:eastAsia="楷体_GB2312" w:cs="楷体_GB2312"/>
        </w:rPr>
        <w:t>（九）市民政局</w:t>
      </w:r>
    </w:p>
    <w:p w14:paraId="2AC22CDE">
      <w:r>
        <w:rPr>
          <w:rFonts w:hint="eastAsia" w:ascii="仿宋_GB2312" w:hAnsi="仿宋_GB2312" w:cs="仿宋_GB2312"/>
        </w:rPr>
        <w:t>组织天津市养老机构协会和养老服务促进会分别深入养老机构和日间照料中心，突出“尚德守法·共享食安”主题，通过发放宣传资料、悬挂横幅等方式进行食品安全知识宣讲，切实提升养老机构和老年人群体</w:t>
      </w:r>
      <w:r>
        <w:rPr>
          <w:rFonts w:hint="eastAsia" w:ascii="仿宋_GB2312" w:hAnsi="仿宋_GB2312" w:cs="仿宋_GB2312"/>
          <w:lang w:eastAsia="zh-CN"/>
        </w:rPr>
        <w:t>的</w:t>
      </w:r>
      <w:r>
        <w:rPr>
          <w:rFonts w:hint="eastAsia" w:ascii="仿宋_GB2312" w:hAnsi="仿宋_GB2312" w:cs="仿宋_GB2312"/>
        </w:rPr>
        <w:t>食品安全意识。</w:t>
      </w:r>
    </w:p>
    <w:p w14:paraId="51946497">
      <w:pPr>
        <w:snapToGrid w:val="0"/>
        <w:jc w:val="left"/>
        <w:rPr>
          <w:rFonts w:eastAsia="楷体_GB2312" w:cs="楷体_GB2312"/>
        </w:rPr>
      </w:pPr>
      <w:r>
        <w:rPr>
          <w:rFonts w:hint="eastAsia" w:eastAsia="楷体_GB2312" w:cs="楷体_GB2312"/>
        </w:rPr>
        <w:t>（十）市司法局</w:t>
      </w:r>
    </w:p>
    <w:p w14:paraId="65B3860B">
      <w:pPr>
        <w:snapToGrid w:val="0"/>
        <w:rPr>
          <w:bCs/>
        </w:rPr>
      </w:pPr>
      <w:r>
        <w:rPr>
          <w:rFonts w:hint="eastAsia"/>
        </w:rPr>
        <w:t>围绕宣传周活动主题，</w:t>
      </w:r>
      <w:r>
        <w:t>充分利用</w:t>
      </w:r>
      <w:r>
        <w:rPr>
          <w:rFonts w:hint="eastAsia" w:ascii="仿宋_GB2312" w:hAnsi="仿宋_GB2312" w:cs="仿宋_GB2312"/>
        </w:rPr>
        <w:t>“天津司法”</w:t>
      </w:r>
      <w:r>
        <w:t>微信、微博、客户端等各级政务新媒体平台，持续发布有关食品安全科普常识等内容</w:t>
      </w:r>
      <w:r>
        <w:rPr>
          <w:rFonts w:hint="eastAsia"/>
        </w:rPr>
        <w:t>。</w:t>
      </w:r>
      <w:r>
        <w:t>组织广大干警和法律服务工作者观看、转发有关食品安全科普视频</w:t>
      </w:r>
      <w:r>
        <w:rPr>
          <w:rFonts w:hint="eastAsia"/>
        </w:rPr>
        <w:t>。组织</w:t>
      </w:r>
      <w:r>
        <w:t>律师事务所、公证处等窗口单位利用直接接触群众优势，在服务大厅突出宣传警示标语，普及食品安全知识。</w:t>
      </w:r>
    </w:p>
    <w:p w14:paraId="7E71149E">
      <w:pPr>
        <w:snapToGrid w:val="0"/>
        <w:jc w:val="left"/>
        <w:rPr>
          <w:rFonts w:eastAsia="楷体_GB2312" w:cs="楷体_GB2312"/>
        </w:rPr>
      </w:pPr>
      <w:r>
        <w:rPr>
          <w:rFonts w:hint="eastAsia" w:eastAsia="楷体_GB2312" w:cs="楷体_GB2312"/>
        </w:rPr>
        <w:t>（十一）市规划资源局</w:t>
      </w:r>
    </w:p>
    <w:p w14:paraId="7F74FB50">
      <w:pPr>
        <w:snapToGrid w:val="0"/>
        <w:rPr>
          <w:rFonts w:hint="eastAsia"/>
          <w:lang w:val="en-US" w:eastAsia="zh-CN"/>
        </w:rPr>
      </w:pPr>
      <w:r>
        <w:rPr>
          <w:rFonts w:hint="eastAsia"/>
          <w:lang w:val="en-US" w:eastAsia="zh-CN"/>
        </w:rPr>
        <w:t>1.编写食用林产品安全相关科普文章，利用“天津规划自然资源”官网平台、微信公众号发布，提升公众对食用林产品安全“从农场到餐桌”的安全意识。</w:t>
      </w:r>
    </w:p>
    <w:p w14:paraId="05676C8F">
      <w:pPr>
        <w:snapToGrid w:val="0"/>
      </w:pPr>
      <w:r>
        <w:rPr>
          <w:rFonts w:hint="eastAsia"/>
          <w:lang w:val="en-US" w:eastAsia="zh-CN"/>
        </w:rPr>
        <w:t>2.利用天津市规划展览馆对外窗口发放宣传资料、悬挂宣传海报，扩大食品安全宣传影响力。</w:t>
      </w:r>
    </w:p>
    <w:p w14:paraId="3AAB126E">
      <w:pPr>
        <w:pStyle w:val="4"/>
        <w:spacing w:beforeAutospacing="0" w:afterAutospacing="0"/>
        <w:rPr>
          <w:rFonts w:hint="default" w:ascii="楷体_GB2312" w:hAnsi="楷体" w:eastAsia="楷体_GB2312" w:cs="楷体"/>
          <w:sz w:val="32"/>
          <w:szCs w:val="32"/>
        </w:rPr>
      </w:pPr>
      <w:r>
        <w:rPr>
          <w:rFonts w:ascii="楷体_GB2312" w:hAnsi="楷体" w:eastAsia="楷体_GB2312" w:cs="楷体"/>
          <w:sz w:val="32"/>
          <w:szCs w:val="32"/>
        </w:rPr>
        <w:t>（十二）市生态环境局</w:t>
      </w:r>
    </w:p>
    <w:p w14:paraId="676D2408">
      <w:pPr>
        <w:snapToGrid w:val="0"/>
      </w:pPr>
      <w:r>
        <w:t>组织各涉农区继续开展《农用地土壤污染防治科普图册》宣传活动。面向群众普及农用地土壤污染防治科学知识，在全社会营造浓厚食品安全社会共治氛围。</w:t>
      </w:r>
    </w:p>
    <w:p w14:paraId="11F86219">
      <w:pPr>
        <w:pStyle w:val="4"/>
        <w:spacing w:beforeAutospacing="0" w:afterAutospacing="0"/>
        <w:rPr>
          <w:rFonts w:hint="default" w:ascii="楷体" w:hAnsi="楷体" w:eastAsia="楷体" w:cs="楷体"/>
          <w:sz w:val="32"/>
          <w:szCs w:val="32"/>
        </w:rPr>
      </w:pPr>
      <w:r>
        <w:rPr>
          <w:rFonts w:ascii="楷体" w:hAnsi="楷体" w:eastAsia="楷体" w:cs="楷体"/>
          <w:sz w:val="32"/>
          <w:szCs w:val="32"/>
        </w:rPr>
        <w:t>（十三）市住房城乡建设委</w:t>
      </w:r>
    </w:p>
    <w:p w14:paraId="4161F060">
      <w:r>
        <w:rPr>
          <w:rFonts w:hint="eastAsia"/>
        </w:rPr>
        <w:t>1.在建筑工地显著位置张贴食品安全宣传周的主题口号和标语，并采用通俗易懂方式，面向全体参建人员开展食品安全宣传活动，普及食品安全知识，弘扬食品安全正能量。</w:t>
      </w:r>
    </w:p>
    <w:p w14:paraId="19379F78">
      <w:r>
        <w:rPr>
          <w:rFonts w:hint="eastAsia"/>
        </w:rPr>
        <w:t>2.督促建筑工地制定完善食品安全应急预案，优化建筑工地食品安全管理，增强食品安全预防意识，防止建筑工程食品安全事故发生。</w:t>
      </w:r>
    </w:p>
    <w:p w14:paraId="03D85518">
      <w:pPr>
        <w:snapToGrid w:val="0"/>
        <w:jc w:val="left"/>
        <w:rPr>
          <w:rFonts w:eastAsia="楷体_GB2312" w:cs="楷体_GB2312"/>
        </w:rPr>
      </w:pPr>
      <w:r>
        <w:rPr>
          <w:rFonts w:hint="eastAsia" w:eastAsia="楷体_GB2312" w:cs="楷体_GB2312"/>
        </w:rPr>
        <w:t>（十四）市城市管理委</w:t>
      </w:r>
    </w:p>
    <w:p w14:paraId="1FD27201">
      <w:r>
        <w:rPr>
          <w:rFonts w:hint="eastAsia"/>
        </w:rPr>
        <w:t>组织开展厨余垃圾规范处置主题宣传活动，进一步规范厨余垃圾分类处置全过程管理。采取政策宣贯、发放明白纸、张贴标语海报、走访宣传等多种形式，动员和指导城市管理行业内社会团体、市场主体、协会、广大居民、产废单位等开展厨余垃圾规范处置宣传活动，营造良好厨余垃圾规范处置氛围。</w:t>
      </w:r>
    </w:p>
    <w:p w14:paraId="41557908">
      <w:pPr>
        <w:snapToGrid w:val="0"/>
        <w:jc w:val="left"/>
        <w:rPr>
          <w:rFonts w:eastAsia="楷体_GB2312" w:cs="楷体_GB2312"/>
        </w:rPr>
      </w:pPr>
      <w:r>
        <w:rPr>
          <w:rFonts w:hint="eastAsia" w:eastAsia="楷体_GB2312" w:cs="楷体_GB2312"/>
        </w:rPr>
        <w:t>（十五）市交通运输委</w:t>
      </w:r>
    </w:p>
    <w:p w14:paraId="536DD2A8">
      <w:pPr>
        <w:snapToGrid w:val="0"/>
        <w:jc w:val="left"/>
      </w:pPr>
      <w:r>
        <w:rPr>
          <w:rFonts w:hint="eastAsia"/>
        </w:rPr>
        <w:t>开展“食品安全进地铁”公益宣传活动，在地铁站、地铁车厢等人员密集场所充分利用电子显示屏播放短片、张贴宣传海报等形式，广泛宣传食品安全知识。</w:t>
      </w:r>
    </w:p>
    <w:p w14:paraId="305F1D2F">
      <w:pPr>
        <w:snapToGrid w:val="0"/>
        <w:jc w:val="left"/>
        <w:rPr>
          <w:rFonts w:eastAsia="楷体_GB2312"/>
        </w:rPr>
      </w:pPr>
      <w:r>
        <w:rPr>
          <w:rFonts w:hint="eastAsia" w:eastAsia="楷体_GB2312" w:cs="楷体_GB2312"/>
          <w:color w:val="000000" w:themeColor="text1"/>
          <w14:textFill>
            <w14:solidFill>
              <w14:schemeClr w14:val="tx1"/>
            </w14:solidFill>
          </w14:textFill>
        </w:rPr>
        <w:t>（十六）市商务局</w:t>
      </w:r>
    </w:p>
    <w:p w14:paraId="43FADA4D">
      <w:pPr>
        <w:snapToGrid w:val="0"/>
        <w:ind w:firstLine="631" w:firstLineChars="0"/>
        <w:jc w:val="left"/>
      </w:pPr>
      <w:r>
        <w:rPr>
          <w:lang w:val="en"/>
        </w:rPr>
        <w:t>1.</w:t>
      </w:r>
      <w:r>
        <w:rPr>
          <w:rFonts w:hint="eastAsia"/>
        </w:rPr>
        <w:t>促进食品安全社会共治。</w:t>
      </w:r>
      <w:r>
        <w:t>充分发挥天津市烹饪协会等行业协会桥梁纽带、行业自律、示范引领作用，</w:t>
      </w:r>
      <w:r>
        <w:rPr>
          <w:rFonts w:hint="eastAsia"/>
        </w:rPr>
        <w:t>促进食品安全消费社会共治</w:t>
      </w:r>
      <w:r>
        <w:t>。</w:t>
      </w:r>
    </w:p>
    <w:p w14:paraId="5CF097D3">
      <w:pPr>
        <w:snapToGrid w:val="0"/>
        <w:ind w:firstLine="631" w:firstLineChars="0"/>
        <w:jc w:val="left"/>
      </w:pPr>
      <w:r>
        <w:rPr>
          <w:lang w:val="en"/>
        </w:rPr>
        <w:t>2.</w:t>
      </w:r>
      <w:r>
        <w:rPr>
          <w:rFonts w:hint="eastAsia"/>
        </w:rPr>
        <w:t>推动标准化菜市场升级改造。</w:t>
      </w:r>
      <w:r>
        <w:t>新建和改造提升9个标准化菜市场，给百姓买菜购物提供更加便利、安全、整洁的</w:t>
      </w:r>
      <w:r>
        <w:rPr>
          <w:rFonts w:hint="eastAsia"/>
        </w:rPr>
        <w:t>食品消费</w:t>
      </w:r>
      <w:r>
        <w:t>环境。</w:t>
      </w:r>
    </w:p>
    <w:p w14:paraId="0349FD69">
      <w:pPr>
        <w:snapToGrid w:val="0"/>
        <w:ind w:firstLine="631" w:firstLineChars="0"/>
        <w:jc w:val="left"/>
      </w:pPr>
      <w:r>
        <w:rPr>
          <w:lang w:val="en"/>
        </w:rPr>
        <w:t>3.</w:t>
      </w:r>
      <w:r>
        <w:rPr>
          <w:rFonts w:hint="eastAsia"/>
        </w:rPr>
        <w:t>推进商圈消费水平升级。推动金街、五大道、意风区、古文化街等集合商圈食商文旅融合发展，加快重点商圈消费水平升级。</w:t>
      </w:r>
    </w:p>
    <w:p w14:paraId="1573A7FA">
      <w:pPr>
        <w:snapToGrid w:val="0"/>
        <w:ind w:firstLine="631" w:firstLineChars="0"/>
        <w:jc w:val="left"/>
      </w:pPr>
      <w:r>
        <w:rPr>
          <w:lang w:val="en"/>
        </w:rPr>
        <w:t>4.</w:t>
      </w:r>
      <w:r>
        <w:rPr>
          <w:rFonts w:hint="eastAsia"/>
        </w:rPr>
        <w:t>推广健康消费理念。</w:t>
      </w:r>
      <w:r>
        <w:t>发挥行业协会作用，引导零售药店拓展健康促进、营养保健等功能。发挥零售药店执业药师优势，开展合理用药、慢性病管理等健康知识咨询和宣传</w:t>
      </w:r>
      <w:r>
        <w:rPr>
          <w:rFonts w:hint="eastAsia"/>
        </w:rPr>
        <w:t>，扩大健康消费受众面。</w:t>
      </w:r>
    </w:p>
    <w:p w14:paraId="54DEF665">
      <w:pPr>
        <w:snapToGrid w:val="0"/>
        <w:ind w:firstLine="631" w:firstLineChars="0"/>
        <w:jc w:val="left"/>
      </w:pPr>
      <w:r>
        <w:rPr>
          <w:lang w:val="en"/>
        </w:rPr>
        <w:t>5.</w:t>
      </w:r>
      <w:r>
        <w:rPr>
          <w:rFonts w:hint="eastAsia"/>
        </w:rPr>
        <w:t>推进跨境电商进口食品安全消费。配合相关部门，督促跨境电商零售进口食品企业落实主体责任，严厉打击虚假宣传、售卖不合格食品等违法违规行为。</w:t>
      </w:r>
    </w:p>
    <w:p w14:paraId="41A2D710">
      <w:pPr>
        <w:snapToGrid w:val="0"/>
        <w:ind w:firstLine="631" w:firstLineChars="0"/>
        <w:jc w:val="left"/>
      </w:pPr>
      <w:r>
        <w:rPr>
          <w:lang w:val="en"/>
        </w:rPr>
        <w:t>6.</w:t>
      </w:r>
      <w:r>
        <w:rPr>
          <w:rFonts w:hint="eastAsia"/>
        </w:rPr>
        <w:t>持续加强食品安全宣传推介。</w:t>
      </w:r>
      <w:r>
        <w:t>持续通过多种方式广泛宣传反食品浪费法及行业规范，在餐饮行业积极营造厉行节俭、反对浪费新风尚。</w:t>
      </w:r>
    </w:p>
    <w:p w14:paraId="7620A6A9">
      <w:pPr>
        <w:snapToGrid w:val="0"/>
        <w:ind w:firstLine="631" w:firstLineChars="0"/>
        <w:jc w:val="left"/>
      </w:pPr>
      <w:r>
        <w:rPr>
          <w:rFonts w:hint="eastAsia" w:eastAsia="楷体_GB2312" w:cs="楷体_GB2312"/>
          <w:color w:val="000000" w:themeColor="text1"/>
          <w14:textFill>
            <w14:solidFill>
              <w14:schemeClr w14:val="tx1"/>
            </w14:solidFill>
          </w14:textFill>
        </w:rPr>
        <w:t>（十七）市文化和旅游局</w:t>
      </w:r>
    </w:p>
    <w:p w14:paraId="4A0F9894">
      <w:pPr>
        <w:snapToGrid w:val="0"/>
        <w:ind w:firstLine="631" w:firstLineChars="0"/>
        <w:jc w:val="left"/>
      </w:pPr>
      <w:r>
        <w:rPr>
          <w:rFonts w:hint="eastAsia"/>
        </w:rPr>
        <w:t>1.组织食品安全教育培训。围绕宣传周主题，指导督促各级文旅管理部门组织食品安全教育培训，强化食品安全法律法规学习，宣传普及A级旅游景区食品安全事故防范措施，提高食品安全服务质量。</w:t>
      </w:r>
    </w:p>
    <w:p w14:paraId="3AB91A78">
      <w:pPr>
        <w:snapToGrid w:val="0"/>
        <w:ind w:firstLine="631" w:firstLineChars="0"/>
        <w:jc w:val="left"/>
      </w:pPr>
      <w:r>
        <w:rPr>
          <w:rFonts w:hint="eastAsia"/>
        </w:rPr>
        <w:t>2.组织开展食品安全宣传。以A级旅游景区和局属学校、幼儿园等单位为重点，充分利用本单位网络新媒体微博、微信公众号、门户网站、新闻客户端、通过LED电子屏、多媒体广告屏、电梯间屏幕等多种载体，通过张贴宣传海报、制作食品安全宣传专栏、播放食品安全视频和宣传标语等多种形式开展宣传活动。</w:t>
      </w:r>
    </w:p>
    <w:p w14:paraId="76AEB6A6">
      <w:pPr>
        <w:snapToGrid w:val="0"/>
        <w:ind w:firstLine="631" w:firstLineChars="0"/>
        <w:jc w:val="left"/>
      </w:pPr>
      <w:r>
        <w:rPr>
          <w:rFonts w:hint="eastAsia"/>
        </w:rPr>
        <w:t>3.完善应急预案加强处置演练。督促A级旅游景区结合实际修订完善食品安全应急预案，在本单位内部开展食品安全事故实战演练，并主动联系属地市场监管和卫生部门联合演练，提高食品安全应急处置能力。</w:t>
      </w:r>
    </w:p>
    <w:p w14:paraId="58C17859">
      <w:pPr>
        <w:rPr>
          <w:rFonts w:ascii="楷体" w:hAnsi="楷体" w:eastAsia="楷体" w:cs="楷体"/>
        </w:rPr>
      </w:pPr>
      <w:r>
        <w:rPr>
          <w:rFonts w:hint="eastAsia" w:ascii="楷体" w:hAnsi="楷体" w:eastAsia="楷体" w:cs="楷体"/>
        </w:rPr>
        <w:t>（十八）市机关事务管理局</w:t>
      </w:r>
    </w:p>
    <w:p w14:paraId="0DC162FF">
      <w:r>
        <w:rPr>
          <w:rFonts w:hint="eastAsia"/>
        </w:rPr>
        <w:t>1.开展友谊路集中办公区食品安全宣传主场活动。设置食品安全宣传展板，宣传《食品安全法》《反食品浪费法》核心条款。利用LED屏和餐厅档口处的显示屏滚动播放食品安全宣传内容。同时，组织开展员工食品安全培训和食品安全自查。</w:t>
      </w:r>
    </w:p>
    <w:p w14:paraId="4C67C074">
      <w:r>
        <w:rPr>
          <w:rFonts w:hint="eastAsia"/>
        </w:rPr>
        <w:t>2.</w:t>
      </w:r>
      <w:r>
        <w:rPr>
          <w:rFonts w:hint="eastAsia"/>
          <w:lang w:eastAsia="zh-CN"/>
        </w:rPr>
        <w:t>组织</w:t>
      </w:r>
      <w:r>
        <w:rPr>
          <w:rFonts w:hint="eastAsia"/>
        </w:rPr>
        <w:t>局属各单位（点位）结合实际，围绕宣传周活动主题，开展食品安全宣传。</w:t>
      </w:r>
    </w:p>
    <w:p w14:paraId="23FC90F1">
      <w:pPr>
        <w:rPr>
          <w:rFonts w:ascii="楷体" w:hAnsi="楷体" w:eastAsia="楷体" w:cs="楷体"/>
        </w:rPr>
      </w:pPr>
      <w:r>
        <w:rPr>
          <w:rFonts w:hint="eastAsia" w:ascii="楷体" w:hAnsi="楷体" w:eastAsia="楷体" w:cs="楷体"/>
        </w:rPr>
        <w:t>（十九）市知识产权局</w:t>
      </w:r>
    </w:p>
    <w:p w14:paraId="26B24D10">
      <w:pPr>
        <w:overflowPunct/>
        <w:topLinePunct w:val="0"/>
        <w:adjustRightInd/>
      </w:pPr>
      <w:r>
        <w:t>围绕企业商标申请、注册、布局、管理等方面以及驰名商标、地理标志、官方标志、特殊标志等</w:t>
      </w:r>
      <w:r>
        <w:rPr>
          <w:rFonts w:hint="eastAsia"/>
        </w:rPr>
        <w:t>，组织开展</w:t>
      </w:r>
      <w:r>
        <w:t>行政执法工作线上线下培训活动</w:t>
      </w:r>
      <w:r>
        <w:rPr>
          <w:rFonts w:hint="eastAsia"/>
        </w:rPr>
        <w:t>。</w:t>
      </w:r>
    </w:p>
    <w:p w14:paraId="5D0AC929">
      <w:pPr>
        <w:rPr>
          <w:rFonts w:eastAsia="楷体_GB2312" w:cs="楷体_GB2312"/>
          <w:color w:val="000000" w:themeColor="text1"/>
          <w14:textFill>
            <w14:solidFill>
              <w14:schemeClr w14:val="tx1"/>
            </w14:solidFill>
          </w14:textFill>
        </w:rPr>
      </w:pPr>
      <w:r>
        <w:rPr>
          <w:rFonts w:hint="eastAsia" w:eastAsia="楷体_GB2312" w:cs="楷体_GB2312"/>
          <w:color w:val="000000" w:themeColor="text1"/>
          <w14:textFill>
            <w14:solidFill>
              <w14:schemeClr w14:val="tx1"/>
            </w14:solidFill>
          </w14:textFill>
        </w:rPr>
        <w:t>（二十）市粮食和物资局</w:t>
      </w:r>
    </w:p>
    <w:p w14:paraId="58EF225D">
      <w:pPr>
        <w:overflowPunct/>
        <w:topLinePunct w:val="0"/>
        <w:adjustRightInd/>
        <w:rPr>
          <w:rFonts w:eastAsia="楷体_GB2312" w:cs="楷体_GB2312"/>
          <w:color w:val="000000" w:themeColor="text1"/>
          <w14:textFill>
            <w14:solidFill>
              <w14:schemeClr w14:val="tx1"/>
            </w14:solidFill>
          </w14:textFill>
        </w:rPr>
      </w:pPr>
      <w:r>
        <w:rPr>
          <w:rFonts w:hint="eastAsia" w:ascii="仿宋_GB2312" w:hAnsi="仿宋_GB2312" w:cs="仿宋_GB2312"/>
        </w:rPr>
        <w:t>围绕宣传周活动主题，印制宣传手册、画报等，悬挂宣传横幅。联合有关单位共同开展现场咨询活动，发放宣传资料，让更多人了解并参与到食品安全宣传活动中来，进一步扩大食品安全宣传周的影响力。</w:t>
      </w:r>
    </w:p>
    <w:p w14:paraId="757A9A57">
      <w:pPr>
        <w:snapToGrid w:val="0"/>
        <w:jc w:val="left"/>
        <w:rPr>
          <w:rFonts w:eastAsia="楷体_GB2312" w:cs="楷体_GB2312"/>
        </w:rPr>
      </w:pPr>
      <w:r>
        <w:rPr>
          <w:rFonts w:hint="eastAsia" w:eastAsia="楷体_GB2312" w:cs="楷体_GB2312"/>
        </w:rPr>
        <w:t>（二十一）市高级人民法院</w:t>
      </w:r>
    </w:p>
    <w:p w14:paraId="32A0809F">
      <w:pPr>
        <w:snapToGrid w:val="0"/>
        <w:jc w:val="left"/>
        <w:rPr>
          <w:rFonts w:hint="eastAsia"/>
        </w:rPr>
      </w:pPr>
      <w:r>
        <w:rPr>
          <w:rFonts w:hint="eastAsia"/>
        </w:rPr>
        <w:t>1.加强案件审判。在食品安全宣传周期间，全市法院充分发挥审判职能，依法严厉打击危害食品安全违法犯罪活动，集中严惩重处一批危害食品安全犯罪分子，形成有力震慑。</w:t>
      </w:r>
    </w:p>
    <w:p w14:paraId="1014D78C">
      <w:pPr>
        <w:snapToGrid w:val="0"/>
        <w:jc w:val="left"/>
      </w:pPr>
      <w:r>
        <w:rPr>
          <w:rFonts w:hint="eastAsia"/>
        </w:rPr>
        <w:t>2.加强法治宣传工作。围绕宣传周活动主题，组织各级法院通过公开开庭审理、公开宣判、法治宣传、普法教育等多种形式，宣传打击危害食品安全违法犯罪的工作成果、典型案例等，充分发挥法律的规范、引导作用。</w:t>
      </w:r>
    </w:p>
    <w:p w14:paraId="3D9CF404">
      <w:pPr>
        <w:snapToGrid w:val="0"/>
        <w:jc w:val="left"/>
        <w:rPr>
          <w:rFonts w:eastAsia="楷体_GB2312" w:cs="楷体_GB2312"/>
        </w:rPr>
      </w:pPr>
      <w:r>
        <w:rPr>
          <w:rFonts w:hint="eastAsia" w:eastAsia="楷体_GB2312" w:cs="楷体_GB2312"/>
        </w:rPr>
        <w:t>（二十二）市人民检察院</w:t>
      </w:r>
    </w:p>
    <w:p w14:paraId="3D815F5A">
      <w:pPr>
        <w:snapToGrid w:val="0"/>
        <w:jc w:val="left"/>
      </w:pPr>
      <w:r>
        <w:rPr>
          <w:rFonts w:hint="eastAsia"/>
        </w:rPr>
        <w:t>1.组织检察干警开展食品安全宣传进社区、进厂区活动，增强民众的食品安全意识。</w:t>
      </w:r>
    </w:p>
    <w:p w14:paraId="0B7C9CD6">
      <w:pPr>
        <w:ind w:firstLineChars="0"/>
      </w:pPr>
      <w:r>
        <w:rPr>
          <w:rFonts w:hint="eastAsia"/>
        </w:rPr>
        <w:t>2.利用检察机关微信公众号，介绍食品安全新型违法犯罪行为及典型案例，科普食品安全法律知识，提升群众法律意识。</w:t>
      </w:r>
    </w:p>
    <w:p w14:paraId="4AE1228A">
      <w:pPr>
        <w:snapToGrid w:val="0"/>
        <w:jc w:val="left"/>
        <w:rPr>
          <w:rFonts w:eastAsia="楷体_GB2312" w:cs="楷体_GB2312"/>
        </w:rPr>
      </w:pPr>
      <w:r>
        <w:rPr>
          <w:rFonts w:hint="eastAsia" w:eastAsia="楷体_GB2312" w:cs="楷体_GB2312"/>
        </w:rPr>
        <w:t>（二十三）民航天津监管局</w:t>
      </w:r>
    </w:p>
    <w:p w14:paraId="61F2F370">
      <w:pPr>
        <w:rPr>
          <w:rFonts w:ascii="仿宋_GB2312" w:hAnsi="仿宋_GB2312" w:cs="仿宋_GB2312"/>
        </w:rPr>
      </w:pPr>
      <w:r>
        <w:rPr>
          <w:rFonts w:hint="eastAsia" w:ascii="仿宋_GB2312" w:hAnsi="仿宋_GB2312" w:cs="仿宋_GB2312"/>
          <w:lang w:eastAsia="zh-CN"/>
        </w:rPr>
        <w:t>指导</w:t>
      </w:r>
      <w:r>
        <w:rPr>
          <w:rFonts w:hint="eastAsia" w:ascii="仿宋_GB2312" w:hAnsi="仿宋_GB2312" w:cs="仿宋_GB2312"/>
        </w:rPr>
        <w:t>天津辖区主基地运输航空公司通过机上广播、机上娱乐系统、旅客互动、自由公众号图文视频等形式宣传食品安全知识，开展食品安全知识培训，提升机组人员的食品安全意识和操作技能，确保机上餐食质量安全。</w:t>
      </w:r>
    </w:p>
    <w:p w14:paraId="46AF4D4D">
      <w:pPr>
        <w:snapToGrid w:val="0"/>
        <w:jc w:val="left"/>
        <w:rPr>
          <w:rFonts w:eastAsia="楷体_GB2312" w:cs="楷体_GB2312"/>
        </w:rPr>
      </w:pPr>
      <w:r>
        <w:rPr>
          <w:rFonts w:hint="eastAsia" w:eastAsia="楷体_GB2312" w:cs="楷体_GB2312"/>
        </w:rPr>
        <w:t>（二十四）中国铁路北京局集团有限公司天津铁路办事处</w:t>
      </w:r>
    </w:p>
    <w:p w14:paraId="7CDE3C58">
      <w:pPr>
        <w:pStyle w:val="4"/>
        <w:overflowPunct/>
        <w:topLinePunct w:val="0"/>
        <w:adjustRightInd/>
        <w:spacing w:beforeAutospacing="0" w:afterAutospacing="0"/>
        <w:jc w:val="left"/>
        <w:rPr>
          <w:rFonts w:hint="default" w:ascii="Times New Roman" w:hAnsi="Times New Roman"/>
          <w:sz w:val="32"/>
          <w:szCs w:val="32"/>
        </w:rPr>
      </w:pPr>
      <w:r>
        <w:rPr>
          <w:rFonts w:ascii="Times New Roman" w:hAnsi="Times New Roman"/>
          <w:sz w:val="32"/>
          <w:szCs w:val="32"/>
        </w:rPr>
        <w:t>1.举办“尚德守法 共享食安”铁路主题食品安全宣传日活动。以铁路重点客运车站为活动现场，展示高铁车站食品安全信息化建设、铁路互联网订餐、旅游列车食品管理和食品安全监管系统成果，通过现场宣传、网络宣传和铁路站车视频、广播等形式，全方位进行食品安全宣传。</w:t>
      </w:r>
    </w:p>
    <w:p w14:paraId="58E756E3">
      <w:pPr>
        <w:pStyle w:val="4"/>
        <w:overflowPunct/>
        <w:topLinePunct w:val="0"/>
        <w:adjustRightInd/>
        <w:spacing w:beforeAutospacing="0" w:afterAutospacing="0"/>
        <w:jc w:val="left"/>
        <w:rPr>
          <w:rFonts w:hint="default" w:ascii="Times New Roman" w:hAnsi="Times New Roman"/>
          <w:sz w:val="32"/>
          <w:szCs w:val="32"/>
        </w:rPr>
      </w:pPr>
      <w:r>
        <w:rPr>
          <w:rFonts w:ascii="Times New Roman" w:hAnsi="Times New Roman"/>
          <w:sz w:val="32"/>
          <w:szCs w:val="32"/>
        </w:rPr>
        <w:t>2.组织铁路食品安全巡查活动，增强食品安全责任意识，保证铁路食品安全。</w:t>
      </w:r>
    </w:p>
    <w:p w14:paraId="357E7530">
      <w:pPr>
        <w:snapToGrid w:val="0"/>
        <w:jc w:val="left"/>
        <w:rPr>
          <w:rFonts w:eastAsia="楷体_GB2312" w:cs="楷体_GB2312"/>
        </w:rPr>
      </w:pPr>
      <w:r>
        <w:rPr>
          <w:rFonts w:eastAsia="楷体_GB2312" w:cs="楷体_GB2312"/>
        </w:rPr>
        <w:t>（二十</w:t>
      </w:r>
      <w:r>
        <w:rPr>
          <w:rFonts w:hint="eastAsia" w:eastAsia="楷体_GB2312" w:cs="楷体_GB2312"/>
        </w:rPr>
        <w:t>五</w:t>
      </w:r>
      <w:r>
        <w:rPr>
          <w:rFonts w:eastAsia="楷体_GB2312" w:cs="楷体_GB2312"/>
        </w:rPr>
        <w:t>）团市委</w:t>
      </w:r>
    </w:p>
    <w:p w14:paraId="379444BE">
      <w:r>
        <w:t>举办</w:t>
      </w:r>
      <w:r>
        <w:rPr>
          <w:rFonts w:hint="eastAsia" w:ascii="仿宋_GB2312"/>
        </w:rPr>
        <w:t>“青春守护中国粮”</w:t>
      </w:r>
      <w:r>
        <w:t>主题宣传活动</w:t>
      </w:r>
      <w:r>
        <w:rPr>
          <w:rFonts w:hint="eastAsia"/>
        </w:rPr>
        <w:t>。</w:t>
      </w:r>
      <w:r>
        <w:t>将青少年事务社会服务工作与青少年志愿服务工作进行有机结合，推动“光盘行动”覆盖各个青少年服务阵地，设计推出青少年喜闻乐见的实践互动式活动，充分链接联合各街镇社区，在服务范围集中开展多轮有规模、成声势的青少年光盘实践活动；引导青少年主动晾晒节粮成果、参与节粮话题讨论、邀请好友接力节粮，提升活动的社交性和便捷性。</w:t>
      </w:r>
    </w:p>
    <w:p w14:paraId="3BFAFE6F">
      <w:pPr>
        <w:snapToGrid w:val="0"/>
        <w:jc w:val="left"/>
        <w:rPr>
          <w:rFonts w:eastAsia="楷体_GB2312" w:cs="楷体_GB2312"/>
        </w:rPr>
      </w:pPr>
      <w:r>
        <w:rPr>
          <w:rFonts w:hint="eastAsia" w:eastAsia="楷体_GB2312" w:cs="楷体_GB2312"/>
        </w:rPr>
        <w:t>（二十六）市科协</w:t>
      </w:r>
    </w:p>
    <w:p w14:paraId="37EAE070">
      <w:r>
        <w:rPr>
          <w:rFonts w:hint="eastAsia"/>
        </w:rPr>
        <w:t>1.开展科普宣传。与天津市海河传媒中心合作，跟进报道天津市食品安全新动向、新成果、新技术。邀请相关专家，走进电台直播间，面向广大市民开展科普宣传，传播有趣有用的食品安全科普知识。</w:t>
      </w:r>
    </w:p>
    <w:p w14:paraId="6FD0877C">
      <w:r>
        <w:rPr>
          <w:rFonts w:hint="eastAsia"/>
        </w:rPr>
        <w:t>2.开展辟谣宣传。利用“天津科普说”微信公众号转发“科普中国”食品安全类科学辟谣推文。</w:t>
      </w:r>
    </w:p>
    <w:p w14:paraId="0F6289DA">
      <w:pPr>
        <w:pStyle w:val="4"/>
        <w:spacing w:beforeAutospacing="0" w:afterAutospacing="0"/>
        <w:rPr>
          <w:rFonts w:hint="default" w:ascii="楷体" w:hAnsi="楷体" w:eastAsia="楷体" w:cs="楷体"/>
          <w:sz w:val="32"/>
          <w:szCs w:val="32"/>
        </w:rPr>
      </w:pPr>
      <w:r>
        <w:rPr>
          <w:rFonts w:ascii="楷体" w:hAnsi="楷体" w:eastAsia="楷体" w:cs="楷体"/>
          <w:sz w:val="32"/>
          <w:szCs w:val="32"/>
        </w:rPr>
        <w:t>（二十七）市贸促会</w:t>
      </w:r>
    </w:p>
    <w:p w14:paraId="5AD7DF0E">
      <w:pPr>
        <w:rPr>
          <w:rFonts w:ascii="仿宋_GB2312" w:hAnsi="仿宋_GB2312" w:cs="仿宋_GB2312"/>
        </w:rPr>
      </w:pPr>
      <w:r>
        <w:rPr>
          <w:rFonts w:hint="eastAsia" w:ascii="仿宋_GB2312" w:hAnsi="仿宋_GB2312" w:cs="仿宋_GB2312"/>
        </w:rPr>
        <w:t>组织我市地理标志产品独流醋、小站稻、七里海蟹等企业参加中国贸促会在北京、四川、香港等地组织的线下和线上地理标志农产品主题宣传，扩大我市优质农产品影响力。</w:t>
      </w:r>
    </w:p>
    <w:p w14:paraId="1EAA618E">
      <w:pPr>
        <w:snapToGrid w:val="0"/>
        <w:jc w:val="left"/>
        <w:rPr>
          <w:rFonts w:eastAsia="楷体_GB2312" w:cs="楷体_GB2312"/>
        </w:rPr>
      </w:pPr>
      <w:r>
        <w:rPr>
          <w:rFonts w:hint="eastAsia" w:eastAsia="楷体_GB2312" w:cs="楷体_GB2312"/>
        </w:rPr>
        <w:t>（二十八）天津食品集团</w:t>
      </w:r>
    </w:p>
    <w:p w14:paraId="7AAE0048">
      <w:pPr>
        <w:snapToGrid w:val="0"/>
        <w:jc w:val="left"/>
        <w:rPr>
          <w:rFonts w:eastAsia="楷体_GB2312" w:cs="楷体_GB2312"/>
        </w:rPr>
      </w:pPr>
      <w:r>
        <w:rPr>
          <w:rFonts w:hint="eastAsia"/>
        </w:rPr>
        <w:t>1.组织主场放心产品推介及科普活动。组织海河乳品、迎宾公司参加主会场活动，就放心乳肉制品品鉴、优劣产品鉴别、趣味知识问答等现场与消费者进行互动，让消费者在轻松互动中掌握食品安全知识，感受食品安全文化。同时，组织集团所属企业参加主场</w:t>
      </w:r>
      <w:r>
        <w:rPr>
          <w:rFonts w:hint="eastAsia"/>
          <w:lang w:eastAsia="zh-CN"/>
        </w:rPr>
        <w:t>宣传</w:t>
      </w:r>
      <w:r>
        <w:rPr>
          <w:rFonts w:hint="eastAsia"/>
        </w:rPr>
        <w:t>活动，通过现场陈列产品、发放宣传材料、现场服务咨询等方式向市民展示食品集团优质放心的产品。</w:t>
      </w:r>
    </w:p>
    <w:p w14:paraId="7EF28A96">
      <w:pPr>
        <w:snapToGrid w:val="0"/>
        <w:jc w:val="left"/>
      </w:pPr>
      <w:r>
        <w:rPr>
          <w:rFonts w:hint="eastAsia"/>
        </w:rPr>
        <w:t>2.印发《食品安全相关文件摘编》。汇编习近平总书记关于食品安全的重要论述以及国家和天津市食品安全相关法律法规，制作成册并在全集团发放宣贯，强化食品安全意识。</w:t>
      </w:r>
    </w:p>
    <w:p w14:paraId="46F56EDC">
      <w:pPr>
        <w:snapToGrid w:val="0"/>
        <w:jc w:val="left"/>
      </w:pPr>
      <w:r>
        <w:rPr>
          <w:rFonts w:hint="eastAsia"/>
        </w:rPr>
        <w:t>3.食品安全“研学游”活动。积极邀请广大学生、游客、消费者走进海河、迎宾、红光露营基地、晶宝研学、津港露营基地等工业旅游基地和农业研学基地进行参观、研学、有奖知识竞猜等活动，让广大消费者、中小学生进一步体验种植、采摘、食品制作的乐趣，广泛科普食品安全知识。</w:t>
      </w:r>
    </w:p>
    <w:p w14:paraId="7AE150B8">
      <w:pPr>
        <w:snapToGrid w:val="0"/>
        <w:jc w:val="left"/>
      </w:pPr>
      <w:r>
        <w:rPr>
          <w:rFonts w:hint="eastAsia"/>
        </w:rPr>
        <w:t>4.食品安全“科普周”活动。在集团直营店、加盟店开展食品安全“科普周”活动，通过发放宣传单、现场科普等活动，向消费者广泛宣传食品安全、营养健康等相关知识。</w:t>
      </w:r>
    </w:p>
    <w:p w14:paraId="45B6EDF1">
      <w:pPr>
        <w:snapToGrid w:val="0"/>
        <w:jc w:val="left"/>
      </w:pPr>
      <w:r>
        <w:rPr>
          <w:rFonts w:hint="eastAsia"/>
        </w:rPr>
        <w:t>5.食品安全“进社区”活动。邀请食品安全专家讲解食品选购、储存、加工等实用知识，增强居民对食品配料表、生产日期、保质期等关键信息的辨识能力及食品安全风险防范意识。</w:t>
      </w:r>
    </w:p>
    <w:p w14:paraId="68130881">
      <w:pPr>
        <w:snapToGrid w:val="0"/>
        <w:jc w:val="left"/>
        <w:rPr>
          <w:rFonts w:eastAsia="楷体_GB2312" w:cs="楷体_GB2312"/>
        </w:rPr>
      </w:pPr>
      <w:r>
        <w:rPr>
          <w:rFonts w:hint="eastAsia" w:eastAsia="楷体_GB2312" w:cs="楷体_GB2312"/>
        </w:rPr>
        <w:t>（二十九）</w:t>
      </w:r>
      <w:r>
        <w:rPr>
          <w:rFonts w:hint="eastAsia" w:ascii="楷体" w:hAnsi="楷体" w:eastAsia="楷体" w:cs="楷体"/>
        </w:rPr>
        <w:t>津农供销（天津）集团有限公司</w:t>
      </w:r>
    </w:p>
    <w:p w14:paraId="30236D85">
      <w:pPr>
        <w:snapToGrid w:val="0"/>
        <w:jc w:val="left"/>
      </w:pPr>
      <w:r>
        <w:rPr>
          <w:rFonts w:hint="eastAsia"/>
        </w:rPr>
        <w:t>1.组织开展食品安全新规专题讲座</w:t>
      </w:r>
      <w:r>
        <w:rPr>
          <w:spacing w:val="8"/>
        </w:rPr>
        <w:t>推广活动</w:t>
      </w:r>
      <w:r>
        <w:rPr>
          <w:rFonts w:hint="eastAsia"/>
        </w:rPr>
        <w:t>。组织开展集团员工食品安全专题讲座，邀请食品安全领域的专业技术专家，</w:t>
      </w:r>
      <w:r>
        <w:rPr>
          <w:spacing w:val="8"/>
        </w:rPr>
        <w:t>系统性</w:t>
      </w:r>
      <w:r>
        <w:rPr>
          <w:rFonts w:hint="eastAsia"/>
          <w:spacing w:val="8"/>
        </w:rPr>
        <w:t>讲解</w:t>
      </w:r>
      <w:r>
        <w:rPr>
          <w:rFonts w:hint="eastAsia"/>
        </w:rPr>
        <w:t>《食品安全国家标准 食品添加剂使用标准》、《集中用餐单位落实食品安全主体责任监督管理规定》及《食品生产经营企业落实食品安全主体责任监督管理规定》等关键内容，强化员工对新规的理解与应用，</w:t>
      </w:r>
      <w:r>
        <w:rPr>
          <w:spacing w:val="8"/>
        </w:rPr>
        <w:t>确保关键法规精准</w:t>
      </w:r>
      <w:r>
        <w:rPr>
          <w:rFonts w:hint="eastAsia"/>
          <w:spacing w:val="8"/>
        </w:rPr>
        <w:t>推广</w:t>
      </w:r>
      <w:r>
        <w:rPr>
          <w:spacing w:val="8"/>
        </w:rPr>
        <w:t>落地</w:t>
      </w:r>
      <w:r>
        <w:rPr>
          <w:rFonts w:hint="eastAsia"/>
        </w:rPr>
        <w:t>。</w:t>
      </w:r>
    </w:p>
    <w:p w14:paraId="1A5B971D">
      <w:pPr>
        <w:snapToGrid w:val="0"/>
        <w:ind w:firstLine="630" w:firstLineChars="0"/>
        <w:jc w:val="left"/>
      </w:pPr>
      <w:r>
        <w:rPr>
          <w:rFonts w:hint="eastAsia"/>
        </w:rPr>
        <w:t>2.组织开展食品安全知识考核。从食品安全法律法规、操作规范、落实食品安全相关制度等方面对员工进行考核，检验和巩固员工的专业知识，确保食品安全管理制度的有效执行。</w:t>
      </w:r>
    </w:p>
    <w:p w14:paraId="2CD39CAC">
      <w:pPr>
        <w:snapToGrid w:val="0"/>
        <w:jc w:val="left"/>
      </w:pPr>
      <w:r>
        <w:rPr>
          <w:rFonts w:hint="eastAsia"/>
        </w:rPr>
        <w:t>3.组织开展飞行巡检、产品抽检。集团食安办将随机抽查所属单位，对从业人员健康管理、设备维护管理、物料控制管理、食品安全管理制度、环境控制管理等进行飞行检查。并请第三方检测机构对抽查点位的牛奶、酸奶、面包等产品抽查检测。</w:t>
      </w:r>
    </w:p>
    <w:p w14:paraId="60361B98">
      <w:pPr>
        <w:snapToGrid w:val="0"/>
        <w:jc w:val="left"/>
      </w:pPr>
    </w:p>
    <w:p w14:paraId="53D11810">
      <w:r>
        <w:t>附：</w:t>
      </w:r>
      <w:r>
        <w:rPr>
          <w:rFonts w:hint="eastAsia"/>
        </w:rPr>
        <w:t>1.</w:t>
      </w:r>
      <w:r>
        <w:t>全国食品安全宣传周活动标识（阳光下的盘中餐）</w:t>
      </w:r>
    </w:p>
    <w:p w14:paraId="44BFB5DE">
      <w:pPr>
        <w:ind w:firstLine="1302" w:firstLineChars="412"/>
      </w:pPr>
      <w:r>
        <w:rPr>
          <w:rFonts w:hint="eastAsia"/>
        </w:rPr>
        <w:t>2.</w:t>
      </w:r>
      <w:r>
        <w:t>20</w:t>
      </w:r>
      <w:r>
        <w:rPr>
          <w:rFonts w:hint="eastAsia"/>
        </w:rPr>
        <w:t>25</w:t>
      </w:r>
      <w:r>
        <w:t>年天津市食品安全宣传周活动情况统计表</w:t>
      </w:r>
    </w:p>
    <w:p w14:paraId="12F20E07">
      <w:pPr>
        <w:ind w:firstLine="1302" w:firstLineChars="412"/>
      </w:pPr>
    </w:p>
    <w:p w14:paraId="2226EEF7">
      <w:pPr>
        <w:ind w:firstLine="0" w:firstLineChars="0"/>
        <w:rPr>
          <w:rFonts w:ascii="黑体" w:hAnsi="黑体" w:eastAsia="黑体"/>
          <w:color w:val="000000"/>
        </w:rPr>
      </w:pPr>
    </w:p>
    <w:p w14:paraId="0C62BE13">
      <w:pPr>
        <w:ind w:firstLine="0" w:firstLineChars="0"/>
        <w:rPr>
          <w:rFonts w:ascii="黑体" w:hAnsi="黑体" w:eastAsia="黑体"/>
          <w:color w:val="000000"/>
        </w:rPr>
      </w:pPr>
    </w:p>
    <w:p w14:paraId="4C23038F">
      <w:pPr>
        <w:ind w:firstLine="0" w:firstLineChars="0"/>
        <w:rPr>
          <w:rFonts w:ascii="黑体" w:hAnsi="黑体" w:eastAsia="黑体"/>
          <w:color w:val="000000"/>
        </w:rPr>
      </w:pPr>
    </w:p>
    <w:p w14:paraId="77E31471">
      <w:pPr>
        <w:ind w:firstLine="0" w:firstLineChars="0"/>
        <w:rPr>
          <w:rFonts w:ascii="黑体" w:hAnsi="黑体" w:eastAsia="黑体"/>
          <w:color w:val="000000"/>
        </w:rPr>
      </w:pPr>
    </w:p>
    <w:p w14:paraId="37BB61C2">
      <w:pPr>
        <w:ind w:firstLine="0" w:firstLineChars="0"/>
        <w:rPr>
          <w:rFonts w:ascii="黑体" w:hAnsi="黑体" w:eastAsia="黑体"/>
          <w:color w:val="000000"/>
        </w:rPr>
      </w:pPr>
    </w:p>
    <w:p w14:paraId="41583DB5">
      <w:pPr>
        <w:ind w:firstLine="0" w:firstLineChars="0"/>
        <w:rPr>
          <w:rFonts w:ascii="黑体" w:hAnsi="黑体" w:eastAsia="黑体"/>
          <w:color w:val="000000"/>
        </w:rPr>
      </w:pPr>
    </w:p>
    <w:p w14:paraId="7DBA815A">
      <w:pPr>
        <w:ind w:firstLine="0" w:firstLineChars="0"/>
        <w:rPr>
          <w:rFonts w:ascii="黑体" w:hAnsi="黑体" w:eastAsia="黑体"/>
          <w:color w:val="000000"/>
        </w:rPr>
      </w:pPr>
    </w:p>
    <w:p w14:paraId="14E0AB08">
      <w:pPr>
        <w:ind w:firstLine="0" w:firstLineChars="0"/>
        <w:rPr>
          <w:rFonts w:ascii="黑体" w:hAnsi="黑体" w:eastAsia="黑体"/>
          <w:color w:val="000000"/>
        </w:rPr>
      </w:pPr>
    </w:p>
    <w:p w14:paraId="5241175B">
      <w:pPr>
        <w:ind w:firstLine="0" w:firstLineChars="0"/>
        <w:rPr>
          <w:rFonts w:ascii="黑体" w:hAnsi="黑体" w:eastAsia="黑体"/>
          <w:color w:val="000000"/>
        </w:rPr>
      </w:pPr>
    </w:p>
    <w:p w14:paraId="10D1DEDB">
      <w:pPr>
        <w:ind w:firstLine="0" w:firstLineChars="0"/>
        <w:rPr>
          <w:rFonts w:ascii="黑体" w:hAnsi="黑体" w:eastAsia="黑体"/>
          <w:color w:val="000000"/>
        </w:rPr>
      </w:pPr>
    </w:p>
    <w:p w14:paraId="32C08FEB">
      <w:pPr>
        <w:pStyle w:val="2"/>
      </w:pPr>
    </w:p>
    <w:p w14:paraId="18A16681">
      <w:pPr>
        <w:ind w:firstLine="0" w:firstLineChars="0"/>
        <w:rPr>
          <w:rFonts w:ascii="黑体" w:hAnsi="黑体" w:eastAsia="黑体"/>
          <w:color w:val="000000"/>
        </w:rPr>
      </w:pPr>
      <w:r>
        <w:rPr>
          <w:rFonts w:ascii="黑体" w:hAnsi="黑体" w:eastAsia="黑体"/>
          <w:color w:val="000000"/>
        </w:rPr>
        <w:t>附</w:t>
      </w:r>
      <w:r>
        <w:rPr>
          <w:rFonts w:hint="eastAsia" w:ascii="黑体" w:hAnsi="黑体" w:eastAsia="黑体"/>
          <w:color w:val="000000"/>
        </w:rPr>
        <w:t>1</w:t>
      </w:r>
    </w:p>
    <w:p w14:paraId="5B742D07"/>
    <w:p w14:paraId="4F33488E">
      <w:pPr>
        <w:snapToGrid w:val="0"/>
        <w:ind w:firstLine="712"/>
        <w:jc w:val="center"/>
        <w:rPr>
          <w:rFonts w:eastAsia="方正小标宋简体"/>
          <w:b/>
          <w:kern w:val="0"/>
          <w:sz w:val="36"/>
          <w:szCs w:val="36"/>
        </w:rPr>
      </w:pPr>
      <w:r>
        <w:rPr>
          <w:rFonts w:eastAsia="方正小标宋简体"/>
          <w:sz w:val="36"/>
          <w:szCs w:val="36"/>
        </w:rPr>
        <w:t>全国食品安全宣传周活动标识（阳光下的盘中餐）</w:t>
      </w:r>
    </w:p>
    <w:p w14:paraId="57B25B44">
      <w:pPr>
        <w:snapToGrid w:val="0"/>
        <w:ind w:firstLine="715"/>
        <w:jc w:val="center"/>
        <w:rPr>
          <w:rFonts w:eastAsia="宋体"/>
          <w:b/>
          <w:kern w:val="0"/>
          <w:sz w:val="36"/>
          <w:szCs w:val="36"/>
        </w:rPr>
      </w:pPr>
    </w:p>
    <w:p w14:paraId="102F9519">
      <w:r>
        <w:drawing>
          <wp:anchor distT="0" distB="0" distL="114300" distR="114300" simplePos="0" relativeHeight="251659264" behindDoc="1" locked="0" layoutInCell="1" allowOverlap="1">
            <wp:simplePos x="0" y="0"/>
            <wp:positionH relativeFrom="column">
              <wp:posOffset>-36195</wp:posOffset>
            </wp:positionH>
            <wp:positionV relativeFrom="paragraph">
              <wp:posOffset>13970</wp:posOffset>
            </wp:positionV>
            <wp:extent cx="5616575" cy="3978910"/>
            <wp:effectExtent l="0" t="0" r="3175" b="2540"/>
            <wp:wrapTight wrapText="bothSides">
              <wp:wrapPolygon>
                <wp:start x="0" y="0"/>
                <wp:lineTo x="0" y="21510"/>
                <wp:lineTo x="21539" y="21510"/>
                <wp:lineTo x="21539" y="0"/>
                <wp:lineTo x="0" y="0"/>
              </wp:wrapPolygon>
            </wp:wrapTight>
            <wp:docPr id="10" name="图片 10" descr="C:\Users\tret\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tret\Desktop\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616575" cy="3978910"/>
                    </a:xfrm>
                    <a:prstGeom prst="rect">
                      <a:avLst/>
                    </a:prstGeom>
                    <a:noFill/>
                    <a:ln>
                      <a:noFill/>
                    </a:ln>
                  </pic:spPr>
                </pic:pic>
              </a:graphicData>
            </a:graphic>
          </wp:anchor>
        </w:drawing>
      </w:r>
    </w:p>
    <w:p w14:paraId="7D2DB0DC">
      <w:pPr>
        <w:pStyle w:val="4"/>
        <w:ind w:firstLine="352"/>
        <w:rPr>
          <w:rFonts w:hint="default" w:ascii="Times New Roman" w:hAnsi="Times New Roman"/>
        </w:rPr>
      </w:pPr>
    </w:p>
    <w:p w14:paraId="0833E6E6"/>
    <w:p w14:paraId="5A53D244">
      <w:pPr>
        <w:ind w:firstLine="0" w:firstLineChars="0"/>
        <w:jc w:val="left"/>
        <w:rPr>
          <w:rFonts w:ascii="黑体" w:hAnsi="黑体" w:eastAsia="黑体"/>
          <w:color w:val="000000"/>
        </w:rPr>
      </w:pPr>
    </w:p>
    <w:p w14:paraId="40D57CF2">
      <w:pPr>
        <w:pStyle w:val="4"/>
        <w:ind w:firstLine="0" w:firstLineChars="0"/>
        <w:rPr>
          <w:rFonts w:hint="default"/>
        </w:rPr>
      </w:pPr>
    </w:p>
    <w:p w14:paraId="6967BC81">
      <w:pPr>
        <w:ind w:firstLine="0" w:firstLineChars="0"/>
        <w:jc w:val="left"/>
        <w:rPr>
          <w:rFonts w:ascii="黑体" w:hAnsi="黑体" w:eastAsia="黑体" w:cs="黑体"/>
          <w:spacing w:val="-20"/>
          <w:kern w:val="0"/>
        </w:rPr>
      </w:pPr>
      <w:r>
        <w:rPr>
          <w:rFonts w:hint="eastAsia" w:ascii="黑体" w:hAnsi="黑体" w:eastAsia="黑体" w:cs="黑体"/>
          <w:spacing w:val="-20"/>
          <w:kern w:val="0"/>
        </w:rPr>
        <w:t>附2</w:t>
      </w:r>
    </w:p>
    <w:p w14:paraId="1D04FA75">
      <w:pPr>
        <w:ind w:firstLine="0" w:firstLineChars="0"/>
        <w:jc w:val="center"/>
        <w:rPr>
          <w:rFonts w:eastAsia="方正小标宋简体"/>
          <w:spacing w:val="-20"/>
          <w:kern w:val="0"/>
          <w:sz w:val="44"/>
          <w:szCs w:val="44"/>
        </w:rPr>
      </w:pPr>
      <w:r>
        <w:rPr>
          <w:rFonts w:eastAsia="方正小标宋简体"/>
          <w:spacing w:val="-20"/>
          <w:kern w:val="0"/>
          <w:sz w:val="44"/>
          <w:szCs w:val="44"/>
        </w:rPr>
        <w:t>20</w:t>
      </w:r>
      <w:r>
        <w:rPr>
          <w:rFonts w:hint="eastAsia" w:eastAsia="方正小标宋简体"/>
          <w:spacing w:val="-20"/>
          <w:kern w:val="0"/>
          <w:sz w:val="44"/>
          <w:szCs w:val="44"/>
        </w:rPr>
        <w:t>25</w:t>
      </w:r>
      <w:r>
        <w:rPr>
          <w:rFonts w:eastAsia="方正小标宋简体"/>
          <w:spacing w:val="-20"/>
          <w:kern w:val="0"/>
          <w:sz w:val="44"/>
          <w:szCs w:val="44"/>
        </w:rPr>
        <w:t>年天津市食品安全宣传周活动情况统计表</w:t>
      </w:r>
    </w:p>
    <w:p w14:paraId="7D85453A">
      <w:pPr>
        <w:pStyle w:val="4"/>
        <w:spacing w:beforeAutospacing="0" w:afterAutospacing="0" w:line="320" w:lineRule="exact"/>
        <w:ind w:firstLine="352"/>
        <w:rPr>
          <w:rFonts w:hint="default"/>
        </w:rPr>
      </w:pPr>
    </w:p>
    <w:p w14:paraId="0BF4F435">
      <w:pPr>
        <w:snapToGrid w:val="0"/>
        <w:ind w:firstLine="0" w:firstLineChars="0"/>
        <w:jc w:val="left"/>
        <w:rPr>
          <w:kern w:val="0"/>
          <w:sz w:val="28"/>
          <w:szCs w:val="28"/>
        </w:rPr>
      </w:pPr>
      <w:r>
        <w:rPr>
          <w:kern w:val="0"/>
          <w:sz w:val="28"/>
          <w:szCs w:val="28"/>
        </w:rPr>
        <w:t>填报单位（公章）：</w:t>
      </w:r>
      <w:r>
        <w:rPr>
          <w:rFonts w:hint="eastAsia"/>
          <w:kern w:val="0"/>
          <w:sz w:val="28"/>
          <w:szCs w:val="28"/>
        </w:rPr>
        <w:t xml:space="preserve">                    </w:t>
      </w:r>
      <w:r>
        <w:rPr>
          <w:kern w:val="0"/>
          <w:sz w:val="28"/>
          <w:szCs w:val="28"/>
        </w:rPr>
        <w:t>填报时间：</w:t>
      </w:r>
    </w:p>
    <w:tbl>
      <w:tblPr>
        <w:tblStyle w:val="14"/>
        <w:tblW w:w="5628" w:type="pct"/>
        <w:tblInd w:w="-588" w:type="dxa"/>
        <w:tblLayout w:type="autofit"/>
        <w:tblCellMar>
          <w:top w:w="0" w:type="dxa"/>
          <w:left w:w="0" w:type="dxa"/>
          <w:bottom w:w="0" w:type="dxa"/>
          <w:right w:w="0" w:type="dxa"/>
        </w:tblCellMar>
      </w:tblPr>
      <w:tblGrid>
        <w:gridCol w:w="1843"/>
        <w:gridCol w:w="2850"/>
        <w:gridCol w:w="1789"/>
        <w:gridCol w:w="1753"/>
        <w:gridCol w:w="1738"/>
      </w:tblGrid>
      <w:tr w14:paraId="699B799D">
        <w:tblPrEx>
          <w:tblCellMar>
            <w:top w:w="0" w:type="dxa"/>
            <w:left w:w="0" w:type="dxa"/>
            <w:bottom w:w="0" w:type="dxa"/>
            <w:right w:w="0" w:type="dxa"/>
          </w:tblCellMar>
        </w:tblPrEx>
        <w:trPr>
          <w:trHeight w:val="373" w:hRule="atLeast"/>
        </w:trPr>
        <w:tc>
          <w:tcPr>
            <w:tcW w:w="2353" w:type="pct"/>
            <w:gridSpan w:val="2"/>
            <w:tcBorders>
              <w:top w:val="inset" w:color="000000" w:sz="6" w:space="0"/>
              <w:left w:val="inset" w:color="000000" w:sz="6" w:space="0"/>
              <w:bottom w:val="inset" w:color="000000" w:sz="6" w:space="0"/>
              <w:right w:val="inset" w:color="000000" w:sz="6" w:space="0"/>
            </w:tcBorders>
          </w:tcPr>
          <w:p w14:paraId="739F5DAD">
            <w:pPr>
              <w:overflowPunct/>
              <w:topLinePunct w:val="0"/>
              <w:adjustRightInd/>
              <w:spacing w:line="240" w:lineRule="atLeast"/>
              <w:ind w:firstLine="552"/>
              <w:jc w:val="center"/>
              <w:rPr>
                <w:rFonts w:eastAsia="方正小标宋简体" w:cs="方正小标宋简体"/>
                <w:kern w:val="0"/>
                <w:sz w:val="28"/>
                <w:szCs w:val="28"/>
              </w:rPr>
            </w:pPr>
            <w:r>
              <w:rPr>
                <w:rFonts w:hint="eastAsia" w:eastAsia="方正小标宋简体" w:cs="方正小标宋简体"/>
                <w:kern w:val="0"/>
                <w:sz w:val="28"/>
                <w:szCs w:val="28"/>
              </w:rPr>
              <w:t>宣传形式</w:t>
            </w:r>
          </w:p>
        </w:tc>
        <w:tc>
          <w:tcPr>
            <w:tcW w:w="897" w:type="pct"/>
            <w:tcBorders>
              <w:top w:val="inset" w:color="000000" w:sz="6" w:space="0"/>
              <w:left w:val="single" w:color="auto" w:sz="0" w:space="0"/>
              <w:bottom w:val="inset" w:color="000000" w:sz="6" w:space="0"/>
              <w:right w:val="single" w:color="auto" w:sz="4" w:space="0"/>
            </w:tcBorders>
          </w:tcPr>
          <w:p w14:paraId="5C99B273">
            <w:pPr>
              <w:overflowPunct/>
              <w:topLinePunct w:val="0"/>
              <w:adjustRightInd/>
              <w:spacing w:line="240" w:lineRule="atLeast"/>
              <w:ind w:firstLine="0" w:firstLineChars="0"/>
              <w:jc w:val="center"/>
              <w:rPr>
                <w:rFonts w:eastAsia="方正小标宋简体" w:cs="方正小标宋简体"/>
                <w:kern w:val="0"/>
                <w:sz w:val="28"/>
                <w:szCs w:val="28"/>
              </w:rPr>
            </w:pPr>
            <w:r>
              <w:rPr>
                <w:rFonts w:hint="eastAsia" w:eastAsia="方正小标宋简体" w:cs="方正小标宋简体"/>
                <w:kern w:val="0"/>
                <w:sz w:val="28"/>
                <w:szCs w:val="28"/>
              </w:rPr>
              <w:t>名称</w:t>
            </w:r>
          </w:p>
        </w:tc>
        <w:tc>
          <w:tcPr>
            <w:tcW w:w="879" w:type="pct"/>
            <w:tcBorders>
              <w:top w:val="inset" w:color="000000" w:sz="6" w:space="0"/>
              <w:left w:val="single" w:color="auto" w:sz="0" w:space="0"/>
              <w:bottom w:val="inset" w:color="000000" w:sz="6" w:space="0"/>
              <w:right w:val="single" w:color="auto" w:sz="4" w:space="0"/>
            </w:tcBorders>
          </w:tcPr>
          <w:p w14:paraId="13DDF298">
            <w:pPr>
              <w:overflowPunct/>
              <w:topLinePunct w:val="0"/>
              <w:adjustRightInd/>
              <w:spacing w:line="240" w:lineRule="atLeast"/>
              <w:ind w:firstLine="0" w:firstLineChars="0"/>
              <w:jc w:val="center"/>
              <w:rPr>
                <w:rFonts w:eastAsia="方正小标宋简体" w:cs="方正小标宋简体"/>
                <w:kern w:val="0"/>
                <w:sz w:val="28"/>
                <w:szCs w:val="28"/>
              </w:rPr>
            </w:pPr>
            <w:r>
              <w:rPr>
                <w:rFonts w:hint="eastAsia" w:eastAsia="方正小标宋简体" w:cs="方正小标宋简体"/>
                <w:kern w:val="0"/>
                <w:sz w:val="28"/>
                <w:szCs w:val="28"/>
              </w:rPr>
              <w:t>数量</w:t>
            </w:r>
          </w:p>
        </w:tc>
        <w:tc>
          <w:tcPr>
            <w:tcW w:w="872" w:type="pct"/>
            <w:tcBorders>
              <w:top w:val="inset" w:color="000000" w:sz="6" w:space="0"/>
              <w:left w:val="single" w:color="auto" w:sz="4" w:space="0"/>
              <w:bottom w:val="inset" w:color="000000" w:sz="6" w:space="0"/>
              <w:right w:val="inset" w:color="000000" w:sz="6" w:space="0"/>
            </w:tcBorders>
          </w:tcPr>
          <w:p w14:paraId="4FB7EAED">
            <w:pPr>
              <w:overflowPunct/>
              <w:topLinePunct w:val="0"/>
              <w:adjustRightInd/>
              <w:spacing w:line="240" w:lineRule="atLeast"/>
              <w:ind w:firstLine="0" w:firstLineChars="0"/>
              <w:jc w:val="center"/>
              <w:rPr>
                <w:rFonts w:eastAsia="方正小标宋简体" w:cs="方正小标宋简体"/>
                <w:kern w:val="0"/>
                <w:sz w:val="28"/>
                <w:szCs w:val="28"/>
              </w:rPr>
            </w:pPr>
            <w:r>
              <w:rPr>
                <w:rFonts w:hint="eastAsia" w:eastAsia="方正小标宋简体" w:cs="方正小标宋简体"/>
                <w:kern w:val="0"/>
                <w:sz w:val="28"/>
                <w:szCs w:val="28"/>
              </w:rPr>
              <w:t>备注</w:t>
            </w:r>
          </w:p>
        </w:tc>
      </w:tr>
      <w:tr w14:paraId="30DEF9E1">
        <w:tblPrEx>
          <w:tblCellMar>
            <w:top w:w="0" w:type="dxa"/>
            <w:left w:w="0" w:type="dxa"/>
            <w:bottom w:w="0" w:type="dxa"/>
            <w:right w:w="0" w:type="dxa"/>
          </w:tblCellMar>
        </w:tblPrEx>
        <w:trPr>
          <w:trHeight w:val="570"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59BB587A">
            <w:pPr>
              <w:overflowPunct/>
              <w:topLinePunct w:val="0"/>
              <w:adjustRightInd/>
              <w:spacing w:line="240" w:lineRule="atLeast"/>
              <w:ind w:firstLine="0" w:firstLineChars="0"/>
              <w:jc w:val="center"/>
              <w:rPr>
                <w:kern w:val="0"/>
                <w:sz w:val="28"/>
                <w:szCs w:val="28"/>
              </w:rPr>
            </w:pPr>
            <w:r>
              <w:rPr>
                <w:kern w:val="0"/>
                <w:sz w:val="28"/>
                <w:szCs w:val="28"/>
              </w:rPr>
              <w:t>出动人员数</w:t>
            </w:r>
          </w:p>
        </w:tc>
        <w:tc>
          <w:tcPr>
            <w:tcW w:w="897" w:type="pct"/>
            <w:tcBorders>
              <w:top w:val="inset" w:color="000000" w:sz="6" w:space="0"/>
              <w:left w:val="single" w:color="auto" w:sz="0" w:space="0"/>
              <w:bottom w:val="inset" w:color="000000" w:sz="6" w:space="0"/>
              <w:right w:val="single" w:color="auto" w:sz="4" w:space="0"/>
            </w:tcBorders>
          </w:tcPr>
          <w:p w14:paraId="4B3A03AF">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293F335A">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3343A4D7">
            <w:pPr>
              <w:overflowPunct/>
              <w:topLinePunct w:val="0"/>
              <w:adjustRightInd/>
              <w:spacing w:line="240" w:lineRule="atLeast"/>
              <w:ind w:firstLine="552"/>
              <w:jc w:val="left"/>
              <w:rPr>
                <w:kern w:val="0"/>
                <w:sz w:val="28"/>
                <w:szCs w:val="28"/>
              </w:rPr>
            </w:pPr>
          </w:p>
        </w:tc>
      </w:tr>
      <w:tr w14:paraId="66BCA9DB">
        <w:tblPrEx>
          <w:tblCellMar>
            <w:top w:w="0" w:type="dxa"/>
            <w:left w:w="0" w:type="dxa"/>
            <w:bottom w:w="0" w:type="dxa"/>
            <w:right w:w="0" w:type="dxa"/>
          </w:tblCellMar>
        </w:tblPrEx>
        <w:trPr>
          <w:trHeight w:val="578"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19EF63D9">
            <w:pPr>
              <w:overflowPunct/>
              <w:topLinePunct w:val="0"/>
              <w:adjustRightInd/>
              <w:spacing w:line="240" w:lineRule="atLeast"/>
              <w:ind w:firstLine="0" w:firstLineChars="0"/>
              <w:jc w:val="center"/>
              <w:rPr>
                <w:kern w:val="0"/>
                <w:sz w:val="28"/>
                <w:szCs w:val="28"/>
              </w:rPr>
            </w:pPr>
            <w:r>
              <w:rPr>
                <w:kern w:val="0"/>
                <w:sz w:val="28"/>
                <w:szCs w:val="28"/>
              </w:rPr>
              <w:t>发放宣传材料份数</w:t>
            </w:r>
          </w:p>
        </w:tc>
        <w:tc>
          <w:tcPr>
            <w:tcW w:w="897" w:type="pct"/>
            <w:tcBorders>
              <w:top w:val="inset" w:color="000000" w:sz="6" w:space="0"/>
              <w:left w:val="single" w:color="auto" w:sz="0" w:space="0"/>
              <w:bottom w:val="inset" w:color="000000" w:sz="6" w:space="0"/>
              <w:right w:val="single" w:color="auto" w:sz="4" w:space="0"/>
            </w:tcBorders>
          </w:tcPr>
          <w:p w14:paraId="141BAC4F">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4A11FF84">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7713A57F">
            <w:pPr>
              <w:overflowPunct/>
              <w:topLinePunct w:val="0"/>
              <w:adjustRightInd/>
              <w:spacing w:line="240" w:lineRule="atLeast"/>
              <w:ind w:firstLine="552"/>
              <w:jc w:val="left"/>
              <w:rPr>
                <w:kern w:val="0"/>
                <w:sz w:val="28"/>
                <w:szCs w:val="28"/>
              </w:rPr>
            </w:pPr>
          </w:p>
        </w:tc>
      </w:tr>
      <w:tr w14:paraId="76D71131">
        <w:tblPrEx>
          <w:tblCellMar>
            <w:top w:w="0" w:type="dxa"/>
            <w:left w:w="0" w:type="dxa"/>
            <w:bottom w:w="0" w:type="dxa"/>
            <w:right w:w="0" w:type="dxa"/>
          </w:tblCellMar>
        </w:tblPrEx>
        <w:trPr>
          <w:trHeight w:val="558"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136A4772">
            <w:pPr>
              <w:overflowPunct/>
              <w:topLinePunct w:val="0"/>
              <w:adjustRightInd/>
              <w:spacing w:line="240" w:lineRule="atLeast"/>
              <w:ind w:firstLine="0" w:firstLineChars="0"/>
              <w:jc w:val="center"/>
              <w:rPr>
                <w:kern w:val="0"/>
                <w:sz w:val="28"/>
                <w:szCs w:val="28"/>
              </w:rPr>
            </w:pPr>
            <w:r>
              <w:rPr>
                <w:rFonts w:hint="eastAsia"/>
                <w:kern w:val="0"/>
                <w:sz w:val="28"/>
                <w:szCs w:val="28"/>
              </w:rPr>
              <w:t>组织专题活动情况</w:t>
            </w:r>
          </w:p>
        </w:tc>
        <w:tc>
          <w:tcPr>
            <w:tcW w:w="897" w:type="pct"/>
            <w:tcBorders>
              <w:top w:val="inset" w:color="000000" w:sz="6" w:space="0"/>
              <w:left w:val="single" w:color="auto" w:sz="0" w:space="0"/>
              <w:bottom w:val="inset" w:color="000000" w:sz="6" w:space="0"/>
              <w:right w:val="single" w:color="auto" w:sz="4" w:space="0"/>
            </w:tcBorders>
          </w:tcPr>
          <w:p w14:paraId="3E07FCC1">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762A1090">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682B52B7">
            <w:pPr>
              <w:overflowPunct/>
              <w:topLinePunct w:val="0"/>
              <w:adjustRightInd/>
              <w:spacing w:line="240" w:lineRule="atLeast"/>
              <w:ind w:firstLine="552"/>
              <w:jc w:val="left"/>
              <w:rPr>
                <w:kern w:val="0"/>
                <w:sz w:val="28"/>
                <w:szCs w:val="28"/>
              </w:rPr>
            </w:pPr>
          </w:p>
        </w:tc>
      </w:tr>
      <w:tr w14:paraId="33BFC95D">
        <w:tblPrEx>
          <w:tblCellMar>
            <w:top w:w="0" w:type="dxa"/>
            <w:left w:w="0" w:type="dxa"/>
            <w:bottom w:w="0" w:type="dxa"/>
            <w:right w:w="0" w:type="dxa"/>
          </w:tblCellMar>
        </w:tblPrEx>
        <w:trPr>
          <w:trHeight w:val="566"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0A5B5BF8">
            <w:pPr>
              <w:overflowPunct/>
              <w:topLinePunct w:val="0"/>
              <w:adjustRightInd/>
              <w:spacing w:line="240" w:lineRule="atLeast"/>
              <w:ind w:firstLine="0" w:firstLineChars="0"/>
              <w:jc w:val="center"/>
              <w:rPr>
                <w:kern w:val="0"/>
                <w:sz w:val="28"/>
                <w:szCs w:val="28"/>
              </w:rPr>
            </w:pPr>
            <w:r>
              <w:rPr>
                <w:kern w:val="0"/>
                <w:sz w:val="28"/>
                <w:szCs w:val="28"/>
              </w:rPr>
              <w:t>现场咨询活动</w:t>
            </w:r>
            <w:r>
              <w:rPr>
                <w:rFonts w:hint="eastAsia"/>
                <w:kern w:val="0"/>
                <w:sz w:val="28"/>
                <w:szCs w:val="28"/>
              </w:rPr>
              <w:t>情况</w:t>
            </w:r>
          </w:p>
        </w:tc>
        <w:tc>
          <w:tcPr>
            <w:tcW w:w="897" w:type="pct"/>
            <w:tcBorders>
              <w:top w:val="inset" w:color="000000" w:sz="6" w:space="0"/>
              <w:left w:val="single" w:color="auto" w:sz="0" w:space="0"/>
              <w:bottom w:val="inset" w:color="000000" w:sz="6" w:space="0"/>
              <w:right w:val="single" w:color="auto" w:sz="4" w:space="0"/>
            </w:tcBorders>
          </w:tcPr>
          <w:p w14:paraId="15A0CC41">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0B6C2609">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0365C216">
            <w:pPr>
              <w:overflowPunct/>
              <w:topLinePunct w:val="0"/>
              <w:adjustRightInd/>
              <w:spacing w:line="240" w:lineRule="atLeast"/>
              <w:ind w:firstLine="552"/>
              <w:jc w:val="left"/>
              <w:rPr>
                <w:kern w:val="0"/>
                <w:sz w:val="28"/>
                <w:szCs w:val="28"/>
              </w:rPr>
            </w:pPr>
          </w:p>
        </w:tc>
      </w:tr>
      <w:tr w14:paraId="3003C393">
        <w:tblPrEx>
          <w:tblCellMar>
            <w:top w:w="0" w:type="dxa"/>
            <w:left w:w="0" w:type="dxa"/>
            <w:bottom w:w="0" w:type="dxa"/>
            <w:right w:w="0" w:type="dxa"/>
          </w:tblCellMar>
        </w:tblPrEx>
        <w:trPr>
          <w:trHeight w:val="574"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519E4C12">
            <w:pPr>
              <w:overflowPunct/>
              <w:topLinePunct w:val="0"/>
              <w:adjustRightInd/>
              <w:spacing w:line="240" w:lineRule="atLeast"/>
              <w:ind w:firstLine="0" w:firstLineChars="0"/>
              <w:jc w:val="center"/>
              <w:rPr>
                <w:kern w:val="0"/>
                <w:sz w:val="28"/>
                <w:szCs w:val="28"/>
              </w:rPr>
            </w:pPr>
            <w:r>
              <w:rPr>
                <w:kern w:val="0"/>
                <w:sz w:val="28"/>
                <w:szCs w:val="28"/>
              </w:rPr>
              <w:t>接受咨询人数</w:t>
            </w:r>
          </w:p>
        </w:tc>
        <w:tc>
          <w:tcPr>
            <w:tcW w:w="897" w:type="pct"/>
            <w:tcBorders>
              <w:top w:val="inset" w:color="000000" w:sz="6" w:space="0"/>
              <w:left w:val="single" w:color="auto" w:sz="0" w:space="0"/>
              <w:bottom w:val="inset" w:color="000000" w:sz="6" w:space="0"/>
              <w:right w:val="single" w:color="auto" w:sz="4" w:space="0"/>
            </w:tcBorders>
          </w:tcPr>
          <w:p w14:paraId="0C53871E">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316B35FC">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5F576A79">
            <w:pPr>
              <w:overflowPunct/>
              <w:topLinePunct w:val="0"/>
              <w:adjustRightInd/>
              <w:spacing w:line="240" w:lineRule="atLeast"/>
              <w:ind w:firstLine="552"/>
              <w:jc w:val="left"/>
              <w:rPr>
                <w:kern w:val="0"/>
                <w:sz w:val="28"/>
                <w:szCs w:val="28"/>
              </w:rPr>
            </w:pPr>
          </w:p>
        </w:tc>
      </w:tr>
      <w:tr w14:paraId="039B194E">
        <w:tblPrEx>
          <w:tblCellMar>
            <w:top w:w="0" w:type="dxa"/>
            <w:left w:w="0" w:type="dxa"/>
            <w:bottom w:w="0" w:type="dxa"/>
            <w:right w:w="0" w:type="dxa"/>
          </w:tblCellMar>
        </w:tblPrEx>
        <w:trPr>
          <w:trHeight w:val="554" w:hRule="exact"/>
        </w:trPr>
        <w:tc>
          <w:tcPr>
            <w:tcW w:w="924" w:type="pct"/>
            <w:vMerge w:val="restart"/>
            <w:tcBorders>
              <w:top w:val="inset" w:color="000000" w:sz="6" w:space="0"/>
              <w:left w:val="inset" w:color="000000" w:sz="6" w:space="0"/>
              <w:right w:val="single" w:color="auto" w:sz="4" w:space="0"/>
            </w:tcBorders>
            <w:vAlign w:val="center"/>
          </w:tcPr>
          <w:p w14:paraId="6B65DCD3">
            <w:pPr>
              <w:overflowPunct/>
              <w:topLinePunct w:val="0"/>
              <w:adjustRightInd/>
              <w:spacing w:line="240" w:lineRule="atLeast"/>
              <w:ind w:firstLine="0" w:firstLineChars="0"/>
              <w:jc w:val="center"/>
              <w:rPr>
                <w:kern w:val="0"/>
                <w:sz w:val="28"/>
                <w:szCs w:val="28"/>
              </w:rPr>
            </w:pPr>
            <w:r>
              <w:rPr>
                <w:kern w:val="0"/>
                <w:sz w:val="28"/>
                <w:szCs w:val="28"/>
              </w:rPr>
              <w:t>投诉举报情况</w:t>
            </w:r>
          </w:p>
        </w:tc>
        <w:tc>
          <w:tcPr>
            <w:tcW w:w="1429" w:type="pct"/>
            <w:tcBorders>
              <w:top w:val="inset" w:color="000000" w:sz="6" w:space="0"/>
              <w:left w:val="single" w:color="auto" w:sz="4" w:space="0"/>
              <w:bottom w:val="inset" w:color="000000" w:sz="6" w:space="0"/>
              <w:right w:val="inset" w:color="000000" w:sz="6" w:space="0"/>
            </w:tcBorders>
            <w:vAlign w:val="center"/>
          </w:tcPr>
          <w:p w14:paraId="22AD43CB">
            <w:pPr>
              <w:overflowPunct/>
              <w:topLinePunct w:val="0"/>
              <w:adjustRightInd/>
              <w:spacing w:line="240" w:lineRule="atLeast"/>
              <w:ind w:firstLine="0" w:firstLineChars="0"/>
              <w:jc w:val="center"/>
              <w:rPr>
                <w:kern w:val="0"/>
                <w:sz w:val="28"/>
                <w:szCs w:val="28"/>
              </w:rPr>
            </w:pPr>
            <w:r>
              <w:rPr>
                <w:kern w:val="0"/>
                <w:sz w:val="28"/>
                <w:szCs w:val="28"/>
              </w:rPr>
              <w:t>受理投诉举报件数</w:t>
            </w:r>
          </w:p>
        </w:tc>
        <w:tc>
          <w:tcPr>
            <w:tcW w:w="897" w:type="pct"/>
            <w:tcBorders>
              <w:top w:val="inset" w:color="000000" w:sz="6" w:space="0"/>
              <w:left w:val="single" w:color="auto" w:sz="0" w:space="0"/>
              <w:bottom w:val="inset" w:color="000000" w:sz="6" w:space="0"/>
              <w:right w:val="single" w:color="auto" w:sz="4" w:space="0"/>
            </w:tcBorders>
          </w:tcPr>
          <w:p w14:paraId="79AD3CE6">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1ADA8BE0">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515B3B87">
            <w:pPr>
              <w:overflowPunct/>
              <w:topLinePunct w:val="0"/>
              <w:adjustRightInd/>
              <w:spacing w:line="240" w:lineRule="atLeast"/>
              <w:ind w:firstLine="552"/>
              <w:jc w:val="left"/>
              <w:rPr>
                <w:kern w:val="0"/>
                <w:sz w:val="28"/>
                <w:szCs w:val="28"/>
              </w:rPr>
            </w:pPr>
          </w:p>
        </w:tc>
      </w:tr>
      <w:tr w14:paraId="618263FB">
        <w:tblPrEx>
          <w:tblCellMar>
            <w:top w:w="0" w:type="dxa"/>
            <w:left w:w="0" w:type="dxa"/>
            <w:bottom w:w="0" w:type="dxa"/>
            <w:right w:w="0" w:type="dxa"/>
          </w:tblCellMar>
        </w:tblPrEx>
        <w:trPr>
          <w:trHeight w:val="572" w:hRule="exact"/>
        </w:trPr>
        <w:tc>
          <w:tcPr>
            <w:tcW w:w="924" w:type="pct"/>
            <w:vMerge w:val="continue"/>
            <w:tcBorders>
              <w:left w:val="inset" w:color="000000" w:sz="6" w:space="0"/>
              <w:bottom w:val="inset" w:color="000000" w:sz="6" w:space="0"/>
              <w:right w:val="single" w:color="auto" w:sz="4" w:space="0"/>
            </w:tcBorders>
            <w:vAlign w:val="center"/>
          </w:tcPr>
          <w:p w14:paraId="43B25300">
            <w:pPr>
              <w:overflowPunct/>
              <w:topLinePunct w:val="0"/>
              <w:adjustRightInd/>
              <w:spacing w:line="240" w:lineRule="atLeast"/>
              <w:ind w:firstLine="552"/>
              <w:jc w:val="center"/>
              <w:rPr>
                <w:kern w:val="0"/>
                <w:sz w:val="28"/>
                <w:szCs w:val="28"/>
              </w:rPr>
            </w:pPr>
          </w:p>
        </w:tc>
        <w:tc>
          <w:tcPr>
            <w:tcW w:w="1429" w:type="pct"/>
            <w:tcBorders>
              <w:top w:val="inset" w:color="000000" w:sz="6" w:space="0"/>
              <w:left w:val="single" w:color="auto" w:sz="4" w:space="0"/>
              <w:bottom w:val="inset" w:color="000000" w:sz="6" w:space="0"/>
              <w:right w:val="inset" w:color="000000" w:sz="6" w:space="0"/>
            </w:tcBorders>
            <w:vAlign w:val="center"/>
          </w:tcPr>
          <w:p w14:paraId="1BA19888">
            <w:pPr>
              <w:overflowPunct/>
              <w:topLinePunct w:val="0"/>
              <w:adjustRightInd/>
              <w:spacing w:line="240" w:lineRule="atLeast"/>
              <w:ind w:firstLine="0" w:firstLineChars="0"/>
              <w:jc w:val="center"/>
              <w:rPr>
                <w:kern w:val="0"/>
                <w:sz w:val="28"/>
                <w:szCs w:val="28"/>
              </w:rPr>
            </w:pPr>
            <w:r>
              <w:rPr>
                <w:kern w:val="0"/>
                <w:sz w:val="28"/>
                <w:szCs w:val="28"/>
              </w:rPr>
              <w:t>解决/反馈件数</w:t>
            </w:r>
          </w:p>
        </w:tc>
        <w:tc>
          <w:tcPr>
            <w:tcW w:w="897" w:type="pct"/>
            <w:tcBorders>
              <w:top w:val="inset" w:color="000000" w:sz="6" w:space="0"/>
              <w:left w:val="single" w:color="auto" w:sz="0" w:space="0"/>
              <w:bottom w:val="inset" w:color="000000" w:sz="6" w:space="0"/>
              <w:right w:val="single" w:color="auto" w:sz="4" w:space="0"/>
            </w:tcBorders>
          </w:tcPr>
          <w:p w14:paraId="15C46B62">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188D0369">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1927196A">
            <w:pPr>
              <w:overflowPunct/>
              <w:topLinePunct w:val="0"/>
              <w:adjustRightInd/>
              <w:spacing w:line="240" w:lineRule="atLeast"/>
              <w:ind w:firstLine="552"/>
              <w:jc w:val="left"/>
              <w:rPr>
                <w:kern w:val="0"/>
                <w:sz w:val="28"/>
                <w:szCs w:val="28"/>
              </w:rPr>
            </w:pPr>
          </w:p>
        </w:tc>
      </w:tr>
      <w:tr w14:paraId="23340E2B">
        <w:tblPrEx>
          <w:tblCellMar>
            <w:top w:w="0" w:type="dxa"/>
            <w:left w:w="0" w:type="dxa"/>
            <w:bottom w:w="0" w:type="dxa"/>
            <w:right w:w="0" w:type="dxa"/>
          </w:tblCellMar>
        </w:tblPrEx>
        <w:trPr>
          <w:trHeight w:val="570"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63220A2C">
            <w:pPr>
              <w:overflowPunct/>
              <w:topLinePunct w:val="0"/>
              <w:adjustRightInd/>
              <w:spacing w:line="240" w:lineRule="atLeast"/>
              <w:ind w:firstLine="0" w:firstLineChars="0"/>
              <w:jc w:val="center"/>
              <w:rPr>
                <w:kern w:val="0"/>
                <w:sz w:val="28"/>
                <w:szCs w:val="28"/>
              </w:rPr>
            </w:pPr>
            <w:r>
              <w:rPr>
                <w:kern w:val="0"/>
                <w:sz w:val="28"/>
                <w:szCs w:val="28"/>
              </w:rPr>
              <w:t>媒体报道次数</w:t>
            </w:r>
          </w:p>
        </w:tc>
        <w:tc>
          <w:tcPr>
            <w:tcW w:w="897" w:type="pct"/>
            <w:tcBorders>
              <w:top w:val="inset" w:color="000000" w:sz="6" w:space="0"/>
              <w:left w:val="single" w:color="auto" w:sz="0" w:space="0"/>
              <w:bottom w:val="inset" w:color="000000" w:sz="6" w:space="0"/>
              <w:right w:val="single" w:color="auto" w:sz="4" w:space="0"/>
            </w:tcBorders>
          </w:tcPr>
          <w:p w14:paraId="16ADB84F">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43A249CE">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6A2B8C51">
            <w:pPr>
              <w:overflowPunct/>
              <w:topLinePunct w:val="0"/>
              <w:adjustRightInd/>
              <w:spacing w:line="240" w:lineRule="atLeast"/>
              <w:ind w:firstLine="552"/>
              <w:jc w:val="left"/>
              <w:rPr>
                <w:kern w:val="0"/>
                <w:sz w:val="28"/>
                <w:szCs w:val="28"/>
              </w:rPr>
            </w:pPr>
          </w:p>
        </w:tc>
      </w:tr>
      <w:tr w14:paraId="47ACCA54">
        <w:tblPrEx>
          <w:tblCellMar>
            <w:top w:w="0" w:type="dxa"/>
            <w:left w:w="0" w:type="dxa"/>
            <w:bottom w:w="0" w:type="dxa"/>
            <w:right w:w="0" w:type="dxa"/>
          </w:tblCellMar>
        </w:tblPrEx>
        <w:trPr>
          <w:trHeight w:val="551"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0B66D987">
            <w:pPr>
              <w:overflowPunct/>
              <w:topLinePunct w:val="0"/>
              <w:adjustRightInd/>
              <w:spacing w:line="240" w:lineRule="atLeast"/>
              <w:ind w:firstLine="0" w:firstLineChars="0"/>
              <w:jc w:val="center"/>
              <w:rPr>
                <w:kern w:val="0"/>
                <w:sz w:val="28"/>
                <w:szCs w:val="28"/>
              </w:rPr>
            </w:pPr>
            <w:r>
              <w:rPr>
                <w:kern w:val="0"/>
                <w:sz w:val="28"/>
                <w:szCs w:val="28"/>
              </w:rPr>
              <w:t>专访、讲座、培训次数</w:t>
            </w:r>
          </w:p>
        </w:tc>
        <w:tc>
          <w:tcPr>
            <w:tcW w:w="897" w:type="pct"/>
            <w:tcBorders>
              <w:top w:val="inset" w:color="000000" w:sz="6" w:space="0"/>
              <w:left w:val="single" w:color="auto" w:sz="0" w:space="0"/>
              <w:bottom w:val="inset" w:color="000000" w:sz="6" w:space="0"/>
              <w:right w:val="single" w:color="auto" w:sz="4" w:space="0"/>
            </w:tcBorders>
          </w:tcPr>
          <w:p w14:paraId="7C3C7EF1">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663B3E4B">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333F6552">
            <w:pPr>
              <w:overflowPunct/>
              <w:topLinePunct w:val="0"/>
              <w:adjustRightInd/>
              <w:spacing w:line="240" w:lineRule="atLeast"/>
              <w:ind w:firstLine="552"/>
              <w:jc w:val="left"/>
              <w:rPr>
                <w:kern w:val="0"/>
                <w:sz w:val="28"/>
                <w:szCs w:val="28"/>
              </w:rPr>
            </w:pPr>
          </w:p>
        </w:tc>
      </w:tr>
      <w:tr w14:paraId="59A40B09">
        <w:tblPrEx>
          <w:tblCellMar>
            <w:top w:w="0" w:type="dxa"/>
            <w:left w:w="0" w:type="dxa"/>
            <w:bottom w:w="0" w:type="dxa"/>
            <w:right w:w="0" w:type="dxa"/>
          </w:tblCellMar>
        </w:tblPrEx>
        <w:trPr>
          <w:trHeight w:val="970" w:hRule="atLeast"/>
        </w:trPr>
        <w:tc>
          <w:tcPr>
            <w:tcW w:w="2353" w:type="pct"/>
            <w:gridSpan w:val="2"/>
            <w:tcBorders>
              <w:top w:val="single" w:color="auto" w:sz="0" w:space="0"/>
              <w:left w:val="inset" w:color="000000" w:sz="6" w:space="0"/>
              <w:right w:val="inset" w:color="000000" w:sz="6" w:space="0"/>
            </w:tcBorders>
            <w:vAlign w:val="center"/>
          </w:tcPr>
          <w:p w14:paraId="08500046">
            <w:pPr>
              <w:spacing w:line="360" w:lineRule="exact"/>
              <w:ind w:firstLine="0" w:firstLineChars="0"/>
              <w:jc w:val="center"/>
              <w:rPr>
                <w:kern w:val="0"/>
                <w:sz w:val="28"/>
                <w:szCs w:val="28"/>
              </w:rPr>
            </w:pPr>
            <w:r>
              <w:rPr>
                <w:kern w:val="0"/>
                <w:sz w:val="28"/>
                <w:szCs w:val="28"/>
              </w:rPr>
              <w:t>食品安全“</w:t>
            </w:r>
            <w:r>
              <w:rPr>
                <w:rFonts w:hint="eastAsia"/>
                <w:kern w:val="0"/>
                <w:sz w:val="28"/>
                <w:szCs w:val="28"/>
              </w:rPr>
              <w:t>走进基层</w:t>
            </w:r>
            <w:r>
              <w:rPr>
                <w:kern w:val="0"/>
                <w:sz w:val="28"/>
                <w:szCs w:val="28"/>
              </w:rPr>
              <w:t>”</w:t>
            </w:r>
          </w:p>
          <w:p w14:paraId="6254BE54">
            <w:pPr>
              <w:spacing w:line="360" w:lineRule="exact"/>
              <w:ind w:firstLine="0" w:firstLineChars="0"/>
              <w:jc w:val="center"/>
              <w:rPr>
                <w:kern w:val="0"/>
                <w:sz w:val="28"/>
                <w:szCs w:val="28"/>
              </w:rPr>
            </w:pPr>
            <w:r>
              <w:rPr>
                <w:kern w:val="0"/>
                <w:sz w:val="28"/>
                <w:szCs w:val="28"/>
              </w:rPr>
              <w:t>宣传次数/人数</w:t>
            </w:r>
          </w:p>
        </w:tc>
        <w:tc>
          <w:tcPr>
            <w:tcW w:w="897" w:type="pct"/>
            <w:tcBorders>
              <w:top w:val="inset" w:color="000000" w:sz="6" w:space="0"/>
              <w:left w:val="single" w:color="auto" w:sz="0" w:space="0"/>
              <w:right w:val="single" w:color="auto" w:sz="4" w:space="0"/>
            </w:tcBorders>
          </w:tcPr>
          <w:p w14:paraId="48A04CA7">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right w:val="single" w:color="auto" w:sz="4" w:space="0"/>
            </w:tcBorders>
          </w:tcPr>
          <w:p w14:paraId="523D2203">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right w:val="inset" w:color="000000" w:sz="6" w:space="0"/>
            </w:tcBorders>
          </w:tcPr>
          <w:p w14:paraId="3D79AC72">
            <w:pPr>
              <w:overflowPunct/>
              <w:topLinePunct w:val="0"/>
              <w:adjustRightInd/>
              <w:spacing w:line="240" w:lineRule="atLeast"/>
              <w:ind w:firstLine="552"/>
              <w:jc w:val="left"/>
              <w:rPr>
                <w:kern w:val="0"/>
                <w:sz w:val="28"/>
                <w:szCs w:val="28"/>
              </w:rPr>
            </w:pPr>
          </w:p>
        </w:tc>
      </w:tr>
      <w:tr w14:paraId="575501A2">
        <w:tblPrEx>
          <w:tblCellMar>
            <w:top w:w="0" w:type="dxa"/>
            <w:left w:w="0" w:type="dxa"/>
            <w:bottom w:w="0" w:type="dxa"/>
            <w:right w:w="0" w:type="dxa"/>
          </w:tblCellMar>
        </w:tblPrEx>
        <w:trPr>
          <w:trHeight w:val="619"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0A5B3B99">
            <w:pPr>
              <w:overflowPunct/>
              <w:topLinePunct w:val="0"/>
              <w:adjustRightInd/>
              <w:spacing w:line="240" w:lineRule="atLeast"/>
              <w:ind w:firstLine="0" w:firstLineChars="0"/>
              <w:jc w:val="center"/>
              <w:rPr>
                <w:kern w:val="0"/>
                <w:sz w:val="28"/>
                <w:szCs w:val="28"/>
              </w:rPr>
            </w:pPr>
            <w:r>
              <w:rPr>
                <w:kern w:val="0"/>
                <w:sz w:val="28"/>
                <w:szCs w:val="28"/>
              </w:rPr>
              <w:t>播放各类公益广告（次）</w:t>
            </w:r>
          </w:p>
        </w:tc>
        <w:tc>
          <w:tcPr>
            <w:tcW w:w="897" w:type="pct"/>
            <w:tcBorders>
              <w:top w:val="inset" w:color="000000" w:sz="6" w:space="0"/>
              <w:left w:val="single" w:color="auto" w:sz="0" w:space="0"/>
              <w:bottom w:val="inset" w:color="000000" w:sz="6" w:space="0"/>
              <w:right w:val="single" w:color="auto" w:sz="4" w:space="0"/>
            </w:tcBorders>
          </w:tcPr>
          <w:p w14:paraId="22BF5EB2">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2AB6154A">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51C4FD68">
            <w:pPr>
              <w:overflowPunct/>
              <w:topLinePunct w:val="0"/>
              <w:adjustRightInd/>
              <w:spacing w:line="240" w:lineRule="atLeast"/>
              <w:ind w:firstLine="552"/>
              <w:jc w:val="left"/>
              <w:rPr>
                <w:kern w:val="0"/>
                <w:sz w:val="28"/>
                <w:szCs w:val="28"/>
              </w:rPr>
            </w:pPr>
          </w:p>
        </w:tc>
      </w:tr>
      <w:tr w14:paraId="38BED632">
        <w:tblPrEx>
          <w:tblCellMar>
            <w:top w:w="0" w:type="dxa"/>
            <w:left w:w="0" w:type="dxa"/>
            <w:bottom w:w="0" w:type="dxa"/>
            <w:right w:w="0" w:type="dxa"/>
          </w:tblCellMar>
        </w:tblPrEx>
        <w:trPr>
          <w:trHeight w:val="667"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0F427223">
            <w:pPr>
              <w:overflowPunct/>
              <w:topLinePunct w:val="0"/>
              <w:adjustRightInd/>
              <w:spacing w:line="240" w:lineRule="atLeast"/>
              <w:ind w:firstLine="0" w:firstLineChars="0"/>
              <w:jc w:val="center"/>
              <w:rPr>
                <w:kern w:val="0"/>
                <w:sz w:val="28"/>
                <w:szCs w:val="28"/>
              </w:rPr>
            </w:pPr>
            <w:r>
              <w:rPr>
                <w:kern w:val="0"/>
                <w:sz w:val="28"/>
                <w:szCs w:val="28"/>
              </w:rPr>
              <w:t>张贴诚信宣传画（张）</w:t>
            </w:r>
          </w:p>
        </w:tc>
        <w:tc>
          <w:tcPr>
            <w:tcW w:w="897" w:type="pct"/>
            <w:tcBorders>
              <w:top w:val="inset" w:color="000000" w:sz="6" w:space="0"/>
              <w:left w:val="single" w:color="auto" w:sz="0" w:space="0"/>
              <w:bottom w:val="inset" w:color="000000" w:sz="6" w:space="0"/>
              <w:right w:val="single" w:color="auto" w:sz="4" w:space="0"/>
            </w:tcBorders>
          </w:tcPr>
          <w:p w14:paraId="57E28A66">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4521AF99">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74D18350">
            <w:pPr>
              <w:overflowPunct/>
              <w:topLinePunct w:val="0"/>
              <w:adjustRightInd/>
              <w:spacing w:line="240" w:lineRule="atLeast"/>
              <w:ind w:firstLine="552"/>
              <w:jc w:val="left"/>
              <w:rPr>
                <w:kern w:val="0"/>
                <w:sz w:val="28"/>
                <w:szCs w:val="28"/>
              </w:rPr>
            </w:pPr>
          </w:p>
        </w:tc>
      </w:tr>
      <w:tr w14:paraId="47D720FD">
        <w:tblPrEx>
          <w:tblCellMar>
            <w:top w:w="0" w:type="dxa"/>
            <w:left w:w="0" w:type="dxa"/>
            <w:bottom w:w="0" w:type="dxa"/>
            <w:right w:w="0" w:type="dxa"/>
          </w:tblCellMar>
        </w:tblPrEx>
        <w:trPr>
          <w:trHeight w:val="562"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62CF24EB">
            <w:pPr>
              <w:overflowPunct/>
              <w:topLinePunct w:val="0"/>
              <w:adjustRightInd/>
              <w:spacing w:line="240" w:lineRule="atLeast"/>
              <w:ind w:firstLine="0" w:firstLineChars="0"/>
              <w:jc w:val="center"/>
              <w:rPr>
                <w:kern w:val="0"/>
                <w:sz w:val="28"/>
                <w:szCs w:val="28"/>
              </w:rPr>
            </w:pPr>
            <w:r>
              <w:rPr>
                <w:kern w:val="0"/>
                <w:sz w:val="28"/>
                <w:szCs w:val="28"/>
              </w:rPr>
              <w:t>制作展板（个）</w:t>
            </w:r>
          </w:p>
        </w:tc>
        <w:tc>
          <w:tcPr>
            <w:tcW w:w="897" w:type="pct"/>
            <w:tcBorders>
              <w:top w:val="inset" w:color="000000" w:sz="6" w:space="0"/>
              <w:left w:val="single" w:color="auto" w:sz="0" w:space="0"/>
              <w:bottom w:val="inset" w:color="000000" w:sz="6" w:space="0"/>
              <w:right w:val="single" w:color="auto" w:sz="4" w:space="0"/>
            </w:tcBorders>
          </w:tcPr>
          <w:p w14:paraId="60A6D056">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57EAE69E">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49214434">
            <w:pPr>
              <w:overflowPunct/>
              <w:topLinePunct w:val="0"/>
              <w:adjustRightInd/>
              <w:spacing w:line="240" w:lineRule="atLeast"/>
              <w:ind w:firstLine="552"/>
              <w:jc w:val="left"/>
              <w:rPr>
                <w:kern w:val="0"/>
                <w:sz w:val="28"/>
                <w:szCs w:val="28"/>
              </w:rPr>
            </w:pPr>
          </w:p>
        </w:tc>
      </w:tr>
      <w:tr w14:paraId="66A3D1EB">
        <w:tblPrEx>
          <w:tblCellMar>
            <w:top w:w="0" w:type="dxa"/>
            <w:left w:w="0" w:type="dxa"/>
            <w:bottom w:w="0" w:type="dxa"/>
            <w:right w:w="0" w:type="dxa"/>
          </w:tblCellMar>
        </w:tblPrEx>
        <w:trPr>
          <w:trHeight w:val="570" w:hRule="exact"/>
        </w:trPr>
        <w:tc>
          <w:tcPr>
            <w:tcW w:w="2353" w:type="pct"/>
            <w:gridSpan w:val="2"/>
            <w:tcBorders>
              <w:top w:val="inset" w:color="000000" w:sz="6" w:space="0"/>
              <w:left w:val="inset" w:color="000000" w:sz="6" w:space="0"/>
              <w:bottom w:val="inset" w:color="000000" w:sz="6" w:space="0"/>
              <w:right w:val="inset" w:color="000000" w:sz="6" w:space="0"/>
            </w:tcBorders>
            <w:vAlign w:val="center"/>
          </w:tcPr>
          <w:p w14:paraId="3154E180">
            <w:pPr>
              <w:overflowPunct/>
              <w:topLinePunct w:val="0"/>
              <w:adjustRightInd/>
              <w:spacing w:line="240" w:lineRule="atLeast"/>
              <w:ind w:firstLine="0" w:firstLineChars="0"/>
              <w:jc w:val="center"/>
              <w:rPr>
                <w:kern w:val="0"/>
                <w:sz w:val="28"/>
                <w:szCs w:val="28"/>
              </w:rPr>
            </w:pPr>
            <w:r>
              <w:rPr>
                <w:kern w:val="0"/>
                <w:sz w:val="28"/>
                <w:szCs w:val="28"/>
              </w:rPr>
              <w:t>制挂标语（条）</w:t>
            </w:r>
          </w:p>
        </w:tc>
        <w:tc>
          <w:tcPr>
            <w:tcW w:w="897" w:type="pct"/>
            <w:tcBorders>
              <w:top w:val="inset" w:color="000000" w:sz="6" w:space="0"/>
              <w:left w:val="single" w:color="auto" w:sz="0" w:space="0"/>
              <w:bottom w:val="inset" w:color="000000" w:sz="6" w:space="0"/>
              <w:right w:val="single" w:color="auto" w:sz="4" w:space="0"/>
            </w:tcBorders>
          </w:tcPr>
          <w:p w14:paraId="645511AA">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3F895DEC">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inset" w:color="000000" w:sz="6" w:space="0"/>
              <w:right w:val="inset" w:color="000000" w:sz="6" w:space="0"/>
            </w:tcBorders>
          </w:tcPr>
          <w:p w14:paraId="263DEA9D">
            <w:pPr>
              <w:overflowPunct/>
              <w:topLinePunct w:val="0"/>
              <w:adjustRightInd/>
              <w:spacing w:line="240" w:lineRule="atLeast"/>
              <w:ind w:firstLine="552"/>
              <w:jc w:val="left"/>
              <w:rPr>
                <w:kern w:val="0"/>
                <w:sz w:val="28"/>
                <w:szCs w:val="28"/>
              </w:rPr>
            </w:pPr>
          </w:p>
        </w:tc>
      </w:tr>
      <w:tr w14:paraId="5D64CBDC">
        <w:tblPrEx>
          <w:tblCellMar>
            <w:top w:w="0" w:type="dxa"/>
            <w:left w:w="0" w:type="dxa"/>
            <w:bottom w:w="0" w:type="dxa"/>
            <w:right w:w="0" w:type="dxa"/>
          </w:tblCellMar>
        </w:tblPrEx>
        <w:trPr>
          <w:trHeight w:val="720" w:hRule="exact"/>
        </w:trPr>
        <w:tc>
          <w:tcPr>
            <w:tcW w:w="2353" w:type="pct"/>
            <w:gridSpan w:val="2"/>
            <w:tcBorders>
              <w:top w:val="inset" w:color="000000" w:sz="6" w:space="0"/>
              <w:left w:val="inset" w:color="000000" w:sz="6" w:space="0"/>
              <w:bottom w:val="single" w:color="000000" w:sz="4" w:space="0"/>
              <w:right w:val="inset" w:color="000000" w:sz="6" w:space="0"/>
            </w:tcBorders>
            <w:vAlign w:val="center"/>
          </w:tcPr>
          <w:p w14:paraId="7538B811">
            <w:pPr>
              <w:overflowPunct/>
              <w:topLinePunct w:val="0"/>
              <w:adjustRightInd/>
              <w:spacing w:line="240" w:lineRule="atLeast"/>
              <w:ind w:firstLine="0" w:firstLineChars="0"/>
              <w:jc w:val="center"/>
              <w:rPr>
                <w:kern w:val="0"/>
                <w:sz w:val="28"/>
                <w:szCs w:val="28"/>
              </w:rPr>
            </w:pPr>
            <w:r>
              <w:rPr>
                <w:kern w:val="0"/>
                <w:sz w:val="28"/>
                <w:szCs w:val="28"/>
              </w:rPr>
              <w:t>其他</w:t>
            </w:r>
          </w:p>
        </w:tc>
        <w:tc>
          <w:tcPr>
            <w:tcW w:w="897" w:type="pct"/>
            <w:tcBorders>
              <w:top w:val="inset" w:color="000000" w:sz="6" w:space="0"/>
              <w:left w:val="single" w:color="auto" w:sz="0" w:space="0"/>
              <w:bottom w:val="single" w:color="000000" w:sz="4" w:space="0"/>
              <w:right w:val="single" w:color="auto" w:sz="4" w:space="0"/>
            </w:tcBorders>
          </w:tcPr>
          <w:p w14:paraId="4047A9FB">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single" w:color="000000" w:sz="4" w:space="0"/>
              <w:right w:val="single" w:color="auto" w:sz="4" w:space="0"/>
            </w:tcBorders>
          </w:tcPr>
          <w:p w14:paraId="5ACFE0B4">
            <w:pPr>
              <w:overflowPunct/>
              <w:topLinePunct w:val="0"/>
              <w:adjustRightInd/>
              <w:spacing w:line="240" w:lineRule="atLeast"/>
              <w:ind w:firstLine="552"/>
              <w:jc w:val="left"/>
              <w:rPr>
                <w:kern w:val="0"/>
                <w:sz w:val="28"/>
                <w:szCs w:val="28"/>
              </w:rPr>
            </w:pPr>
          </w:p>
        </w:tc>
        <w:tc>
          <w:tcPr>
            <w:tcW w:w="872" w:type="pct"/>
            <w:tcBorders>
              <w:top w:val="inset" w:color="000000" w:sz="6" w:space="0"/>
              <w:left w:val="single" w:color="auto" w:sz="4" w:space="0"/>
              <w:bottom w:val="single" w:color="000000" w:sz="4" w:space="0"/>
              <w:right w:val="inset" w:color="000000" w:sz="6" w:space="0"/>
            </w:tcBorders>
          </w:tcPr>
          <w:p w14:paraId="418DAD5F">
            <w:pPr>
              <w:overflowPunct/>
              <w:topLinePunct w:val="0"/>
              <w:adjustRightInd/>
              <w:spacing w:line="240" w:lineRule="atLeast"/>
              <w:ind w:firstLine="552"/>
              <w:jc w:val="left"/>
              <w:rPr>
                <w:kern w:val="0"/>
                <w:sz w:val="28"/>
                <w:szCs w:val="28"/>
              </w:rPr>
            </w:pPr>
          </w:p>
        </w:tc>
      </w:tr>
    </w:tbl>
    <w:p w14:paraId="6F4034CE">
      <w:pPr>
        <w:jc w:val="left"/>
      </w:pP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814" w:left="1588" w:header="851" w:footer="964" w:gutter="0"/>
      <w:pgNumType w:fmt="numberInDash" w:start="1"/>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2000000000000000000"/>
    <w:charset w:val="86"/>
    <w:family w:val="script"/>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1765191"/>
    </w:sdtPr>
    <w:sdtEndPr>
      <w:rPr>
        <w:rFonts w:asciiTheme="minorEastAsia" w:hAnsiTheme="minorEastAsia" w:eastAsiaTheme="minorEastAsia"/>
        <w:szCs w:val="28"/>
      </w:rPr>
    </w:sdtEndPr>
    <w:sdtContent>
      <w:p w14:paraId="53E2A6A3">
        <w:pPr>
          <w:pStyle w:val="9"/>
          <w:ind w:firstLine="560"/>
          <w:jc w:val="right"/>
        </w:pPr>
        <w:r>
          <w:rPr>
            <w:rFonts w:asciiTheme="minorEastAsia" w:hAnsiTheme="minorEastAsia" w:eastAsiaTheme="minorEastAsia"/>
            <w:szCs w:val="28"/>
          </w:rPr>
          <w:fldChar w:fldCharType="begin"/>
        </w:r>
        <w:r>
          <w:rPr>
            <w:rFonts w:asciiTheme="minorEastAsia" w:hAnsiTheme="minorEastAsia" w:eastAsiaTheme="minorEastAsia"/>
            <w:szCs w:val="28"/>
          </w:rPr>
          <w:instrText xml:space="preserve">PAGE   \* MERGEFORMAT</w:instrText>
        </w:r>
        <w:r>
          <w:rPr>
            <w:rFonts w:asciiTheme="minorEastAsia" w:hAnsiTheme="minorEastAsia" w:eastAsiaTheme="minorEastAsia"/>
            <w:szCs w:val="28"/>
          </w:rPr>
          <w:fldChar w:fldCharType="separate"/>
        </w:r>
        <w:r>
          <w:rPr>
            <w:rFonts w:asciiTheme="minorEastAsia" w:hAnsiTheme="minorEastAsia" w:eastAsiaTheme="minorEastAsia"/>
            <w:szCs w:val="28"/>
            <w:lang w:val="zh-CN"/>
          </w:rPr>
          <w:t>-</w:t>
        </w:r>
        <w:r>
          <w:rPr>
            <w:rFonts w:asciiTheme="minorEastAsia" w:hAnsiTheme="minorEastAsia" w:eastAsiaTheme="minorEastAsia"/>
            <w:szCs w:val="28"/>
          </w:rPr>
          <w:t xml:space="preserve"> 1 -</w:t>
        </w:r>
        <w:r>
          <w:rPr>
            <w:rFonts w:asciiTheme="minorEastAsia" w:hAnsiTheme="minorEastAsia" w:eastAsiaTheme="minorEastAsia"/>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427298"/>
    </w:sdtPr>
    <w:sdtContent>
      <w:p w14:paraId="7F9A1F3A">
        <w:pPr>
          <w:pStyle w:val="9"/>
          <w:ind w:firstLine="0" w:firstLineChars="0"/>
        </w:pPr>
        <w:r>
          <w:rPr>
            <w:rFonts w:asciiTheme="minorEastAsia" w:hAnsiTheme="minorEastAsia" w:eastAsiaTheme="minorEastAsia"/>
          </w:rPr>
          <w:fldChar w:fldCharType="begin"/>
        </w:r>
        <w:r>
          <w:rPr>
            <w:rFonts w:asciiTheme="minorEastAsia" w:hAnsiTheme="minorEastAsia" w:eastAsiaTheme="minorEastAsia"/>
          </w:rPr>
          <w:instrText xml:space="preserve">PAGE   \* MERGEFORMAT</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2 -</w:t>
        </w:r>
        <w:r>
          <w:rPr>
            <w:rFonts w:asciiTheme="minorEastAsia" w:hAnsiTheme="minorEastAsia" w:eastAsiaTheme="minorEastAsia"/>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A93B5">
    <w:pPr>
      <w:pStyle w:val="9"/>
      <w:ind w:firstLine="5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ABD7D">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85041">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FDFDC">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72829"/>
    <w:multiLevelType w:val="singleLevel"/>
    <w:tmpl w:val="A8B72829"/>
    <w:lvl w:ilvl="0" w:tentative="0">
      <w:start w:val="1"/>
      <w:numFmt w:val="chineseCounting"/>
      <w:pStyle w:val="21"/>
      <w:suff w:val="nothing"/>
      <w:lvlText w:val="（%1）"/>
      <w:lvlJc w:val="left"/>
      <w:pPr>
        <w:ind w:left="0" w:firstLine="0"/>
      </w:pPr>
      <w:rPr>
        <w:rFonts w:hint="eastAsia"/>
      </w:rPr>
    </w:lvl>
  </w:abstractNum>
  <w:abstractNum w:abstractNumId="1">
    <w:nsid w:val="051A4E85"/>
    <w:multiLevelType w:val="singleLevel"/>
    <w:tmpl w:val="051A4E85"/>
    <w:lvl w:ilvl="0" w:tentative="0">
      <w:start w:val="1"/>
      <w:numFmt w:val="decimal"/>
      <w:pStyle w:val="20"/>
      <w:suff w:val="nothing"/>
      <w:lvlText w:val="（%1）"/>
      <w:lvlJc w:val="left"/>
      <w:pPr>
        <w:ind w:left="0" w:firstLine="0"/>
      </w:pPr>
      <w:rPr>
        <w:rFonts w:hint="default"/>
      </w:rPr>
    </w:lvl>
  </w:abstractNum>
  <w:abstractNum w:abstractNumId="2">
    <w:nsid w:val="1FD18B64"/>
    <w:multiLevelType w:val="singleLevel"/>
    <w:tmpl w:val="1FD18B64"/>
    <w:lvl w:ilvl="0" w:tentative="0">
      <w:start w:val="1"/>
      <w:numFmt w:val="decimal"/>
      <w:pStyle w:val="18"/>
      <w:suff w:val="nothing"/>
      <w:lvlText w:val="%1."/>
      <w:lvlJc w:val="left"/>
      <w:pPr>
        <w:ind w:left="0" w:firstLine="0"/>
      </w:pPr>
      <w:rPr>
        <w:rFonts w:hint="default"/>
      </w:rPr>
    </w:lvl>
  </w:abstractNum>
  <w:abstractNum w:abstractNumId="3">
    <w:nsid w:val="59ABB6A0"/>
    <w:multiLevelType w:val="singleLevel"/>
    <w:tmpl w:val="59ABB6A0"/>
    <w:lvl w:ilvl="0" w:tentative="0">
      <w:start w:val="1"/>
      <w:numFmt w:val="chineseCounting"/>
      <w:pStyle w:val="19"/>
      <w:suff w:val="nothing"/>
      <w:lvlText w:val="%1、"/>
      <w:lvlJc w:val="left"/>
      <w:pPr>
        <w:ind w:left="0" w:firstLine="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632"/>
  <w:evenAndOddHeaders w:val="1"/>
  <w:drawingGridHorizontalSpacing w:val="158"/>
  <w:drawingGridVerticalSpacing w:val="579"/>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ZDEwM2M3MmJkYjM0NDk1OWRhNjkxZjhiMjk4OGYifQ=="/>
  </w:docVars>
  <w:rsids>
    <w:rsidRoot w:val="BF8D4899"/>
    <w:rsid w:val="000139B0"/>
    <w:rsid w:val="00013AE8"/>
    <w:rsid w:val="000315B7"/>
    <w:rsid w:val="000327A7"/>
    <w:rsid w:val="0005040C"/>
    <w:rsid w:val="00081CAF"/>
    <w:rsid w:val="00084A4B"/>
    <w:rsid w:val="000A2211"/>
    <w:rsid w:val="000C180D"/>
    <w:rsid w:val="000D61CD"/>
    <w:rsid w:val="000E1380"/>
    <w:rsid w:val="000E406C"/>
    <w:rsid w:val="000E7CC2"/>
    <w:rsid w:val="00103B08"/>
    <w:rsid w:val="00105FA5"/>
    <w:rsid w:val="001255C4"/>
    <w:rsid w:val="00146963"/>
    <w:rsid w:val="0015370B"/>
    <w:rsid w:val="00164183"/>
    <w:rsid w:val="00173FD4"/>
    <w:rsid w:val="00184B45"/>
    <w:rsid w:val="00190C61"/>
    <w:rsid w:val="001A42EE"/>
    <w:rsid w:val="001B2DDA"/>
    <w:rsid w:val="001B67A0"/>
    <w:rsid w:val="001C6DFA"/>
    <w:rsid w:val="001D2FE3"/>
    <w:rsid w:val="001E04AC"/>
    <w:rsid w:val="001E0C28"/>
    <w:rsid w:val="001F053F"/>
    <w:rsid w:val="0020637F"/>
    <w:rsid w:val="00227827"/>
    <w:rsid w:val="00234566"/>
    <w:rsid w:val="00234A02"/>
    <w:rsid w:val="002408E6"/>
    <w:rsid w:val="0024337A"/>
    <w:rsid w:val="002541AA"/>
    <w:rsid w:val="00276462"/>
    <w:rsid w:val="002875E4"/>
    <w:rsid w:val="00287BC7"/>
    <w:rsid w:val="00292053"/>
    <w:rsid w:val="0029336D"/>
    <w:rsid w:val="002A0EF1"/>
    <w:rsid w:val="002B6A37"/>
    <w:rsid w:val="002D71A3"/>
    <w:rsid w:val="002E1DD1"/>
    <w:rsid w:val="002E2FA6"/>
    <w:rsid w:val="002E614F"/>
    <w:rsid w:val="002F08E7"/>
    <w:rsid w:val="002F2560"/>
    <w:rsid w:val="002F30F6"/>
    <w:rsid w:val="003013E2"/>
    <w:rsid w:val="00302A8F"/>
    <w:rsid w:val="00307CC7"/>
    <w:rsid w:val="00321202"/>
    <w:rsid w:val="0032432F"/>
    <w:rsid w:val="003348D1"/>
    <w:rsid w:val="0034569A"/>
    <w:rsid w:val="003469A7"/>
    <w:rsid w:val="00351974"/>
    <w:rsid w:val="00367F3E"/>
    <w:rsid w:val="0038606B"/>
    <w:rsid w:val="003914FC"/>
    <w:rsid w:val="003928BC"/>
    <w:rsid w:val="00395EC9"/>
    <w:rsid w:val="003A2F6F"/>
    <w:rsid w:val="003B37AD"/>
    <w:rsid w:val="003C4DE1"/>
    <w:rsid w:val="0041317B"/>
    <w:rsid w:val="00416612"/>
    <w:rsid w:val="00416957"/>
    <w:rsid w:val="004277C5"/>
    <w:rsid w:val="00433A6B"/>
    <w:rsid w:val="00436DB2"/>
    <w:rsid w:val="00441164"/>
    <w:rsid w:val="00453FB1"/>
    <w:rsid w:val="00455942"/>
    <w:rsid w:val="00456234"/>
    <w:rsid w:val="004B4562"/>
    <w:rsid w:val="004C0D1B"/>
    <w:rsid w:val="004C460C"/>
    <w:rsid w:val="004E7F1E"/>
    <w:rsid w:val="004F2BEC"/>
    <w:rsid w:val="0050362A"/>
    <w:rsid w:val="00515207"/>
    <w:rsid w:val="00522E00"/>
    <w:rsid w:val="00533174"/>
    <w:rsid w:val="00537F77"/>
    <w:rsid w:val="00570C43"/>
    <w:rsid w:val="00575984"/>
    <w:rsid w:val="00580EE1"/>
    <w:rsid w:val="005813D4"/>
    <w:rsid w:val="00594211"/>
    <w:rsid w:val="005A5CAA"/>
    <w:rsid w:val="005A7E43"/>
    <w:rsid w:val="005B3328"/>
    <w:rsid w:val="005B56C4"/>
    <w:rsid w:val="005D0AFA"/>
    <w:rsid w:val="005E1F59"/>
    <w:rsid w:val="005E293C"/>
    <w:rsid w:val="005F0645"/>
    <w:rsid w:val="005F0A4F"/>
    <w:rsid w:val="005F1FB0"/>
    <w:rsid w:val="0060358C"/>
    <w:rsid w:val="00607FC6"/>
    <w:rsid w:val="006177AC"/>
    <w:rsid w:val="006201EE"/>
    <w:rsid w:val="00620988"/>
    <w:rsid w:val="0062355D"/>
    <w:rsid w:val="00631F3A"/>
    <w:rsid w:val="00637D3E"/>
    <w:rsid w:val="006444AE"/>
    <w:rsid w:val="006528C8"/>
    <w:rsid w:val="00654466"/>
    <w:rsid w:val="00662980"/>
    <w:rsid w:val="00665611"/>
    <w:rsid w:val="0067072B"/>
    <w:rsid w:val="00691408"/>
    <w:rsid w:val="006A36B3"/>
    <w:rsid w:val="006C2A60"/>
    <w:rsid w:val="006F03A5"/>
    <w:rsid w:val="00706951"/>
    <w:rsid w:val="00716ACD"/>
    <w:rsid w:val="00722DD9"/>
    <w:rsid w:val="0072463E"/>
    <w:rsid w:val="00733AFB"/>
    <w:rsid w:val="00734F6C"/>
    <w:rsid w:val="00751482"/>
    <w:rsid w:val="007653B8"/>
    <w:rsid w:val="007814CF"/>
    <w:rsid w:val="00791993"/>
    <w:rsid w:val="00792600"/>
    <w:rsid w:val="00794FD9"/>
    <w:rsid w:val="007B605B"/>
    <w:rsid w:val="007C45F5"/>
    <w:rsid w:val="007D08DD"/>
    <w:rsid w:val="007D17D2"/>
    <w:rsid w:val="007F0B90"/>
    <w:rsid w:val="007F2996"/>
    <w:rsid w:val="0080197C"/>
    <w:rsid w:val="0080697C"/>
    <w:rsid w:val="00816D61"/>
    <w:rsid w:val="008218FF"/>
    <w:rsid w:val="00822933"/>
    <w:rsid w:val="00823E98"/>
    <w:rsid w:val="00837899"/>
    <w:rsid w:val="00837ED1"/>
    <w:rsid w:val="00865CB0"/>
    <w:rsid w:val="008845C0"/>
    <w:rsid w:val="00891F4B"/>
    <w:rsid w:val="008A16A8"/>
    <w:rsid w:val="008B6141"/>
    <w:rsid w:val="00924DEB"/>
    <w:rsid w:val="00936A6A"/>
    <w:rsid w:val="00937104"/>
    <w:rsid w:val="0096339F"/>
    <w:rsid w:val="009827A7"/>
    <w:rsid w:val="009846E9"/>
    <w:rsid w:val="00996BD1"/>
    <w:rsid w:val="009A1B7F"/>
    <w:rsid w:val="009E1638"/>
    <w:rsid w:val="009E4BDE"/>
    <w:rsid w:val="009F4DE1"/>
    <w:rsid w:val="00A02B3B"/>
    <w:rsid w:val="00A25465"/>
    <w:rsid w:val="00A4019B"/>
    <w:rsid w:val="00A54F6F"/>
    <w:rsid w:val="00A56DB1"/>
    <w:rsid w:val="00A619C6"/>
    <w:rsid w:val="00A71DCB"/>
    <w:rsid w:val="00A74FF8"/>
    <w:rsid w:val="00A76F7F"/>
    <w:rsid w:val="00A8369F"/>
    <w:rsid w:val="00A90DA9"/>
    <w:rsid w:val="00A96AB3"/>
    <w:rsid w:val="00AA5040"/>
    <w:rsid w:val="00AB4B80"/>
    <w:rsid w:val="00AB4D36"/>
    <w:rsid w:val="00AC36EF"/>
    <w:rsid w:val="00AC6BBF"/>
    <w:rsid w:val="00AD3A35"/>
    <w:rsid w:val="00AE1968"/>
    <w:rsid w:val="00AF611D"/>
    <w:rsid w:val="00B05A32"/>
    <w:rsid w:val="00B24479"/>
    <w:rsid w:val="00B26CD0"/>
    <w:rsid w:val="00B3123F"/>
    <w:rsid w:val="00B52EFE"/>
    <w:rsid w:val="00B75BB1"/>
    <w:rsid w:val="00B76339"/>
    <w:rsid w:val="00BD6A23"/>
    <w:rsid w:val="00BF1A60"/>
    <w:rsid w:val="00C12E4D"/>
    <w:rsid w:val="00C2574C"/>
    <w:rsid w:val="00C40006"/>
    <w:rsid w:val="00C4222F"/>
    <w:rsid w:val="00C427D2"/>
    <w:rsid w:val="00C438C8"/>
    <w:rsid w:val="00C56DBA"/>
    <w:rsid w:val="00C71560"/>
    <w:rsid w:val="00C72113"/>
    <w:rsid w:val="00C803FD"/>
    <w:rsid w:val="00C87D9E"/>
    <w:rsid w:val="00CA2480"/>
    <w:rsid w:val="00CA5A5E"/>
    <w:rsid w:val="00CA6688"/>
    <w:rsid w:val="00CF0E77"/>
    <w:rsid w:val="00CF3712"/>
    <w:rsid w:val="00D023C3"/>
    <w:rsid w:val="00D02404"/>
    <w:rsid w:val="00D121E8"/>
    <w:rsid w:val="00D1522F"/>
    <w:rsid w:val="00D4047E"/>
    <w:rsid w:val="00D50279"/>
    <w:rsid w:val="00D60CA6"/>
    <w:rsid w:val="00D65016"/>
    <w:rsid w:val="00D67D30"/>
    <w:rsid w:val="00D70543"/>
    <w:rsid w:val="00D9298D"/>
    <w:rsid w:val="00D931FF"/>
    <w:rsid w:val="00D94B38"/>
    <w:rsid w:val="00DA0B81"/>
    <w:rsid w:val="00DB771C"/>
    <w:rsid w:val="00DC4682"/>
    <w:rsid w:val="00DD04FC"/>
    <w:rsid w:val="00DD56E3"/>
    <w:rsid w:val="00E21F4C"/>
    <w:rsid w:val="00E31CA5"/>
    <w:rsid w:val="00E33210"/>
    <w:rsid w:val="00E436B8"/>
    <w:rsid w:val="00E54461"/>
    <w:rsid w:val="00E555DC"/>
    <w:rsid w:val="00E668A3"/>
    <w:rsid w:val="00E77FEF"/>
    <w:rsid w:val="00E8007A"/>
    <w:rsid w:val="00E845D8"/>
    <w:rsid w:val="00EA213D"/>
    <w:rsid w:val="00EA33C4"/>
    <w:rsid w:val="00EA4C8F"/>
    <w:rsid w:val="00EC0CCC"/>
    <w:rsid w:val="00EC3858"/>
    <w:rsid w:val="00EC52E7"/>
    <w:rsid w:val="00ED3BFD"/>
    <w:rsid w:val="00EE0D5A"/>
    <w:rsid w:val="00F279E0"/>
    <w:rsid w:val="00F302DC"/>
    <w:rsid w:val="00F31896"/>
    <w:rsid w:val="00F33C98"/>
    <w:rsid w:val="00F35AC7"/>
    <w:rsid w:val="00F41B23"/>
    <w:rsid w:val="00F4507A"/>
    <w:rsid w:val="00F631C1"/>
    <w:rsid w:val="00F649A7"/>
    <w:rsid w:val="00F73EBC"/>
    <w:rsid w:val="00F75A4D"/>
    <w:rsid w:val="00F826FB"/>
    <w:rsid w:val="00FA7300"/>
    <w:rsid w:val="00FB1C83"/>
    <w:rsid w:val="00FC4053"/>
    <w:rsid w:val="00FC6EB1"/>
    <w:rsid w:val="00FD2A57"/>
    <w:rsid w:val="00FD76C6"/>
    <w:rsid w:val="00FE24D1"/>
    <w:rsid w:val="00FF4B41"/>
    <w:rsid w:val="028A21AA"/>
    <w:rsid w:val="065C363E"/>
    <w:rsid w:val="06C323F1"/>
    <w:rsid w:val="0AE00993"/>
    <w:rsid w:val="0DDF64DA"/>
    <w:rsid w:val="0EA7164B"/>
    <w:rsid w:val="0EC8654C"/>
    <w:rsid w:val="0F5C0611"/>
    <w:rsid w:val="0F77BEB8"/>
    <w:rsid w:val="11B3214E"/>
    <w:rsid w:val="126E7D99"/>
    <w:rsid w:val="12BD1E00"/>
    <w:rsid w:val="15B7AFAA"/>
    <w:rsid w:val="19550999"/>
    <w:rsid w:val="1B97A915"/>
    <w:rsid w:val="1D604B73"/>
    <w:rsid w:val="1D7C3EC2"/>
    <w:rsid w:val="1F3F33F9"/>
    <w:rsid w:val="21151AA9"/>
    <w:rsid w:val="21716BFF"/>
    <w:rsid w:val="22EB0ED1"/>
    <w:rsid w:val="27955A77"/>
    <w:rsid w:val="2B6A0E1D"/>
    <w:rsid w:val="2C673F8F"/>
    <w:rsid w:val="2CF63955"/>
    <w:rsid w:val="2CFBB1F9"/>
    <w:rsid w:val="2D870D8D"/>
    <w:rsid w:val="31CB09FC"/>
    <w:rsid w:val="338E62A6"/>
    <w:rsid w:val="33C85C5B"/>
    <w:rsid w:val="33F7B365"/>
    <w:rsid w:val="3775D3A6"/>
    <w:rsid w:val="37FEF124"/>
    <w:rsid w:val="39557C35"/>
    <w:rsid w:val="3CD077C9"/>
    <w:rsid w:val="3CF75027"/>
    <w:rsid w:val="3F6AC7AA"/>
    <w:rsid w:val="3F774FAE"/>
    <w:rsid w:val="404D210C"/>
    <w:rsid w:val="418B5711"/>
    <w:rsid w:val="421D098C"/>
    <w:rsid w:val="426052B1"/>
    <w:rsid w:val="426F296C"/>
    <w:rsid w:val="42B15B0D"/>
    <w:rsid w:val="42BD7D96"/>
    <w:rsid w:val="434F15AD"/>
    <w:rsid w:val="47466018"/>
    <w:rsid w:val="48D83DF3"/>
    <w:rsid w:val="49A06EB4"/>
    <w:rsid w:val="49CD147E"/>
    <w:rsid w:val="4B6E6534"/>
    <w:rsid w:val="517F69E3"/>
    <w:rsid w:val="52B7199D"/>
    <w:rsid w:val="576B22D6"/>
    <w:rsid w:val="57D9D578"/>
    <w:rsid w:val="57FF8C8E"/>
    <w:rsid w:val="5876842A"/>
    <w:rsid w:val="5BA7430C"/>
    <w:rsid w:val="5C0120F2"/>
    <w:rsid w:val="5C190553"/>
    <w:rsid w:val="5C2C0286"/>
    <w:rsid w:val="5C5FDD14"/>
    <w:rsid w:val="5D0E59C3"/>
    <w:rsid w:val="5D646DAF"/>
    <w:rsid w:val="5E474C84"/>
    <w:rsid w:val="5EFF9AF8"/>
    <w:rsid w:val="612F58E3"/>
    <w:rsid w:val="61EC126A"/>
    <w:rsid w:val="61F84EF2"/>
    <w:rsid w:val="63F7BE6E"/>
    <w:rsid w:val="64975087"/>
    <w:rsid w:val="64F6347F"/>
    <w:rsid w:val="657C417C"/>
    <w:rsid w:val="6658C909"/>
    <w:rsid w:val="66A67FB7"/>
    <w:rsid w:val="66E26E09"/>
    <w:rsid w:val="6B3E1D84"/>
    <w:rsid w:val="6B776A59"/>
    <w:rsid w:val="6BEFDB13"/>
    <w:rsid w:val="6C3BBEEA"/>
    <w:rsid w:val="6E1528B4"/>
    <w:rsid w:val="6EF3CDDE"/>
    <w:rsid w:val="6EF6C962"/>
    <w:rsid w:val="716E4C66"/>
    <w:rsid w:val="71CB475D"/>
    <w:rsid w:val="72FE73F5"/>
    <w:rsid w:val="73F582A1"/>
    <w:rsid w:val="741C69DA"/>
    <w:rsid w:val="747E651B"/>
    <w:rsid w:val="75DFBB06"/>
    <w:rsid w:val="76BFF491"/>
    <w:rsid w:val="77605677"/>
    <w:rsid w:val="77BE40D7"/>
    <w:rsid w:val="77DF7D41"/>
    <w:rsid w:val="77F70857"/>
    <w:rsid w:val="78520C1D"/>
    <w:rsid w:val="7A555E22"/>
    <w:rsid w:val="7ABF6D19"/>
    <w:rsid w:val="7B7F1D4B"/>
    <w:rsid w:val="7BFF36C5"/>
    <w:rsid w:val="7DA64D51"/>
    <w:rsid w:val="7DD76D0F"/>
    <w:rsid w:val="7DDF5827"/>
    <w:rsid w:val="7DFF7BE4"/>
    <w:rsid w:val="7E2E6BB0"/>
    <w:rsid w:val="7E7B441B"/>
    <w:rsid w:val="7E7CAD87"/>
    <w:rsid w:val="7EBA40AB"/>
    <w:rsid w:val="7EBF7BBB"/>
    <w:rsid w:val="7F8E9978"/>
    <w:rsid w:val="7FBF867A"/>
    <w:rsid w:val="7FD77D6A"/>
    <w:rsid w:val="7FDFCE2B"/>
    <w:rsid w:val="7FE8EF77"/>
    <w:rsid w:val="7FEE887A"/>
    <w:rsid w:val="7FF39FD2"/>
    <w:rsid w:val="7FFFCBD6"/>
    <w:rsid w:val="95BF5877"/>
    <w:rsid w:val="969FD0D7"/>
    <w:rsid w:val="9D99D53F"/>
    <w:rsid w:val="9FBF1715"/>
    <w:rsid w:val="A1DFFE0B"/>
    <w:rsid w:val="A2CF6C0D"/>
    <w:rsid w:val="ADEDF7CB"/>
    <w:rsid w:val="AECBD435"/>
    <w:rsid w:val="AFB74FF0"/>
    <w:rsid w:val="B4FD35DF"/>
    <w:rsid w:val="B67FB969"/>
    <w:rsid w:val="B6C5014E"/>
    <w:rsid w:val="B7E7AB44"/>
    <w:rsid w:val="BDFDA730"/>
    <w:rsid w:val="BE6D331F"/>
    <w:rsid w:val="BF8D4899"/>
    <w:rsid w:val="BFF9664F"/>
    <w:rsid w:val="BFFE1F0E"/>
    <w:rsid w:val="BFFF94FC"/>
    <w:rsid w:val="CEBE8034"/>
    <w:rsid w:val="D2FD835F"/>
    <w:rsid w:val="D5F7D0A4"/>
    <w:rsid w:val="D7FB4FBE"/>
    <w:rsid w:val="D7FF3804"/>
    <w:rsid w:val="D93C9E80"/>
    <w:rsid w:val="DBDBACF6"/>
    <w:rsid w:val="DFEF8F35"/>
    <w:rsid w:val="DFFFE5F7"/>
    <w:rsid w:val="E38F2D0E"/>
    <w:rsid w:val="E4BF7E31"/>
    <w:rsid w:val="E7E083BB"/>
    <w:rsid w:val="EA655ADF"/>
    <w:rsid w:val="EACF55A9"/>
    <w:rsid w:val="EAFF5ED6"/>
    <w:rsid w:val="ECDD27ED"/>
    <w:rsid w:val="EE9F5EA9"/>
    <w:rsid w:val="EFDD4664"/>
    <w:rsid w:val="F45F86B5"/>
    <w:rsid w:val="F53943C6"/>
    <w:rsid w:val="F69ACF7C"/>
    <w:rsid w:val="F76AB32B"/>
    <w:rsid w:val="F89F9B13"/>
    <w:rsid w:val="F9EFAFB2"/>
    <w:rsid w:val="F9F573E0"/>
    <w:rsid w:val="F9FBBD60"/>
    <w:rsid w:val="FAFBD8B0"/>
    <w:rsid w:val="FBE9B0E3"/>
    <w:rsid w:val="FBFA490D"/>
    <w:rsid w:val="FBFF5D8D"/>
    <w:rsid w:val="FCFDE4EE"/>
    <w:rsid w:val="FD7557AC"/>
    <w:rsid w:val="FDB6B85A"/>
    <w:rsid w:val="FDB6C867"/>
    <w:rsid w:val="FDD7082E"/>
    <w:rsid w:val="FDEF0561"/>
    <w:rsid w:val="FDEF4815"/>
    <w:rsid w:val="FE6D1CA7"/>
    <w:rsid w:val="FE76363E"/>
    <w:rsid w:val="FE7B4881"/>
    <w:rsid w:val="FE7FBB6A"/>
    <w:rsid w:val="FEFF7A88"/>
    <w:rsid w:val="FF74CB4A"/>
    <w:rsid w:val="FFBF6D2A"/>
    <w:rsid w:val="FFDF33B4"/>
    <w:rsid w:val="FFDFFD14"/>
    <w:rsid w:val="FFED5F94"/>
    <w:rsid w:val="FFF1F963"/>
    <w:rsid w:val="FFFD88ED"/>
    <w:rsid w:val="FFFF291A"/>
    <w:rsid w:val="FFFF3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adjustRightInd w:val="0"/>
      <w:spacing w:line="560" w:lineRule="exact"/>
      <w:ind w:firstLine="632" w:firstLineChars="200"/>
      <w:jc w:val="both"/>
    </w:pPr>
    <w:rPr>
      <w:rFonts w:ascii="Times New Roman" w:hAnsi="Times New Roman" w:eastAsia="仿宋_GB2312" w:cs="Times New Roman"/>
      <w:kern w:val="2"/>
      <w:sz w:val="32"/>
      <w:szCs w:val="32"/>
      <w:lang w:val="en-US" w:eastAsia="zh-CN" w:bidi="ar-SA"/>
    </w:rPr>
  </w:style>
  <w:style w:type="paragraph" w:styleId="3">
    <w:name w:val="heading 2"/>
    <w:basedOn w:val="1"/>
    <w:next w:val="1"/>
    <w:unhideWhenUsed/>
    <w:qFormat/>
    <w:uiPriority w:val="0"/>
    <w:pPr>
      <w:keepNext/>
      <w:keepLines/>
      <w:ind w:firstLine="640"/>
      <w:outlineLvl w:val="1"/>
    </w:pPr>
    <w:rPr>
      <w:rFonts w:ascii="Arial" w:hAnsi="Arial" w:eastAsia="楷体"/>
      <w:szCs w:val="22"/>
    </w:rPr>
  </w:style>
  <w:style w:type="paragraph" w:styleId="4">
    <w:name w:val="heading 3"/>
    <w:basedOn w:val="1"/>
    <w:next w:val="1"/>
    <w:link w:val="17"/>
    <w:qFormat/>
    <w:uiPriority w:val="9"/>
    <w:pPr>
      <w:spacing w:beforeAutospacing="1" w:afterAutospacing="1"/>
      <w:outlineLvl w:val="2"/>
    </w:pPr>
    <w:rPr>
      <w:rFonts w:hint="eastAsia" w:ascii="宋体" w:hAnsi="宋体"/>
      <w:sz w:val="18"/>
      <w:szCs w:val="1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eastAsia="文星仿宋"/>
    </w:rPr>
  </w:style>
  <w:style w:type="paragraph" w:styleId="5">
    <w:name w:val="Body Text Indent"/>
    <w:basedOn w:val="1"/>
    <w:qFormat/>
    <w:uiPriority w:val="0"/>
    <w:pPr>
      <w:spacing w:after="120"/>
      <w:ind w:left="420" w:leftChars="200"/>
    </w:pPr>
  </w:style>
  <w:style w:type="paragraph" w:styleId="6">
    <w:name w:val="toc 3"/>
    <w:next w:val="1"/>
    <w:qFormat/>
    <w:uiPriority w:val="0"/>
    <w:pPr>
      <w:widowControl w:val="0"/>
      <w:ind w:left="420"/>
      <w:jc w:val="both"/>
    </w:pPr>
    <w:rPr>
      <w:rFonts w:ascii="等线" w:hAnsi="等线" w:eastAsia="等线" w:cs="Times New Roman"/>
      <w:b/>
      <w:kern w:val="2"/>
      <w:sz w:val="30"/>
      <w:szCs w:val="30"/>
      <w:lang w:val="en-US" w:eastAsia="zh-CN" w:bidi="ar-SA"/>
    </w:rPr>
  </w:style>
  <w:style w:type="paragraph" w:styleId="7">
    <w:name w:val="Plain Text"/>
    <w:basedOn w:val="1"/>
    <w:qFormat/>
    <w:uiPriority w:val="0"/>
    <w:rPr>
      <w:rFonts w:ascii="宋体" w:hAnsi="Courier New"/>
    </w:rPr>
  </w:style>
  <w:style w:type="paragraph" w:styleId="8">
    <w:name w:val="Balloon Text"/>
    <w:basedOn w:val="1"/>
    <w:next w:val="1"/>
    <w:link w:val="26"/>
    <w:qFormat/>
    <w:uiPriority w:val="0"/>
    <w:pPr>
      <w:spacing w:line="240" w:lineRule="auto"/>
    </w:pPr>
    <w:rPr>
      <w:sz w:val="18"/>
      <w:szCs w:val="18"/>
    </w:rPr>
  </w:style>
  <w:style w:type="paragraph" w:styleId="9">
    <w:name w:val="footer"/>
    <w:basedOn w:val="1"/>
    <w:link w:val="22"/>
    <w:qFormat/>
    <w:uiPriority w:val="99"/>
    <w:pPr>
      <w:tabs>
        <w:tab w:val="center" w:pos="4153"/>
        <w:tab w:val="right" w:pos="8306"/>
      </w:tabs>
      <w:snapToGrid w:val="0"/>
      <w:jc w:val="left"/>
    </w:pPr>
    <w:rPr>
      <w:rFonts w:asciiTheme="minorHAnsi" w:hAnsiTheme="minorHAnsi"/>
      <w:sz w:val="28"/>
    </w:rPr>
  </w:style>
  <w:style w:type="paragraph" w:styleId="10">
    <w:name w:val="header"/>
    <w:basedOn w:val="1"/>
    <w:link w:val="2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Normal (Web)"/>
    <w:basedOn w:val="1"/>
    <w:qFormat/>
    <w:uiPriority w:val="0"/>
    <w:pPr>
      <w:spacing w:beforeAutospacing="1" w:afterAutospacing="1"/>
      <w:jc w:val="left"/>
    </w:pPr>
    <w:rPr>
      <w:kern w:val="0"/>
      <w:sz w:val="24"/>
    </w:rPr>
  </w:style>
  <w:style w:type="paragraph" w:styleId="12">
    <w:name w:val="Title"/>
    <w:basedOn w:val="1"/>
    <w:link w:val="24"/>
    <w:qFormat/>
    <w:uiPriority w:val="10"/>
    <w:pPr>
      <w:overflowPunct/>
      <w:topLinePunct w:val="0"/>
      <w:adjustRightInd/>
      <w:spacing w:before="240" w:after="60" w:line="240" w:lineRule="auto"/>
      <w:ind w:firstLine="0" w:firstLineChars="0"/>
      <w:jc w:val="center"/>
      <w:outlineLvl w:val="0"/>
    </w:pPr>
    <w:rPr>
      <w:rFonts w:ascii="Arial" w:hAnsi="Arial" w:eastAsia="宋体"/>
      <w:b/>
      <w:szCs w:val="24"/>
    </w:rPr>
  </w:style>
  <w:style w:type="paragraph" w:styleId="13">
    <w:name w:val="Body Text First Indent 2"/>
    <w:basedOn w:val="5"/>
    <w:unhideWhenUsed/>
    <w:qFormat/>
    <w:uiPriority w:val="0"/>
    <w:pPr>
      <w:ind w:firstLine="420"/>
    </w:pPr>
    <w:rPr>
      <w:rFonts w:ascii="宋体" w:hAnsi="Calibri" w:eastAsia="宋体"/>
    </w:rPr>
  </w:style>
  <w:style w:type="character" w:styleId="16">
    <w:name w:val="page number"/>
    <w:qFormat/>
    <w:uiPriority w:val="0"/>
  </w:style>
  <w:style w:type="character" w:customStyle="1" w:styleId="17">
    <w:name w:val="标题 3 Char"/>
    <w:basedOn w:val="15"/>
    <w:link w:val="4"/>
    <w:qFormat/>
    <w:uiPriority w:val="0"/>
    <w:rPr>
      <w:b/>
      <w:kern w:val="2"/>
      <w:sz w:val="32"/>
      <w:szCs w:val="32"/>
    </w:rPr>
  </w:style>
  <w:style w:type="paragraph" w:customStyle="1" w:styleId="18">
    <w:name w:val="公文标题 3"/>
    <w:qFormat/>
    <w:uiPriority w:val="0"/>
    <w:pPr>
      <w:widowControl w:val="0"/>
      <w:numPr>
        <w:ilvl w:val="0"/>
        <w:numId w:val="1"/>
      </w:numPr>
      <w:overflowPunct w:val="0"/>
      <w:topLinePunct/>
      <w:jc w:val="both"/>
    </w:pPr>
    <w:rPr>
      <w:rFonts w:ascii="Times New Roman" w:hAnsi="Times New Roman" w:eastAsia="方正仿宋_GBK" w:cs="Times New Roman"/>
      <w:kern w:val="2"/>
      <w:sz w:val="32"/>
      <w:szCs w:val="32"/>
      <w:lang w:val="en-US" w:eastAsia="zh-CN" w:bidi="ar-SA"/>
    </w:rPr>
  </w:style>
  <w:style w:type="paragraph" w:customStyle="1" w:styleId="19">
    <w:name w:val="公文标题 1"/>
    <w:qFormat/>
    <w:uiPriority w:val="0"/>
    <w:pPr>
      <w:widowControl w:val="0"/>
      <w:numPr>
        <w:ilvl w:val="0"/>
        <w:numId w:val="2"/>
      </w:numPr>
      <w:overflowPunct w:val="0"/>
      <w:topLinePunct/>
      <w:jc w:val="both"/>
    </w:pPr>
    <w:rPr>
      <w:rFonts w:ascii="Times New Roman" w:hAnsi="Times New Roman" w:eastAsia="方正黑体_GBK" w:cs="Times New Roman"/>
      <w:kern w:val="2"/>
      <w:sz w:val="32"/>
      <w:szCs w:val="32"/>
      <w:lang w:val="en-US" w:eastAsia="zh-CN" w:bidi="ar-SA"/>
    </w:rPr>
  </w:style>
  <w:style w:type="paragraph" w:customStyle="1" w:styleId="20">
    <w:name w:val="公文标题 4"/>
    <w:qFormat/>
    <w:uiPriority w:val="0"/>
    <w:pPr>
      <w:widowControl w:val="0"/>
      <w:numPr>
        <w:ilvl w:val="0"/>
        <w:numId w:val="3"/>
      </w:numPr>
      <w:overflowPunct w:val="0"/>
      <w:topLinePunct/>
      <w:jc w:val="both"/>
    </w:pPr>
    <w:rPr>
      <w:rFonts w:ascii="Times New Roman" w:hAnsi="Times New Roman" w:eastAsia="方正仿宋_GBK" w:cs="Times New Roman"/>
      <w:kern w:val="2"/>
      <w:sz w:val="32"/>
      <w:szCs w:val="32"/>
      <w:lang w:val="en-US" w:eastAsia="zh-CN" w:bidi="ar-SA"/>
    </w:rPr>
  </w:style>
  <w:style w:type="paragraph" w:customStyle="1" w:styleId="21">
    <w:name w:val="公文标题 2"/>
    <w:qFormat/>
    <w:uiPriority w:val="0"/>
    <w:pPr>
      <w:widowControl w:val="0"/>
      <w:numPr>
        <w:ilvl w:val="0"/>
        <w:numId w:val="4"/>
      </w:numPr>
      <w:overflowPunct w:val="0"/>
      <w:topLinePunct/>
      <w:jc w:val="both"/>
    </w:pPr>
    <w:rPr>
      <w:rFonts w:ascii="Times New Roman" w:hAnsi="Times New Roman" w:eastAsia="方正楷体_GBK" w:cs="Times New Roman"/>
      <w:kern w:val="2"/>
      <w:sz w:val="32"/>
      <w:szCs w:val="32"/>
      <w:lang w:val="en-US" w:eastAsia="zh-CN" w:bidi="ar-SA"/>
    </w:rPr>
  </w:style>
  <w:style w:type="character" w:customStyle="1" w:styleId="22">
    <w:name w:val="页脚 Char"/>
    <w:basedOn w:val="15"/>
    <w:link w:val="9"/>
    <w:qFormat/>
    <w:uiPriority w:val="99"/>
    <w:rPr>
      <w:kern w:val="2"/>
      <w:sz w:val="18"/>
      <w:szCs w:val="24"/>
    </w:rPr>
  </w:style>
  <w:style w:type="character" w:customStyle="1" w:styleId="23">
    <w:name w:val="页眉 Char"/>
    <w:link w:val="10"/>
    <w:qFormat/>
    <w:uiPriority w:val="99"/>
    <w:rPr>
      <w:rFonts w:eastAsia="仿宋_GB2312"/>
      <w:kern w:val="2"/>
      <w:sz w:val="18"/>
      <w:szCs w:val="32"/>
    </w:rPr>
  </w:style>
  <w:style w:type="character" w:customStyle="1" w:styleId="24">
    <w:name w:val="标题 Char"/>
    <w:basedOn w:val="15"/>
    <w:link w:val="12"/>
    <w:qFormat/>
    <w:uiPriority w:val="10"/>
    <w:rPr>
      <w:rFonts w:ascii="Arial" w:hAnsi="Arial"/>
      <w:b/>
      <w:kern w:val="2"/>
      <w:sz w:val="32"/>
      <w:szCs w:val="24"/>
    </w:rPr>
  </w:style>
  <w:style w:type="paragraph" w:customStyle="1" w:styleId="25">
    <w:name w:val="无间隔1"/>
    <w:qFormat/>
    <w:uiPriority w:val="0"/>
    <w:pPr>
      <w:widowControl w:val="0"/>
      <w:spacing w:line="560" w:lineRule="exact"/>
      <w:ind w:firstLine="200" w:firstLineChars="200"/>
      <w:jc w:val="both"/>
      <w:outlineLvl w:val="0"/>
    </w:pPr>
    <w:rPr>
      <w:rFonts w:ascii="Times New Roman" w:hAnsi="Times New Roman" w:eastAsia="方正黑体_GBK" w:cs="Arial"/>
      <w:kern w:val="2"/>
      <w:sz w:val="32"/>
      <w:szCs w:val="22"/>
      <w:lang w:val="en-US" w:eastAsia="zh-CN" w:bidi="ar-SA"/>
    </w:rPr>
  </w:style>
  <w:style w:type="character" w:customStyle="1" w:styleId="26">
    <w:name w:val="批注框文本 Char"/>
    <w:basedOn w:val="15"/>
    <w:link w:val="8"/>
    <w:qFormat/>
    <w:uiPriority w:val="0"/>
    <w:rPr>
      <w:rFonts w:eastAsia="仿宋_GB2312"/>
      <w:kern w:val="2"/>
      <w:sz w:val="18"/>
      <w:szCs w:val="18"/>
    </w:rPr>
  </w:style>
  <w:style w:type="character" w:customStyle="1" w:styleId="27">
    <w:name w:val="15"/>
    <w:basedOn w:val="15"/>
    <w:qFormat/>
    <w:uiPriority w:val="0"/>
    <w:rPr>
      <w:rFonts w:hint="eastAsia" w:ascii="仿宋_GB2312" w:eastAsia="仿宋_GB2312"/>
      <w:color w:val="000000"/>
      <w:sz w:val="32"/>
      <w:szCs w:val="32"/>
    </w:rPr>
  </w:style>
  <w:style w:type="paragraph" w:customStyle="1" w:styleId="28">
    <w:name w:val="无间隔2"/>
    <w:qFormat/>
    <w:uiPriority w:val="0"/>
    <w:pPr>
      <w:widowControl w:val="0"/>
      <w:spacing w:line="560" w:lineRule="exact"/>
      <w:ind w:firstLine="200" w:firstLineChars="200"/>
      <w:jc w:val="both"/>
      <w:outlineLvl w:val="0"/>
    </w:pPr>
    <w:rPr>
      <w:rFonts w:ascii="Times New Roman" w:hAnsi="Times New Roman" w:eastAsia="方正黑体_GBK" w:cs="Arial"/>
      <w:kern w:val="2"/>
      <w:sz w:val="32"/>
      <w:szCs w:val="22"/>
      <w:lang w:val="en-US" w:eastAsia="zh-CN" w:bidi="ar-SA"/>
    </w:rPr>
  </w:style>
  <w:style w:type="paragraph" w:customStyle="1" w:styleId="29">
    <w:name w:val="Char"/>
    <w:basedOn w:val="1"/>
    <w:qFormat/>
    <w:uiPriority w:val="0"/>
    <w:pPr>
      <w:overflowPunct/>
      <w:topLinePunct w:val="0"/>
      <w:adjustRightInd/>
      <w:spacing w:line="240" w:lineRule="auto"/>
      <w:ind w:firstLine="0" w:firstLineChars="0"/>
    </w:pPr>
    <w:rPr>
      <w:rFonts w:ascii="Calibri" w:hAnsi="Calibri" w:eastAsia="宋体" w:cs="黑体"/>
      <w:sz w:val="21"/>
      <w:szCs w:val="22"/>
    </w:rPr>
  </w:style>
  <w:style w:type="character" w:customStyle="1" w:styleId="30">
    <w:name w:val="fontstyle01"/>
    <w:basedOn w:val="15"/>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52</TotalTime>
  <Pages>18</Pages>
  <Words>9893</Words>
  <Characters>10066</Characters>
  <DocSecurity>0</DocSecurity>
  <Lines>80</Lines>
  <Paragraphs>22</Paragraphs>
  <ScaleCrop>false</ScaleCrop>
  <LinksUpToDate>false</LinksUpToDate>
  <CharactersWithSpaces>10116</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2025-07-17T18:27:00Z</cp:lastPrinted>
  <dcterms:created xsi:type="dcterms:W3CDTF">2023-12-04T18:26:00Z</dcterms:created>
  <dcterms:modified xsi:type="dcterms:W3CDTF">2025-07-21T07:17:48Z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21E39BE64A1D4365AEE6951B7F72DD1E_13</vt:lpwstr>
  </property>
  <property fmtid="{D5CDD505-2E9C-101B-9397-08002B2CF9AE}" pid="4" name="KSOTemplateDocerSaveRecord">
    <vt:lpwstr>eyJoZGlkIjoiZWZhNjUyNWNmYjI2MWUwZDUzNTcwZTY5YWE1NDc5YjIiLCJ1c2VySWQiOiIyMzEzNDMyMTgifQ==</vt:lpwstr>
  </property>
</Properties>
</file>