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7CED9D">
      <w:pPr>
        <w:pStyle w:val="16"/>
      </w:pPr>
    </w:p>
    <w:p w14:paraId="7E5B108B">
      <w:pPr>
        <w:pStyle w:val="16"/>
      </w:pPr>
    </w:p>
    <w:p w14:paraId="5AD4C8CF">
      <w:pPr>
        <w:pStyle w:val="16"/>
      </w:pPr>
    </w:p>
    <w:p w14:paraId="6540BEDE"/>
    <w:p w14:paraId="53D830CE">
      <w:pPr>
        <w:pStyle w:val="16"/>
        <w:spacing w:after="80"/>
        <w:rPr>
          <w:rFonts w:hint="eastAsia"/>
          <w:b/>
          <w:bCs/>
        </w:rPr>
      </w:pPr>
      <w:r>
        <w:rPr>
          <w:rFonts w:hint="eastAsia"/>
          <w:b/>
          <w:bCs/>
        </w:rPr>
        <w:t>陕西省市场监督管</w:t>
      </w:r>
    </w:p>
    <w:p w14:paraId="2DCFB070">
      <w:pPr>
        <w:pStyle w:val="16"/>
        <w:rPr>
          <w:rFonts w:hint="eastAsia"/>
          <w:b/>
          <w:bCs/>
        </w:rPr>
      </w:pPr>
      <w:r>
        <w:rPr>
          <w:rFonts w:hint="eastAsia"/>
          <w:b/>
          <w:bCs/>
        </w:rPr>
        <w:t>理局跨省迁移操作手册</w:t>
      </w:r>
    </w:p>
    <w:p w14:paraId="004BAAFD">
      <w:pPr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232B6EE">
      <w:pPr>
        <w:rPr>
          <w:rFonts w:hint="eastAsia"/>
        </w:rPr>
      </w:pPr>
    </w:p>
    <w:sdt>
      <w:sdtPr>
        <w:rPr>
          <w:rFonts w:ascii="宋体" w:hAnsi="宋体" w:eastAsia="宋体" w:cstheme="minorBidi"/>
          <w:kern w:val="2"/>
          <w:sz w:val="21"/>
          <w:szCs w:val="22"/>
          <w:lang w:val="en-US" w:eastAsia="zh-CN" w:bidi="ar-SA"/>
          <w14:ligatures w14:val="standardContextual"/>
        </w:rPr>
        <w:id w:val="147477105"/>
        <w15:color w:val="DBDBDB"/>
        <w:docPartObj>
          <w:docPartGallery w:val="Table of Contents"/>
          <w:docPartUnique/>
        </w:docPartObj>
      </w:sdtPr>
      <w:sdtEndPr>
        <w:rPr>
          <w:rFonts w:ascii="宋体" w:hAnsi="宋体" w:eastAsia="宋体" w:cstheme="minorBidi"/>
          <w:kern w:val="2"/>
          <w:sz w:val="21"/>
          <w:szCs w:val="22"/>
          <w:lang w:val="en-US" w:eastAsia="zh-CN" w:bidi="ar-SA"/>
          <w14:ligatures w14:val="standardContextual"/>
        </w:rPr>
      </w:sdtEndPr>
      <w:sdtContent>
        <w:p w14:paraId="123F62B9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sz w:val="36"/>
              <w:szCs w:val="40"/>
            </w:rPr>
          </w:pPr>
          <w:r>
            <w:rPr>
              <w:rFonts w:ascii="宋体" w:hAnsi="宋体" w:eastAsia="宋体"/>
              <w:sz w:val="36"/>
              <w:szCs w:val="40"/>
            </w:rPr>
            <w:t>目</w:t>
          </w:r>
          <w:r>
            <w:rPr>
              <w:rFonts w:hint="eastAsia" w:ascii="宋体" w:hAnsi="宋体" w:eastAsia="宋体"/>
              <w:sz w:val="36"/>
              <w:szCs w:val="40"/>
              <w:lang w:val="en-US" w:eastAsia="zh-CN"/>
            </w:rPr>
            <w:t xml:space="preserve">  </w:t>
          </w:r>
          <w:r>
            <w:rPr>
              <w:rFonts w:ascii="宋体" w:hAnsi="宋体" w:eastAsia="宋体"/>
              <w:sz w:val="36"/>
              <w:szCs w:val="40"/>
            </w:rPr>
            <w:t>录</w:t>
          </w:r>
        </w:p>
        <w:p w14:paraId="07819D64">
          <w:pPr>
            <w:pStyle w:val="13"/>
            <w:tabs>
              <w:tab w:val="right" w:leader="dot" w:pos="8306"/>
            </w:tabs>
            <w:rPr>
              <w:sz w:val="24"/>
              <w:szCs w:val="28"/>
            </w:rPr>
          </w:pPr>
          <w:r>
            <w:rPr>
              <w:sz w:val="24"/>
              <w:szCs w:val="28"/>
            </w:rPr>
            <w:fldChar w:fldCharType="begin"/>
          </w:r>
          <w:r>
            <w:rPr>
              <w:sz w:val="24"/>
              <w:szCs w:val="28"/>
            </w:rPr>
            <w:instrText xml:space="preserve">TOC \o "1-2" \h \u </w:instrText>
          </w:r>
          <w:r>
            <w:rPr>
              <w:sz w:val="24"/>
              <w:szCs w:val="28"/>
            </w:rPr>
            <w:fldChar w:fldCharType="separate"/>
          </w:r>
          <w:r>
            <w:rPr>
              <w:sz w:val="24"/>
              <w:szCs w:val="28"/>
            </w:rPr>
            <w:fldChar w:fldCharType="begin"/>
          </w:r>
          <w:r>
            <w:rPr>
              <w:sz w:val="24"/>
              <w:szCs w:val="28"/>
            </w:rPr>
            <w:instrText xml:space="preserve"> HYPERLINK \l _Toc18410 </w:instrText>
          </w:r>
          <w:r>
            <w:rPr>
              <w:sz w:val="24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 w:val="24"/>
              <w:szCs w:val="48"/>
              <w:lang w:val="en-US" w:eastAsia="zh-CN"/>
            </w:rPr>
            <w:t>一、</w:t>
          </w:r>
          <w:r>
            <w:rPr>
              <w:rFonts w:hint="eastAsia" w:ascii="宋体" w:hAnsi="宋体" w:eastAsia="宋体" w:cs="宋体"/>
              <w:bCs/>
              <w:sz w:val="24"/>
              <w:szCs w:val="48"/>
            </w:rPr>
            <w:t>整体流程介绍</w:t>
          </w:r>
          <w:r>
            <w:rPr>
              <w:sz w:val="24"/>
              <w:szCs w:val="28"/>
            </w:rPr>
            <w:tab/>
          </w:r>
          <w:r>
            <w:rPr>
              <w:sz w:val="24"/>
              <w:szCs w:val="28"/>
            </w:rPr>
            <w:fldChar w:fldCharType="begin"/>
          </w:r>
          <w:r>
            <w:rPr>
              <w:sz w:val="24"/>
              <w:szCs w:val="28"/>
            </w:rPr>
            <w:instrText xml:space="preserve"> PAGEREF _Toc18410 \h </w:instrText>
          </w:r>
          <w:r>
            <w:rPr>
              <w:sz w:val="24"/>
              <w:szCs w:val="28"/>
            </w:rPr>
            <w:fldChar w:fldCharType="separate"/>
          </w:r>
          <w:r>
            <w:rPr>
              <w:sz w:val="24"/>
              <w:szCs w:val="28"/>
            </w:rPr>
            <w:t>3</w:t>
          </w:r>
          <w:r>
            <w:rPr>
              <w:sz w:val="24"/>
              <w:szCs w:val="28"/>
            </w:rPr>
            <w:fldChar w:fldCharType="end"/>
          </w:r>
          <w:r>
            <w:rPr>
              <w:sz w:val="24"/>
              <w:szCs w:val="28"/>
            </w:rPr>
            <w:fldChar w:fldCharType="end"/>
          </w:r>
        </w:p>
        <w:p w14:paraId="43501BED">
          <w:pPr>
            <w:pStyle w:val="13"/>
            <w:tabs>
              <w:tab w:val="right" w:leader="dot" w:pos="8306"/>
            </w:tabs>
            <w:rPr>
              <w:sz w:val="24"/>
              <w:szCs w:val="28"/>
            </w:rPr>
          </w:pPr>
          <w:r>
            <w:rPr>
              <w:sz w:val="24"/>
              <w:szCs w:val="28"/>
            </w:rPr>
            <w:fldChar w:fldCharType="begin"/>
          </w:r>
          <w:r>
            <w:rPr>
              <w:sz w:val="24"/>
              <w:szCs w:val="28"/>
            </w:rPr>
            <w:instrText xml:space="preserve"> HYPERLINK \l _Toc24477 </w:instrText>
          </w:r>
          <w:r>
            <w:rPr>
              <w:sz w:val="24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 w:val="24"/>
              <w:szCs w:val="48"/>
              <w:lang w:val="en-US" w:eastAsia="zh-CN"/>
            </w:rPr>
            <w:t>二、业务操作流程</w:t>
          </w:r>
          <w:r>
            <w:rPr>
              <w:sz w:val="24"/>
              <w:szCs w:val="28"/>
            </w:rPr>
            <w:tab/>
          </w:r>
          <w:r>
            <w:rPr>
              <w:sz w:val="24"/>
              <w:szCs w:val="28"/>
            </w:rPr>
            <w:fldChar w:fldCharType="begin"/>
          </w:r>
          <w:r>
            <w:rPr>
              <w:sz w:val="24"/>
              <w:szCs w:val="28"/>
            </w:rPr>
            <w:instrText xml:space="preserve"> PAGEREF _Toc24477 \h </w:instrText>
          </w:r>
          <w:r>
            <w:rPr>
              <w:sz w:val="24"/>
              <w:szCs w:val="28"/>
            </w:rPr>
            <w:fldChar w:fldCharType="separate"/>
          </w:r>
          <w:r>
            <w:rPr>
              <w:sz w:val="24"/>
              <w:szCs w:val="28"/>
            </w:rPr>
            <w:t>3</w:t>
          </w:r>
          <w:r>
            <w:rPr>
              <w:sz w:val="24"/>
              <w:szCs w:val="28"/>
            </w:rPr>
            <w:fldChar w:fldCharType="end"/>
          </w:r>
          <w:r>
            <w:rPr>
              <w:sz w:val="24"/>
              <w:szCs w:val="28"/>
            </w:rPr>
            <w:fldChar w:fldCharType="end"/>
          </w:r>
        </w:p>
        <w:p w14:paraId="4FB85021">
          <w:pPr>
            <w:pStyle w:val="13"/>
            <w:tabs>
              <w:tab w:val="right" w:leader="dot" w:pos="8306"/>
            </w:tabs>
            <w:rPr>
              <w:sz w:val="24"/>
              <w:szCs w:val="28"/>
            </w:rPr>
          </w:pPr>
          <w:r>
            <w:rPr>
              <w:sz w:val="24"/>
              <w:szCs w:val="28"/>
            </w:rPr>
            <w:fldChar w:fldCharType="begin"/>
          </w:r>
          <w:r>
            <w:rPr>
              <w:sz w:val="24"/>
              <w:szCs w:val="28"/>
            </w:rPr>
            <w:instrText xml:space="preserve"> HYPERLINK \l _Toc13477 </w:instrText>
          </w:r>
          <w:r>
            <w:rPr>
              <w:sz w:val="24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 w:val="24"/>
              <w:szCs w:val="48"/>
              <w:lang w:val="en-US" w:eastAsia="zh-CN"/>
            </w:rPr>
            <w:t>三、操作说明</w:t>
          </w:r>
          <w:r>
            <w:rPr>
              <w:sz w:val="24"/>
              <w:szCs w:val="28"/>
            </w:rPr>
            <w:tab/>
          </w:r>
          <w:r>
            <w:rPr>
              <w:sz w:val="24"/>
              <w:szCs w:val="28"/>
            </w:rPr>
            <w:fldChar w:fldCharType="begin"/>
          </w:r>
          <w:r>
            <w:rPr>
              <w:sz w:val="24"/>
              <w:szCs w:val="28"/>
            </w:rPr>
            <w:instrText xml:space="preserve"> PAGEREF _Toc13477 \h </w:instrText>
          </w:r>
          <w:r>
            <w:rPr>
              <w:sz w:val="24"/>
              <w:szCs w:val="28"/>
            </w:rPr>
            <w:fldChar w:fldCharType="separate"/>
          </w:r>
          <w:r>
            <w:rPr>
              <w:sz w:val="24"/>
              <w:szCs w:val="28"/>
            </w:rPr>
            <w:t>4</w:t>
          </w:r>
          <w:r>
            <w:rPr>
              <w:sz w:val="24"/>
              <w:szCs w:val="28"/>
            </w:rPr>
            <w:fldChar w:fldCharType="end"/>
          </w:r>
          <w:r>
            <w:rPr>
              <w:sz w:val="24"/>
              <w:szCs w:val="28"/>
            </w:rPr>
            <w:fldChar w:fldCharType="end"/>
          </w:r>
        </w:p>
        <w:p w14:paraId="4187CEBC">
          <w:pPr>
            <w:pStyle w:val="15"/>
            <w:tabs>
              <w:tab w:val="right" w:leader="dot" w:pos="8306"/>
            </w:tabs>
            <w:rPr>
              <w:sz w:val="24"/>
              <w:szCs w:val="28"/>
            </w:rPr>
          </w:pPr>
          <w:r>
            <w:rPr>
              <w:sz w:val="24"/>
              <w:szCs w:val="28"/>
            </w:rPr>
            <w:fldChar w:fldCharType="begin"/>
          </w:r>
          <w:r>
            <w:rPr>
              <w:sz w:val="24"/>
              <w:szCs w:val="28"/>
            </w:rPr>
            <w:instrText xml:space="preserve"> HYPERLINK \l _Toc24916 </w:instrText>
          </w:r>
          <w:r>
            <w:rPr>
              <w:sz w:val="24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40"/>
            </w:rPr>
            <w:t>3.1省外迁入流程</w:t>
          </w:r>
          <w:r>
            <w:rPr>
              <w:sz w:val="24"/>
              <w:szCs w:val="28"/>
            </w:rPr>
            <w:tab/>
          </w:r>
          <w:r>
            <w:rPr>
              <w:sz w:val="24"/>
              <w:szCs w:val="28"/>
            </w:rPr>
            <w:fldChar w:fldCharType="begin"/>
          </w:r>
          <w:r>
            <w:rPr>
              <w:sz w:val="24"/>
              <w:szCs w:val="28"/>
            </w:rPr>
            <w:instrText xml:space="preserve"> PAGEREF _Toc24916 \h </w:instrText>
          </w:r>
          <w:r>
            <w:rPr>
              <w:sz w:val="24"/>
              <w:szCs w:val="28"/>
            </w:rPr>
            <w:fldChar w:fldCharType="separate"/>
          </w:r>
          <w:r>
            <w:rPr>
              <w:sz w:val="24"/>
              <w:szCs w:val="28"/>
            </w:rPr>
            <w:t>4</w:t>
          </w:r>
          <w:r>
            <w:rPr>
              <w:sz w:val="24"/>
              <w:szCs w:val="28"/>
            </w:rPr>
            <w:fldChar w:fldCharType="end"/>
          </w:r>
          <w:r>
            <w:rPr>
              <w:sz w:val="24"/>
              <w:szCs w:val="28"/>
            </w:rPr>
            <w:fldChar w:fldCharType="end"/>
          </w:r>
        </w:p>
        <w:p w14:paraId="5AE40CA6">
          <w:pPr>
            <w:pStyle w:val="15"/>
            <w:tabs>
              <w:tab w:val="right" w:leader="dot" w:pos="8306"/>
            </w:tabs>
            <w:rPr>
              <w:sz w:val="24"/>
              <w:szCs w:val="28"/>
            </w:rPr>
          </w:pPr>
          <w:r>
            <w:rPr>
              <w:sz w:val="24"/>
              <w:szCs w:val="28"/>
            </w:rPr>
            <w:fldChar w:fldCharType="begin"/>
          </w:r>
          <w:r>
            <w:rPr>
              <w:sz w:val="24"/>
              <w:szCs w:val="28"/>
            </w:rPr>
            <w:instrText xml:space="preserve"> HYPERLINK \l _Toc5981 </w:instrText>
          </w:r>
          <w:r>
            <w:rPr>
              <w:sz w:val="24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40"/>
              <w:lang w:val="en-US" w:eastAsia="zh-CN"/>
            </w:rPr>
            <w:t>3.2迁出省外流程</w:t>
          </w:r>
          <w:r>
            <w:rPr>
              <w:sz w:val="24"/>
              <w:szCs w:val="28"/>
            </w:rPr>
            <w:tab/>
          </w:r>
          <w:r>
            <w:rPr>
              <w:sz w:val="24"/>
              <w:szCs w:val="28"/>
            </w:rPr>
            <w:fldChar w:fldCharType="begin"/>
          </w:r>
          <w:r>
            <w:rPr>
              <w:sz w:val="24"/>
              <w:szCs w:val="28"/>
            </w:rPr>
            <w:instrText xml:space="preserve"> PAGEREF _Toc5981 \h </w:instrText>
          </w:r>
          <w:r>
            <w:rPr>
              <w:sz w:val="24"/>
              <w:szCs w:val="28"/>
            </w:rPr>
            <w:fldChar w:fldCharType="separate"/>
          </w:r>
          <w:r>
            <w:rPr>
              <w:sz w:val="24"/>
              <w:szCs w:val="28"/>
            </w:rPr>
            <w:t>9</w:t>
          </w:r>
          <w:r>
            <w:rPr>
              <w:sz w:val="24"/>
              <w:szCs w:val="28"/>
            </w:rPr>
            <w:fldChar w:fldCharType="end"/>
          </w:r>
          <w:r>
            <w:rPr>
              <w:sz w:val="24"/>
              <w:szCs w:val="28"/>
            </w:rPr>
            <w:fldChar w:fldCharType="end"/>
          </w:r>
        </w:p>
        <w:p w14:paraId="31DAB623">
          <w:pPr>
            <w:pStyle w:val="15"/>
            <w:tabs>
              <w:tab w:val="right" w:leader="dot" w:pos="8306"/>
            </w:tabs>
            <w:rPr>
              <w:sz w:val="24"/>
              <w:szCs w:val="28"/>
            </w:rPr>
          </w:pPr>
          <w:r>
            <w:rPr>
              <w:sz w:val="24"/>
              <w:szCs w:val="28"/>
            </w:rPr>
            <w:fldChar w:fldCharType="begin"/>
          </w:r>
          <w:r>
            <w:rPr>
              <w:sz w:val="24"/>
              <w:szCs w:val="28"/>
            </w:rPr>
            <w:instrText xml:space="preserve"> HYPERLINK \l _Toc17078 </w:instrText>
          </w:r>
          <w:r>
            <w:rPr>
              <w:sz w:val="24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40"/>
              <w:lang w:val="en-US" w:eastAsia="zh-CN"/>
            </w:rPr>
            <w:t>3.2国家局跨省迁移流程管理查询</w:t>
          </w:r>
          <w:r>
            <w:rPr>
              <w:sz w:val="24"/>
              <w:szCs w:val="28"/>
            </w:rPr>
            <w:tab/>
          </w:r>
          <w:r>
            <w:rPr>
              <w:sz w:val="24"/>
              <w:szCs w:val="28"/>
            </w:rPr>
            <w:fldChar w:fldCharType="begin"/>
          </w:r>
          <w:r>
            <w:rPr>
              <w:sz w:val="24"/>
              <w:szCs w:val="28"/>
            </w:rPr>
            <w:instrText xml:space="preserve"> PAGEREF _Toc17078 \h </w:instrText>
          </w:r>
          <w:r>
            <w:rPr>
              <w:sz w:val="24"/>
              <w:szCs w:val="28"/>
            </w:rPr>
            <w:fldChar w:fldCharType="separate"/>
          </w:r>
          <w:r>
            <w:rPr>
              <w:sz w:val="24"/>
              <w:szCs w:val="28"/>
            </w:rPr>
            <w:t>10</w:t>
          </w:r>
          <w:r>
            <w:rPr>
              <w:sz w:val="24"/>
              <w:szCs w:val="28"/>
            </w:rPr>
            <w:fldChar w:fldCharType="end"/>
          </w:r>
          <w:r>
            <w:rPr>
              <w:sz w:val="24"/>
              <w:szCs w:val="28"/>
            </w:rPr>
            <w:fldChar w:fldCharType="end"/>
          </w:r>
        </w:p>
        <w:p w14:paraId="713F6E9E">
          <w:r>
            <w:rPr>
              <w:sz w:val="22"/>
              <w:szCs w:val="22"/>
            </w:rPr>
            <w:fldChar w:fldCharType="end"/>
          </w:r>
        </w:p>
      </w:sdtContent>
    </w:sdt>
    <w:p w14:paraId="49613E7B"/>
    <w:p w14:paraId="5C2E1E1F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349302E9">
      <w:pPr>
        <w:pStyle w:val="32"/>
        <w:ind w:left="420" w:leftChars="0"/>
        <w:outlineLvl w:val="0"/>
        <w:rPr>
          <w:rFonts w:hint="eastAsia" w:ascii="宋体" w:hAnsi="宋体" w:eastAsia="宋体" w:cs="宋体"/>
          <w:b/>
          <w:bCs/>
          <w:sz w:val="36"/>
          <w:szCs w:val="40"/>
        </w:rPr>
      </w:pPr>
      <w:bookmarkStart w:id="0" w:name="_Toc18410"/>
      <w:r>
        <w:rPr>
          <w:rFonts w:hint="eastAsia" w:ascii="宋体" w:hAnsi="宋体" w:eastAsia="宋体" w:cs="宋体"/>
          <w:b/>
          <w:bCs/>
          <w:sz w:val="36"/>
          <w:szCs w:val="40"/>
          <w:lang w:val="en-US" w:eastAsia="zh-CN"/>
        </w:rPr>
        <w:t>一、</w:t>
      </w:r>
      <w:r>
        <w:rPr>
          <w:rFonts w:hint="eastAsia" w:ascii="宋体" w:hAnsi="宋体" w:eastAsia="宋体" w:cs="宋体"/>
          <w:b/>
          <w:bCs/>
          <w:sz w:val="36"/>
          <w:szCs w:val="40"/>
        </w:rPr>
        <w:t>整体流程介绍</w:t>
      </w:r>
      <w:bookmarkEnd w:id="0"/>
    </w:p>
    <w:p w14:paraId="3F0D1944">
      <w:pPr>
        <w:pStyle w:val="32"/>
        <w:ind w:left="420"/>
        <w:rPr>
          <w:rFonts w:hint="eastAsia"/>
        </w:rPr>
      </w:pPr>
      <w:r>
        <w:rPr>
          <w:rFonts w:hint="eastAsia"/>
        </w:rPr>
        <w:drawing>
          <wp:inline distT="0" distB="0" distL="0" distR="0">
            <wp:extent cx="5274310" cy="5708650"/>
            <wp:effectExtent l="0" t="0" r="0" b="0"/>
            <wp:docPr id="414081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08165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0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3F4B1">
      <w:pPr>
        <w:pStyle w:val="32"/>
        <w:ind w:left="420" w:leftChars="0"/>
        <w:outlineLvl w:val="0"/>
        <w:rPr>
          <w:rFonts w:hint="eastAsia" w:ascii="宋体" w:hAnsi="宋体" w:eastAsia="宋体" w:cs="宋体"/>
          <w:b/>
          <w:bCs/>
          <w:sz w:val="36"/>
          <w:szCs w:val="40"/>
          <w:lang w:val="en-US" w:eastAsia="zh-CN"/>
        </w:rPr>
      </w:pPr>
      <w:bookmarkStart w:id="1" w:name="_Toc24477"/>
      <w:r>
        <w:rPr>
          <w:rFonts w:hint="eastAsia" w:ascii="宋体" w:hAnsi="宋体" w:eastAsia="宋体" w:cs="宋体"/>
          <w:b/>
          <w:bCs/>
          <w:sz w:val="36"/>
          <w:szCs w:val="40"/>
          <w:lang w:val="en-US" w:eastAsia="zh-CN"/>
        </w:rPr>
        <w:t>二、业务操作流程</w:t>
      </w:r>
      <w:bookmarkEnd w:id="1"/>
    </w:p>
    <w:p w14:paraId="4823D09D">
      <w:pPr>
        <w:pStyle w:val="32"/>
        <w:ind w:left="420"/>
        <w:rPr>
          <w:rFonts w:hint="eastAsia"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迁入流程：</w:t>
      </w:r>
    </w:p>
    <w:p w14:paraId="06B61DD5">
      <w:pPr>
        <w:pStyle w:val="32"/>
        <w:ind w:left="420"/>
        <w:rPr>
          <w:rFonts w:hint="eastAsia"/>
        </w:rPr>
      </w:pPr>
      <w:r>
        <w:rPr>
          <w:rFonts w:hint="eastAsia"/>
        </w:rPr>
        <w:drawing>
          <wp:inline distT="0" distB="0" distL="0" distR="0">
            <wp:extent cx="5274310" cy="6352540"/>
            <wp:effectExtent l="0" t="0" r="0" b="0"/>
            <wp:docPr id="4829802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980212" name="图片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5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414EC">
      <w:pPr>
        <w:pStyle w:val="32"/>
        <w:ind w:left="420" w:leftChars="0"/>
        <w:outlineLvl w:val="0"/>
        <w:rPr>
          <w:rFonts w:hint="eastAsia" w:ascii="宋体" w:hAnsi="宋体" w:eastAsia="宋体" w:cs="宋体"/>
          <w:b/>
          <w:bCs/>
          <w:sz w:val="36"/>
          <w:szCs w:val="40"/>
          <w:lang w:val="en-US" w:eastAsia="zh-CN"/>
        </w:rPr>
      </w:pPr>
      <w:bookmarkStart w:id="2" w:name="_Toc13477"/>
      <w:r>
        <w:rPr>
          <w:rFonts w:hint="eastAsia" w:ascii="宋体" w:hAnsi="宋体" w:eastAsia="宋体" w:cs="宋体"/>
          <w:b/>
          <w:bCs/>
          <w:sz w:val="36"/>
          <w:szCs w:val="40"/>
          <w:lang w:val="en-US" w:eastAsia="zh-CN"/>
        </w:rPr>
        <w:t>三、操作说明</w:t>
      </w:r>
      <w:bookmarkEnd w:id="2"/>
    </w:p>
    <w:p w14:paraId="7D968D5C">
      <w:pPr>
        <w:pStyle w:val="32"/>
        <w:ind w:left="420" w:leftChars="0"/>
        <w:outlineLvl w:val="1"/>
        <w:rPr>
          <w:rFonts w:hint="eastAsia" w:ascii="宋体" w:hAnsi="宋体" w:eastAsia="宋体" w:cs="宋体"/>
          <w:b/>
          <w:bCs/>
          <w:sz w:val="28"/>
          <w:szCs w:val="32"/>
        </w:rPr>
      </w:pPr>
      <w:bookmarkStart w:id="3" w:name="_Toc24916"/>
      <w:r>
        <w:rPr>
          <w:rFonts w:hint="eastAsia" w:ascii="宋体" w:hAnsi="宋体" w:eastAsia="宋体" w:cs="宋体"/>
          <w:b/>
          <w:bCs/>
          <w:sz w:val="28"/>
          <w:szCs w:val="32"/>
        </w:rPr>
        <w:t>3.1省外迁入</w:t>
      </w:r>
      <w:r>
        <w:rPr>
          <w:rFonts w:hint="eastAsia" w:ascii="宋体" w:hAnsi="宋体" w:eastAsia="宋体" w:cs="宋体"/>
          <w:b/>
          <w:bCs/>
          <w:sz w:val="28"/>
          <w:szCs w:val="32"/>
          <w:lang w:val="en-US" w:eastAsia="zh-CN"/>
        </w:rPr>
        <w:t>申请</w:t>
      </w:r>
      <w:r>
        <w:rPr>
          <w:rFonts w:hint="eastAsia" w:ascii="宋体" w:hAnsi="宋体" w:eastAsia="宋体" w:cs="宋体"/>
          <w:b/>
          <w:bCs/>
          <w:sz w:val="28"/>
          <w:szCs w:val="32"/>
        </w:rPr>
        <w:t>流程</w:t>
      </w:r>
      <w:bookmarkEnd w:id="3"/>
    </w:p>
    <w:p w14:paraId="7686B2DD">
      <w:pPr>
        <w:pStyle w:val="3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firstLine="560" w:firstLineChars="200"/>
        <w:textAlignment w:val="auto"/>
        <w:rPr>
          <w:rFonts w:hint="eastAsia"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省政务服务网注册登录-进入高效办成一件事栏目-选择“企业迁移登记一件事”-点击在线办理后进入陕西省网上登记平台迁移专区选择“跨省迁移”。</w:t>
      </w:r>
    </w:p>
    <w:p w14:paraId="5AB1EAB9">
      <w:pPr>
        <w:pStyle w:val="32"/>
        <w:ind w:left="420"/>
        <w:rPr>
          <w:rFonts w:hint="eastAsia"/>
        </w:rPr>
      </w:pPr>
      <w:r>
        <w:drawing>
          <wp:inline distT="0" distB="0" distL="114300" distR="114300">
            <wp:extent cx="5264785" cy="3248660"/>
            <wp:effectExtent l="0" t="0" r="571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24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A6BFA">
      <w:pPr>
        <w:pStyle w:val="3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firstLine="560" w:firstLineChars="200"/>
        <w:textAlignment w:val="auto"/>
        <w:rPr>
          <w:rFonts w:hint="eastAsia" w:ascii="宋体" w:hAnsi="宋体" w:eastAsia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在“跨省迁移服务专区”输入待迁入企业信息或通过电子营业执照小程序扫码登录，进入操作</w:t>
      </w:r>
    </w:p>
    <w:p w14:paraId="5819FDE7">
      <w:pPr>
        <w:pStyle w:val="32"/>
        <w:ind w:left="420"/>
        <w:rPr>
          <w:rFonts w:hint="eastAsia"/>
        </w:rPr>
      </w:pPr>
      <w:r>
        <w:rPr>
          <w:rFonts w:hint="eastAsia"/>
        </w:rPr>
        <w:drawing>
          <wp:inline distT="0" distB="0" distL="0" distR="0">
            <wp:extent cx="5274310" cy="3588385"/>
            <wp:effectExtent l="0" t="0" r="0" b="0"/>
            <wp:docPr id="13676994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699413" name="图片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8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98DC6">
      <w:pPr>
        <w:pStyle w:val="32"/>
        <w:ind w:left="420"/>
        <w:rPr>
          <w:rFonts w:hint="eastAsia"/>
        </w:rPr>
      </w:pPr>
    </w:p>
    <w:p w14:paraId="14E3E9E5">
      <w:pPr>
        <w:pStyle w:val="32"/>
        <w:ind w:left="420"/>
        <w:rPr>
          <w:rFonts w:hint="eastAsia"/>
        </w:rPr>
      </w:pPr>
      <w:r>
        <w:rPr>
          <w:rFonts w:hint="eastAsia"/>
        </w:rPr>
        <w:drawing>
          <wp:inline distT="0" distB="0" distL="0" distR="0">
            <wp:extent cx="4758055" cy="3098800"/>
            <wp:effectExtent l="0" t="0" r="4445" b="0"/>
            <wp:docPr id="605092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09212" name="图片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58055" cy="30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F3303">
      <w:pPr>
        <w:pStyle w:val="3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firstLine="560" w:firstLineChars="200"/>
        <w:textAlignment w:val="auto"/>
        <w:rPr>
          <w:rFonts w:hint="eastAsia" w:ascii="宋体" w:hAnsi="宋体" w:eastAsia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进入迁入申请页面后，选择迁出省份，迁入登记机关所在市及登记机关，填写新公司住所</w:t>
      </w:r>
    </w:p>
    <w:p w14:paraId="4D54611A">
      <w:pPr>
        <w:pStyle w:val="3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firstLine="560" w:firstLineChars="200"/>
        <w:textAlignment w:val="auto"/>
        <w:rPr>
          <w:rFonts w:hint="eastAsia" w:ascii="宋体" w:hAnsi="宋体" w:eastAsia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填写迁入申请时需要注意迁入地登记机关选择正确，确保与实际迁入地所在登记机关一致。</w:t>
      </w:r>
    </w:p>
    <w:p w14:paraId="45EED644">
      <w:pPr>
        <w:pStyle w:val="3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宋体" w:hAnsi="宋体" w:eastAsia="宋体" w:cs="宋体"/>
          <w:sz w:val="28"/>
          <w:szCs w:val="32"/>
          <w:lang w:val="en-US" w:eastAsia="zh-CN"/>
        </w:rPr>
      </w:pPr>
      <w:r>
        <w:rPr>
          <w:rFonts w:hint="default" w:ascii="宋体" w:hAnsi="宋体" w:eastAsia="宋体" w:cs="宋体"/>
          <w:sz w:val="28"/>
          <w:szCs w:val="32"/>
          <w:lang w:val="en-US" w:eastAsia="zh-CN"/>
        </w:rPr>
        <w:drawing>
          <wp:inline distT="0" distB="0" distL="114300" distR="114300">
            <wp:extent cx="4846955" cy="3655060"/>
            <wp:effectExtent l="0" t="0" r="4445" b="2540"/>
            <wp:docPr id="2" name="图片 2" descr="69159732dd068bccc6b7dc83a21c58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9159732dd068bccc6b7dc83a21c58e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46955" cy="365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0CFB6">
      <w:pPr>
        <w:pStyle w:val="3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firstLine="560" w:firstLineChars="200"/>
        <w:textAlignment w:val="auto"/>
        <w:rPr>
          <w:rFonts w:hint="eastAsia" w:ascii="宋体" w:hAnsi="宋体" w:eastAsia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填写代理人信息</w:t>
      </w:r>
    </w:p>
    <w:p w14:paraId="7952BBEF">
      <w:pPr>
        <w:pStyle w:val="3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default" w:ascii="宋体" w:hAnsi="宋体" w:eastAsia="宋体" w:cs="宋体"/>
          <w:sz w:val="28"/>
          <w:szCs w:val="32"/>
          <w:lang w:val="en-US" w:eastAsia="zh-CN"/>
        </w:rPr>
      </w:pPr>
      <w:r>
        <w:rPr>
          <w:rFonts w:hint="default" w:ascii="宋体" w:hAnsi="宋体" w:eastAsia="宋体" w:cs="宋体"/>
          <w:sz w:val="28"/>
          <w:szCs w:val="32"/>
          <w:lang w:val="en-US" w:eastAsia="zh-CN"/>
        </w:rPr>
        <w:drawing>
          <wp:inline distT="0" distB="0" distL="114300" distR="114300">
            <wp:extent cx="5092700" cy="4648835"/>
            <wp:effectExtent l="0" t="0" r="0" b="12065"/>
            <wp:docPr id="3" name="图片 3" descr="467a338eb40c8cd55f658a26c01289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67a338eb40c8cd55f658a26c012894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464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310EA">
      <w:pPr>
        <w:pStyle w:val="3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firstLine="560" w:firstLineChars="200"/>
        <w:textAlignment w:val="auto"/>
        <w:rPr>
          <w:rFonts w:hint="eastAsia" w:ascii="宋体" w:hAnsi="宋体" w:eastAsia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若申请的为全程电子化业务，则需要核对签名人员信息</w:t>
      </w:r>
    </w:p>
    <w:p w14:paraId="2322ABA4">
      <w:pPr>
        <w:pStyle w:val="3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default" w:ascii="宋体" w:hAnsi="宋体" w:eastAsia="宋体" w:cs="宋体"/>
          <w:sz w:val="28"/>
          <w:szCs w:val="32"/>
          <w:lang w:val="en-US" w:eastAsia="zh-CN"/>
        </w:rPr>
      </w:pPr>
      <w:r>
        <w:rPr>
          <w:rFonts w:hint="default" w:ascii="宋体" w:hAnsi="宋体" w:eastAsia="宋体" w:cs="宋体"/>
          <w:sz w:val="28"/>
          <w:szCs w:val="32"/>
          <w:lang w:val="en-US" w:eastAsia="zh-CN"/>
        </w:rPr>
        <w:drawing>
          <wp:inline distT="0" distB="0" distL="114300" distR="114300">
            <wp:extent cx="5194300" cy="2952750"/>
            <wp:effectExtent l="0" t="0" r="0" b="6350"/>
            <wp:docPr id="6" name="图片 6" descr="81f22b68c6df5398c920f7eb26fbc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81f22b68c6df5398c920f7eb26fbc64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51987">
      <w:pPr>
        <w:pStyle w:val="3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firstLine="560" w:firstLineChars="200"/>
        <w:textAlignment w:val="auto"/>
        <w:rPr>
          <w:rFonts w:hint="eastAsia" w:ascii="宋体" w:hAnsi="宋体" w:eastAsia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点击添加按钮，上传公司营业执照</w:t>
      </w:r>
    </w:p>
    <w:p w14:paraId="3C1072FB">
      <w:pPr>
        <w:pStyle w:val="3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default" w:ascii="宋体" w:hAnsi="宋体" w:eastAsia="宋体" w:cs="宋体"/>
          <w:sz w:val="28"/>
          <w:szCs w:val="32"/>
          <w:lang w:val="en-US" w:eastAsia="zh-CN"/>
        </w:rPr>
      </w:pPr>
      <w:r>
        <w:rPr>
          <w:rFonts w:hint="default" w:ascii="宋体" w:hAnsi="宋体" w:eastAsia="宋体" w:cs="宋体"/>
          <w:sz w:val="28"/>
          <w:szCs w:val="32"/>
          <w:lang w:val="en-US" w:eastAsia="zh-CN"/>
        </w:rPr>
        <w:drawing>
          <wp:inline distT="0" distB="0" distL="114300" distR="114300">
            <wp:extent cx="5200650" cy="3390900"/>
            <wp:effectExtent l="0" t="0" r="6350" b="0"/>
            <wp:docPr id="7" name="图片 7" descr="da0a4294dc3f6e8ca7495b9356c1a8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da0a4294dc3f6e8ca7495b9356c1a8f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A1F08">
      <w:pPr>
        <w:pStyle w:val="3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firstLine="560" w:firstLineChars="200"/>
        <w:textAlignment w:val="auto"/>
        <w:rPr>
          <w:rFonts w:hint="eastAsia" w:ascii="宋体" w:hAnsi="宋体" w:eastAsia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业务提交后，系统将进行自动预审，预审通过后，完成实名核验及电子签章（全程电子化业务）</w:t>
      </w:r>
    </w:p>
    <w:p w14:paraId="1D86732E">
      <w:pPr>
        <w:pStyle w:val="32"/>
        <w:ind w:left="420" w:leftChars="0"/>
        <w:outlineLvl w:val="1"/>
        <w:rPr>
          <w:rFonts w:hint="default" w:ascii="宋体" w:hAnsi="宋体" w:eastAsia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2"/>
        </w:rPr>
        <w:t>3.</w:t>
      </w:r>
      <w:r>
        <w:rPr>
          <w:rFonts w:hint="eastAsia" w:ascii="宋体" w:hAnsi="宋体" w:eastAsia="宋体" w:cs="宋体"/>
          <w:b/>
          <w:bCs/>
          <w:sz w:val="28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sz w:val="28"/>
          <w:szCs w:val="32"/>
        </w:rPr>
        <w:t>省外迁入</w:t>
      </w:r>
      <w:r>
        <w:rPr>
          <w:rFonts w:hint="eastAsia" w:ascii="宋体" w:hAnsi="宋体" w:eastAsia="宋体" w:cs="宋体"/>
          <w:b/>
          <w:bCs/>
          <w:sz w:val="28"/>
          <w:szCs w:val="32"/>
          <w:lang w:val="en-US" w:eastAsia="zh-CN"/>
        </w:rPr>
        <w:t>受理审核</w:t>
      </w:r>
      <w:r>
        <w:rPr>
          <w:rFonts w:hint="eastAsia" w:ascii="宋体" w:hAnsi="宋体" w:eastAsia="宋体" w:cs="宋体"/>
          <w:b/>
          <w:bCs/>
          <w:sz w:val="28"/>
          <w:szCs w:val="32"/>
        </w:rPr>
        <w:t>流程</w:t>
      </w:r>
    </w:p>
    <w:p w14:paraId="6A695921">
      <w:pPr>
        <w:pStyle w:val="3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firstLine="560" w:firstLineChars="200"/>
        <w:textAlignment w:val="auto"/>
        <w:rPr>
          <w:rFonts w:hint="eastAsia" w:ascii="宋体" w:hAnsi="宋体" w:eastAsia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申请人进行迁入申请提交后，由迁入地登记机关对迁入申请进行受理、审核</w:t>
      </w:r>
    </w:p>
    <w:p w14:paraId="5FC4F6B8">
      <w:pPr>
        <w:pStyle w:val="32"/>
        <w:ind w:left="420"/>
        <w:rPr>
          <w:rFonts w:hint="eastAsia"/>
        </w:rPr>
      </w:pPr>
      <w:r>
        <w:rPr>
          <w:rFonts w:hint="eastAsia"/>
        </w:rPr>
        <w:drawing>
          <wp:inline distT="0" distB="0" distL="0" distR="0">
            <wp:extent cx="5274310" cy="2804160"/>
            <wp:effectExtent l="0" t="0" r="0" b="0"/>
            <wp:docPr id="182869945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699456" name="图片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2E0ED">
      <w:pPr>
        <w:pStyle w:val="32"/>
        <w:ind w:left="420"/>
        <w:rPr>
          <w:rFonts w:hint="eastAsia"/>
        </w:rPr>
      </w:pPr>
      <w:r>
        <w:rPr>
          <w:rFonts w:hint="eastAsia"/>
        </w:rPr>
        <w:drawing>
          <wp:inline distT="0" distB="0" distL="0" distR="0">
            <wp:extent cx="5274310" cy="2805430"/>
            <wp:effectExtent l="0" t="0" r="0" b="0"/>
            <wp:docPr id="47957962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579623" name="图片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82C9E">
      <w:pPr>
        <w:pStyle w:val="3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firstLine="560" w:firstLineChars="200"/>
        <w:textAlignment w:val="auto"/>
        <w:rPr>
          <w:rFonts w:hint="eastAsia" w:ascii="宋体" w:hAnsi="宋体" w:eastAsia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迁入审核</w:t>
      </w:r>
    </w:p>
    <w:p w14:paraId="2BC06E39">
      <w:pPr>
        <w:pStyle w:val="32"/>
        <w:ind w:left="420"/>
        <w:rPr>
          <w:rFonts w:hint="eastAsia"/>
        </w:rPr>
      </w:pPr>
      <w:r>
        <w:rPr>
          <w:rFonts w:hint="eastAsia"/>
        </w:rPr>
        <w:drawing>
          <wp:inline distT="0" distB="0" distL="0" distR="0">
            <wp:extent cx="5274310" cy="2802890"/>
            <wp:effectExtent l="0" t="0" r="0" b="0"/>
            <wp:docPr id="109931699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316999" name="图片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96B87">
      <w:pPr>
        <w:pStyle w:val="32"/>
        <w:ind w:left="420"/>
        <w:rPr>
          <w:rFonts w:hint="eastAsia"/>
        </w:rPr>
      </w:pPr>
      <w:r>
        <w:rPr>
          <w:rFonts w:hint="eastAsia"/>
        </w:rPr>
        <w:drawing>
          <wp:inline distT="0" distB="0" distL="0" distR="0">
            <wp:extent cx="5274310" cy="2784475"/>
            <wp:effectExtent l="0" t="0" r="0" b="0"/>
            <wp:docPr id="109733046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330466" name="图片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8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4CE4D">
      <w:pPr>
        <w:pStyle w:val="3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firstLine="560" w:firstLineChars="200"/>
        <w:textAlignment w:val="auto"/>
        <w:rPr>
          <w:rFonts w:hint="eastAsia" w:ascii="宋体" w:hAnsi="宋体" w:eastAsia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同时可以在“跨省迁移-迁入档案邮寄查询”模块查询迁出地档案的邮寄情况</w:t>
      </w:r>
    </w:p>
    <w:p w14:paraId="52FA5A91">
      <w:pPr>
        <w:pStyle w:val="32"/>
        <w:ind w:left="420"/>
        <w:rPr>
          <w:rFonts w:hint="eastAsia"/>
        </w:rPr>
      </w:pPr>
      <w:r>
        <w:rPr>
          <w:rFonts w:hint="eastAsia"/>
        </w:rPr>
        <w:drawing>
          <wp:inline distT="0" distB="0" distL="0" distR="0">
            <wp:extent cx="5274310" cy="2809875"/>
            <wp:effectExtent l="0" t="0" r="0" b="0"/>
            <wp:docPr id="51061130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611307" name="图片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BF157">
      <w:pPr>
        <w:pStyle w:val="3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firstLine="560" w:firstLineChars="200"/>
        <w:textAlignment w:val="auto"/>
        <w:rPr>
          <w:rFonts w:hint="eastAsia" w:ascii="宋体" w:hAnsi="宋体" w:eastAsia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待迁出地登记机关迁出审核通过后，并将企业电子档案数据上传至国家局迁移平台，则可以通过“跨省迁移-企业导入”模块对企业信息进行导入</w:t>
      </w:r>
    </w:p>
    <w:p w14:paraId="7B0DE473">
      <w:pPr>
        <w:pStyle w:val="32"/>
        <w:ind w:left="420"/>
        <w:rPr>
          <w:rFonts w:hint="eastAsia"/>
        </w:rPr>
      </w:pPr>
      <w:r>
        <w:rPr>
          <w:rFonts w:hint="eastAsia"/>
        </w:rPr>
        <w:drawing>
          <wp:inline distT="0" distB="0" distL="0" distR="0">
            <wp:extent cx="5274310" cy="2323465"/>
            <wp:effectExtent l="0" t="0" r="0" b="0"/>
            <wp:docPr id="46658198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581987" name="图片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11C92">
      <w:pPr>
        <w:pStyle w:val="32"/>
        <w:ind w:left="420"/>
        <w:rPr>
          <w:rFonts w:hint="eastAsia"/>
        </w:rPr>
      </w:pPr>
      <w:r>
        <w:rPr>
          <w:rFonts w:hint="eastAsia"/>
        </w:rPr>
        <w:drawing>
          <wp:inline distT="0" distB="0" distL="0" distR="0">
            <wp:extent cx="5274310" cy="2249170"/>
            <wp:effectExtent l="0" t="0" r="0" b="0"/>
            <wp:docPr id="185548179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481794" name="图片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0AA0D0">
      <w:pPr>
        <w:pStyle w:val="3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firstLine="560" w:firstLineChars="200"/>
        <w:textAlignment w:val="auto"/>
        <w:rPr>
          <w:rFonts w:hint="eastAsia" w:ascii="宋体" w:hAnsi="宋体" w:eastAsia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数据导入完成后，隔天申请人可在网上登记平台发起变更申请。</w:t>
      </w:r>
    </w:p>
    <w:p w14:paraId="52D58E39">
      <w:pPr>
        <w:pStyle w:val="3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firstLine="0" w:firstLineChars="0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2"/>
          <w:lang w:val="en-US" w:eastAsia="zh-CN"/>
        </w:rPr>
        <w:t>3.3迁入地变更申请</w:t>
      </w:r>
    </w:p>
    <w:p w14:paraId="4C111D63">
      <w:pPr>
        <w:pStyle w:val="3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firstLine="560" w:firstLineChars="200"/>
        <w:textAlignment w:val="auto"/>
        <w:rPr>
          <w:rFonts w:hint="eastAsia" w:ascii="宋体" w:hAnsi="宋体" w:eastAsia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再次进入“跨省迁移服务专区”，已完成迁入数据导入的企业，迁入申请流程中会出现“变更”申请按钮。</w:t>
      </w:r>
    </w:p>
    <w:p w14:paraId="13B7F9BE">
      <w:pPr>
        <w:pStyle w:val="3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firstLine="562" w:firstLineChars="200"/>
        <w:textAlignment w:val="auto"/>
        <w:rPr>
          <w:rFonts w:hint="default" w:ascii="宋体" w:hAnsi="宋体" w:eastAsia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8"/>
          <w:szCs w:val="32"/>
          <w:lang w:val="en-US" w:eastAsia="zh-CN"/>
        </w:rPr>
        <w:t>（注：变更登记业务的业务办理方式（全程\半程）随迁入申请一致，不可重新选择）</w:t>
      </w:r>
    </w:p>
    <w:p w14:paraId="08094020">
      <w:pPr>
        <w:pStyle w:val="3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default" w:ascii="宋体" w:hAnsi="宋体" w:eastAsia="宋体" w:cs="宋体"/>
          <w:sz w:val="28"/>
          <w:szCs w:val="32"/>
          <w:lang w:val="en-US" w:eastAsia="zh-CN"/>
        </w:rPr>
      </w:pPr>
      <w:r>
        <w:rPr>
          <w:rFonts w:hint="default" w:ascii="宋体" w:hAnsi="宋体" w:eastAsia="宋体" w:cs="宋体"/>
          <w:sz w:val="28"/>
          <w:szCs w:val="32"/>
          <w:lang w:val="en-US" w:eastAsia="zh-CN"/>
        </w:rPr>
        <w:drawing>
          <wp:inline distT="0" distB="0" distL="114300" distR="114300">
            <wp:extent cx="5273675" cy="3354070"/>
            <wp:effectExtent l="0" t="0" r="9525" b="11430"/>
            <wp:docPr id="8" name="图片 8" descr="be368cce330735e9b4f87176f6a7bc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be368cce330735e9b4f87176f6a7bcce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35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08AC9">
      <w:pPr>
        <w:pStyle w:val="3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firstLine="560" w:firstLineChars="200"/>
        <w:textAlignment w:val="auto"/>
        <w:rPr>
          <w:rFonts w:hint="default" w:ascii="宋体" w:hAnsi="宋体" w:eastAsia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点击“变更”按钮，进入变更申请流程，可以同时申请“名称变更”、“住所变更”等变更事项。</w:t>
      </w:r>
    </w:p>
    <w:p w14:paraId="44E7F94C">
      <w:pPr>
        <w:pStyle w:val="3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default" w:ascii="宋体" w:hAnsi="宋体" w:eastAsia="宋体" w:cs="宋体"/>
          <w:sz w:val="28"/>
          <w:szCs w:val="32"/>
          <w:lang w:val="en-US" w:eastAsia="zh-CN"/>
        </w:rPr>
      </w:pPr>
      <w:r>
        <w:rPr>
          <w:rFonts w:hint="default" w:ascii="宋体" w:hAnsi="宋体" w:eastAsia="宋体" w:cs="宋体"/>
          <w:sz w:val="28"/>
          <w:szCs w:val="32"/>
          <w:lang w:val="en-US" w:eastAsia="zh-CN"/>
        </w:rPr>
        <w:drawing>
          <wp:inline distT="0" distB="0" distL="114300" distR="114300">
            <wp:extent cx="5273675" cy="4237990"/>
            <wp:effectExtent l="0" t="0" r="9525" b="3810"/>
            <wp:docPr id="9" name="图片 9" descr="dc757dda01c946faae6f992ee15deb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dc757dda01c946faae6f992ee15debd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23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5B584">
      <w:pPr>
        <w:pStyle w:val="3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firstLine="560" w:firstLineChars="200"/>
        <w:textAlignment w:val="auto"/>
        <w:rPr>
          <w:rFonts w:hint="default" w:ascii="宋体" w:hAnsi="宋体" w:eastAsia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迁入地登记机关按照正常变更登记审核流程进行业务审批。</w:t>
      </w:r>
    </w:p>
    <w:p w14:paraId="0FD2A379">
      <w:pPr>
        <w:pStyle w:val="3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firstLine="0" w:firstLineChars="0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sz w:val="28"/>
          <w:szCs w:val="32"/>
          <w:lang w:val="en-US" w:eastAsia="zh-CN"/>
        </w:rPr>
      </w:pPr>
      <w:bookmarkStart w:id="4" w:name="_Toc5981"/>
      <w:r>
        <w:rPr>
          <w:rFonts w:hint="eastAsia" w:ascii="宋体" w:hAnsi="宋体" w:eastAsia="宋体" w:cs="宋体"/>
          <w:b/>
          <w:bCs/>
          <w:sz w:val="28"/>
          <w:szCs w:val="32"/>
          <w:lang w:val="en-US" w:eastAsia="zh-CN"/>
        </w:rPr>
        <w:t>3.4迁出省外流程</w:t>
      </w:r>
      <w:bookmarkEnd w:id="4"/>
    </w:p>
    <w:p w14:paraId="1A7FE247">
      <w:pPr>
        <w:pStyle w:val="3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firstLine="560" w:firstLineChars="200"/>
        <w:textAlignment w:val="auto"/>
        <w:rPr>
          <w:rFonts w:hint="eastAsia" w:ascii="宋体" w:hAnsi="宋体" w:eastAsia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省内企业在省外迁入地登记机关申请迁入后，待迁入地登记机关准予迁入审核通过后，迁出地登记机关在市场准入“跨省迁移-迁出审核”模块对该表业务进行审核</w:t>
      </w:r>
    </w:p>
    <w:p w14:paraId="322C3397">
      <w:pPr>
        <w:spacing w:line="276" w:lineRule="auto"/>
        <w:jc w:val="center"/>
      </w:pPr>
      <w:r>
        <w:rPr>
          <w:rFonts w:hint="eastAsia"/>
        </w:rPr>
        <w:drawing>
          <wp:inline distT="0" distB="0" distL="0" distR="0">
            <wp:extent cx="5274310" cy="2122805"/>
            <wp:effectExtent l="0" t="0" r="0" b="0"/>
            <wp:docPr id="3577294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729468" name="图片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2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3CA37">
      <w:pPr>
        <w:pStyle w:val="3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firstLine="560" w:firstLineChars="200"/>
        <w:textAlignment w:val="auto"/>
        <w:rPr>
          <w:rFonts w:hint="eastAsia" w:ascii="宋体" w:hAnsi="宋体" w:eastAsia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迁出审核完成后，在“跨省迁移-迁出档案邮寄查询”模块，查询迁入方邮寄地址信息，并录入迁出方邮寄信息。</w:t>
      </w:r>
    </w:p>
    <w:p w14:paraId="736484CF">
      <w:pPr>
        <w:spacing w:line="276" w:lineRule="auto"/>
        <w:jc w:val="center"/>
        <w:rPr>
          <w:rFonts w:hint="eastAsia"/>
        </w:rPr>
      </w:pPr>
      <w:r>
        <w:rPr>
          <w:rFonts w:hint="eastAsia"/>
        </w:rPr>
        <w:drawing>
          <wp:inline distT="0" distB="0" distL="0" distR="0">
            <wp:extent cx="5274310" cy="1907540"/>
            <wp:effectExtent l="0" t="0" r="0" b="0"/>
            <wp:docPr id="66425944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259444" name="图片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0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55D96">
      <w:pPr>
        <w:pStyle w:val="3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firstLine="0" w:firstLineChars="0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sz w:val="28"/>
          <w:szCs w:val="32"/>
          <w:lang w:val="en-US" w:eastAsia="zh-CN"/>
        </w:rPr>
      </w:pPr>
      <w:bookmarkStart w:id="5" w:name="_Toc17078"/>
      <w:r>
        <w:rPr>
          <w:rFonts w:hint="eastAsia" w:ascii="宋体" w:hAnsi="宋体" w:eastAsia="宋体" w:cs="宋体"/>
          <w:b/>
          <w:bCs/>
          <w:sz w:val="28"/>
          <w:szCs w:val="32"/>
          <w:lang w:val="en-US" w:eastAsia="zh-CN"/>
        </w:rPr>
        <w:t>3.5</w:t>
      </w:r>
      <w:bookmarkStart w:id="6" w:name="_GoBack"/>
      <w:bookmarkEnd w:id="6"/>
      <w:r>
        <w:rPr>
          <w:rFonts w:hint="eastAsia" w:ascii="宋体" w:hAnsi="宋体" w:eastAsia="宋体" w:cs="宋体"/>
          <w:b/>
          <w:bCs/>
          <w:sz w:val="28"/>
          <w:szCs w:val="32"/>
          <w:lang w:val="en-US" w:eastAsia="zh-CN"/>
        </w:rPr>
        <w:t>国家局跨省迁移流程管理查询</w:t>
      </w:r>
      <w:bookmarkEnd w:id="5"/>
    </w:p>
    <w:p w14:paraId="62B87050">
      <w:pPr>
        <w:pStyle w:val="3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firstLine="560" w:firstLineChars="200"/>
        <w:textAlignment w:val="auto"/>
        <w:rPr>
          <w:rFonts w:hint="eastAsia" w:ascii="宋体" w:hAnsi="宋体" w:eastAsia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可以通过迁移流程查询模块，查询跨省迁移业务流程，按照迁移类型查询“迁出”、“迁入”企业的流程状态</w:t>
      </w:r>
    </w:p>
    <w:p w14:paraId="7199C7CC">
      <w:pPr>
        <w:pStyle w:val="3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firstLine="0" w:firstLineChars="0"/>
        <w:jc w:val="left"/>
        <w:textAlignment w:val="auto"/>
      </w:pPr>
      <w:r>
        <w:drawing>
          <wp:inline distT="0" distB="0" distL="114300" distR="114300">
            <wp:extent cx="5259705" cy="1355090"/>
            <wp:effectExtent l="0" t="0" r="10795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135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BA1AF">
      <w:pPr>
        <w:pStyle w:val="3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firstLine="0" w:firstLineChars="0"/>
        <w:jc w:val="left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269865" cy="1911985"/>
            <wp:effectExtent l="0" t="0" r="635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91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05C8F">
      <w:pPr>
        <w:pStyle w:val="3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firstLine="0" w:firstLineChars="0"/>
        <w:jc w:val="left"/>
        <w:textAlignment w:val="auto"/>
        <w:rPr>
          <w:rFonts w:hint="default" w:ascii="宋体" w:hAnsi="宋体" w:eastAsia="宋体" w:cs="宋体"/>
          <w:b/>
          <w:bCs/>
          <w:color w:val="FF0000"/>
          <w:sz w:val="28"/>
          <w:szCs w:val="32"/>
          <w:highlight w:val="yellow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8"/>
          <w:szCs w:val="32"/>
          <w:highlight w:val="yellow"/>
          <w:lang w:val="en-US" w:eastAsia="zh-CN"/>
        </w:rPr>
        <w:t>（流程终止：慎重操作：在该模块对未完成迁移</w:t>
      </w:r>
      <w:r>
        <w:rPr>
          <w:rFonts w:hint="eastAsia" w:ascii="宋体" w:hAnsi="宋体" w:eastAsia="宋体" w:cs="宋体"/>
          <w:b/>
          <w:bCs/>
          <w:color w:val="0070C0"/>
          <w:sz w:val="28"/>
          <w:szCs w:val="32"/>
          <w:highlight w:val="yellow"/>
          <w:lang w:val="en-US" w:eastAsia="zh-CN"/>
        </w:rPr>
        <w:t>（指迁入方未完成变更登记或迁出方未完成迁出审核）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32"/>
          <w:highlight w:val="yellow"/>
          <w:lang w:val="en-US" w:eastAsia="zh-CN"/>
        </w:rPr>
        <w:t>的流程进行终止操作，此处流程接收后，不管是迁出还是迁入的业务均需要从头开始）</w:t>
      </w:r>
    </w:p>
    <w:p w14:paraId="6831CFFE">
      <w:pPr>
        <w:pStyle w:val="3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firstLine="0" w:firstLineChars="0"/>
        <w:jc w:val="left"/>
        <w:textAlignment w:val="auto"/>
        <w:rPr>
          <w:rFonts w:hint="default" w:ascii="宋体" w:hAnsi="宋体" w:eastAsia="宋体" w:cs="宋体"/>
          <w:sz w:val="28"/>
          <w:szCs w:val="32"/>
          <w:lang w:val="en-US" w:eastAsia="zh-CN"/>
        </w:rPr>
      </w:pPr>
    </w:p>
    <w:p w14:paraId="4D345986">
      <w:pPr>
        <w:spacing w:line="276" w:lineRule="auto"/>
        <w:jc w:val="center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2"/>
  </w:compat>
  <w:rsids>
    <w:rsidRoot w:val="00F41681"/>
    <w:rsid w:val="00002436"/>
    <w:rsid w:val="0001126B"/>
    <w:rsid w:val="00026A53"/>
    <w:rsid w:val="00084945"/>
    <w:rsid w:val="0012509A"/>
    <w:rsid w:val="00164130"/>
    <w:rsid w:val="001D54E8"/>
    <w:rsid w:val="001D624B"/>
    <w:rsid w:val="002C4AE6"/>
    <w:rsid w:val="00355579"/>
    <w:rsid w:val="00394755"/>
    <w:rsid w:val="003A7DB2"/>
    <w:rsid w:val="004116DC"/>
    <w:rsid w:val="004B18E9"/>
    <w:rsid w:val="00520C4D"/>
    <w:rsid w:val="00551893"/>
    <w:rsid w:val="00587A2D"/>
    <w:rsid w:val="00587BDB"/>
    <w:rsid w:val="0077144E"/>
    <w:rsid w:val="00780734"/>
    <w:rsid w:val="00782111"/>
    <w:rsid w:val="00794855"/>
    <w:rsid w:val="007959D2"/>
    <w:rsid w:val="007D737A"/>
    <w:rsid w:val="00831CBB"/>
    <w:rsid w:val="00885E85"/>
    <w:rsid w:val="008B0ABE"/>
    <w:rsid w:val="008D4684"/>
    <w:rsid w:val="009B3179"/>
    <w:rsid w:val="009C45FF"/>
    <w:rsid w:val="00A374EA"/>
    <w:rsid w:val="00A81049"/>
    <w:rsid w:val="00A9229A"/>
    <w:rsid w:val="00AC6927"/>
    <w:rsid w:val="00AC6DFA"/>
    <w:rsid w:val="00AE5F71"/>
    <w:rsid w:val="00B15472"/>
    <w:rsid w:val="00BB1DFE"/>
    <w:rsid w:val="00BF48BE"/>
    <w:rsid w:val="00C20773"/>
    <w:rsid w:val="00C81A14"/>
    <w:rsid w:val="00CD1BB3"/>
    <w:rsid w:val="00D56ECB"/>
    <w:rsid w:val="00D95916"/>
    <w:rsid w:val="00DF4A2A"/>
    <w:rsid w:val="00E33023"/>
    <w:rsid w:val="00E67DEE"/>
    <w:rsid w:val="00E928D5"/>
    <w:rsid w:val="00EC19BD"/>
    <w:rsid w:val="00ED1733"/>
    <w:rsid w:val="00F41681"/>
    <w:rsid w:val="00F72A1F"/>
    <w:rsid w:val="012D7E6B"/>
    <w:rsid w:val="0256755B"/>
    <w:rsid w:val="04C90028"/>
    <w:rsid w:val="06F91628"/>
    <w:rsid w:val="07F817E1"/>
    <w:rsid w:val="09F61D50"/>
    <w:rsid w:val="106B1CC2"/>
    <w:rsid w:val="125E00D9"/>
    <w:rsid w:val="127C1602"/>
    <w:rsid w:val="13457A35"/>
    <w:rsid w:val="138A3509"/>
    <w:rsid w:val="13E43BE5"/>
    <w:rsid w:val="141334FE"/>
    <w:rsid w:val="14522278"/>
    <w:rsid w:val="1AE92CAB"/>
    <w:rsid w:val="1B6E26C3"/>
    <w:rsid w:val="1C3C45BD"/>
    <w:rsid w:val="1C4E77C9"/>
    <w:rsid w:val="1C9553F8"/>
    <w:rsid w:val="21376286"/>
    <w:rsid w:val="216E446A"/>
    <w:rsid w:val="26F82A9D"/>
    <w:rsid w:val="2A4E3F3C"/>
    <w:rsid w:val="2B477185"/>
    <w:rsid w:val="2B56387F"/>
    <w:rsid w:val="2DAD5E45"/>
    <w:rsid w:val="35355971"/>
    <w:rsid w:val="396C3542"/>
    <w:rsid w:val="3AD82C28"/>
    <w:rsid w:val="3F91200F"/>
    <w:rsid w:val="4506785B"/>
    <w:rsid w:val="45140D01"/>
    <w:rsid w:val="45A67045"/>
    <w:rsid w:val="461A28EF"/>
    <w:rsid w:val="49592CF6"/>
    <w:rsid w:val="4B080807"/>
    <w:rsid w:val="4DBE3EFF"/>
    <w:rsid w:val="50FF09D3"/>
    <w:rsid w:val="53311748"/>
    <w:rsid w:val="54B97065"/>
    <w:rsid w:val="55583378"/>
    <w:rsid w:val="555A14B3"/>
    <w:rsid w:val="5CE7781B"/>
    <w:rsid w:val="5D730178"/>
    <w:rsid w:val="5DB34C18"/>
    <w:rsid w:val="5E5C0156"/>
    <w:rsid w:val="5F210AB7"/>
    <w:rsid w:val="62854B94"/>
    <w:rsid w:val="64D075FC"/>
    <w:rsid w:val="6C313EC9"/>
    <w:rsid w:val="6DAC71C4"/>
    <w:rsid w:val="71573B9F"/>
    <w:rsid w:val="753D0CE9"/>
    <w:rsid w:val="75F25AAE"/>
    <w:rsid w:val="7AA0745F"/>
    <w:rsid w:val="7D4A4258"/>
    <w:rsid w:val="7FFC4162"/>
    <w:rsid w:val="7FFC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qFormat="1"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85858" w:themeColor="text1" w:themeTint="A6"/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85858" w:themeColor="text1" w:themeTint="A6"/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85858" w:themeColor="text1" w:themeTint="A6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oc 1"/>
    <w:basedOn w:val="1"/>
    <w:next w:val="1"/>
    <w:semiHidden/>
    <w:unhideWhenUsed/>
    <w:qFormat/>
    <w:uiPriority w:val="39"/>
  </w:style>
  <w:style w:type="paragraph" w:styleId="14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15">
    <w:name w:val="toc 2"/>
    <w:basedOn w:val="1"/>
    <w:next w:val="1"/>
    <w:semiHidden/>
    <w:unhideWhenUsed/>
    <w:qFormat/>
    <w:uiPriority w:val="39"/>
    <w:pPr>
      <w:ind w:left="420" w:leftChars="200"/>
    </w:pPr>
  </w:style>
  <w:style w:type="paragraph" w:styleId="16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9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customStyle="1" w:styleId="21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customStyle="1" w:styleId="22">
    <w:name w:val="标题 4 字符"/>
    <w:basedOn w:val="18"/>
    <w:link w:val="5"/>
    <w:semiHidden/>
    <w:qFormat/>
    <w:uiPriority w:val="9"/>
    <w:rPr>
      <w:rFonts w:cstheme="majorBidi"/>
      <w:color w:val="0F4761" w:themeColor="accent1" w:themeShade="BF"/>
      <w:sz w:val="28"/>
      <w:szCs w:val="28"/>
    </w:rPr>
  </w:style>
  <w:style w:type="character" w:customStyle="1" w:styleId="23">
    <w:name w:val="标题 5 字符"/>
    <w:basedOn w:val="18"/>
    <w:link w:val="6"/>
    <w:semiHidden/>
    <w:qFormat/>
    <w:uiPriority w:val="9"/>
    <w:rPr>
      <w:rFonts w:cstheme="majorBidi"/>
      <w:color w:val="0F4761" w:themeColor="accent1" w:themeShade="BF"/>
      <w:sz w:val="24"/>
      <w:szCs w:val="24"/>
    </w:rPr>
  </w:style>
  <w:style w:type="character" w:customStyle="1" w:styleId="24">
    <w:name w:val="标题 6 字符"/>
    <w:basedOn w:val="18"/>
    <w:link w:val="7"/>
    <w:semiHidden/>
    <w:qFormat/>
    <w:uiPriority w:val="9"/>
    <w:rPr>
      <w:rFonts w:cstheme="majorBidi"/>
      <w:b/>
      <w:bCs/>
      <w:color w:val="0F4761" w:themeColor="accent1" w:themeShade="BF"/>
    </w:rPr>
  </w:style>
  <w:style w:type="character" w:customStyle="1" w:styleId="25">
    <w:name w:val="标题 7 字符"/>
    <w:basedOn w:val="18"/>
    <w:link w:val="8"/>
    <w:semiHidden/>
    <w:qFormat/>
    <w:uiPriority w:val="9"/>
    <w:rPr>
      <w:rFonts w:cstheme="majorBidi"/>
      <w:b/>
      <w:bCs/>
      <w:color w:val="585858" w:themeColor="text1" w:themeTint="A6"/>
    </w:rPr>
  </w:style>
  <w:style w:type="character" w:customStyle="1" w:styleId="26">
    <w:name w:val="标题 8 字符"/>
    <w:basedOn w:val="18"/>
    <w:link w:val="9"/>
    <w:semiHidden/>
    <w:qFormat/>
    <w:uiPriority w:val="9"/>
    <w:rPr>
      <w:rFonts w:cstheme="majorBidi"/>
      <w:color w:val="585858" w:themeColor="text1" w:themeTint="A6"/>
    </w:rPr>
  </w:style>
  <w:style w:type="character" w:customStyle="1" w:styleId="27">
    <w:name w:val="标题 9 字符"/>
    <w:basedOn w:val="18"/>
    <w:link w:val="10"/>
    <w:semiHidden/>
    <w:qFormat/>
    <w:uiPriority w:val="9"/>
    <w:rPr>
      <w:rFonts w:eastAsiaTheme="majorEastAsia" w:cstheme="majorBidi"/>
      <w:color w:val="585858" w:themeColor="text1" w:themeTint="A6"/>
    </w:rPr>
  </w:style>
  <w:style w:type="character" w:customStyle="1" w:styleId="28">
    <w:name w:val="标题 字符"/>
    <w:basedOn w:val="18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3F3F3F" w:themeColor="text1" w:themeTint="BF"/>
    </w:rPr>
  </w:style>
  <w:style w:type="character" w:customStyle="1" w:styleId="31">
    <w:name w:val="引用 字符"/>
    <w:basedOn w:val="18"/>
    <w:link w:val="30"/>
    <w:qFormat/>
    <w:uiPriority w:val="29"/>
    <w:rPr>
      <w:i/>
      <w:iCs/>
      <w:color w:val="3F3F3F" w:themeColor="text1" w:themeTint="BF"/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8"/>
    <w:qFormat/>
    <w:uiPriority w:val="21"/>
    <w:rPr>
      <w:i/>
      <w:iCs/>
      <w:color w:val="0F4761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35">
    <w:name w:val="明显引用 字符"/>
    <w:basedOn w:val="18"/>
    <w:link w:val="34"/>
    <w:qFormat/>
    <w:uiPriority w:val="30"/>
    <w:rPr>
      <w:i/>
      <w:iCs/>
      <w:color w:val="0F4761" w:themeColor="accent1" w:themeShade="BF"/>
    </w:rPr>
  </w:style>
  <w:style w:type="character" w:customStyle="1" w:styleId="36">
    <w:name w:val="Intense Reference"/>
    <w:basedOn w:val="18"/>
    <w:qFormat/>
    <w:uiPriority w:val="32"/>
    <w:rPr>
      <w:b/>
      <w:bCs/>
      <w:smallCaps/>
      <w:color w:val="0F4761" w:themeColor="accent1" w:themeShade="BF"/>
      <w:spacing w:val="5"/>
    </w:rPr>
  </w:style>
  <w:style w:type="character" w:customStyle="1" w:styleId="37">
    <w:name w:val="页眉 字符"/>
    <w:basedOn w:val="18"/>
    <w:link w:val="12"/>
    <w:qFormat/>
    <w:uiPriority w:val="99"/>
    <w:rPr>
      <w:sz w:val="18"/>
      <w:szCs w:val="18"/>
    </w:rPr>
  </w:style>
  <w:style w:type="character" w:customStyle="1" w:styleId="38">
    <w:name w:val="页脚 字符"/>
    <w:basedOn w:val="18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6" Type="http://schemas.openxmlformats.org/officeDocument/2006/relationships/fontTable" Target="fontTable.xml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84</Words>
  <Characters>91</Characters>
  <Lines>3</Lines>
  <Paragraphs>1</Paragraphs>
  <TotalTime>2</TotalTime>
  <ScaleCrop>false</ScaleCrop>
  <LinksUpToDate>false</LinksUpToDate>
  <CharactersWithSpaces>99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2025-09-27T05:18:00Z</dcterms:created>
  <dc:creator>超超 宁</dc:creator>
  <cp:lastModifiedBy>我在阿</cp:lastModifiedBy>
  <dcterms:modified xsi:type="dcterms:W3CDTF">2025-12-16T02:27:28Z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eyJoZGlkIjoiODE5ZjU5NDM2YjE1N2E3M2I4ZDVjYzIxN2NmYTAyNjIiLCJ1c2VySWQiOiI1NDg4ODUxODgifQ==</vt:lpwstr>
  </property>
  <property fmtid="{D5CDD505-2E9C-101B-9397-08002B2CF9AE}" pid="3" name="KSOProductBuildVer">
    <vt:lpwstr>2052-12.1.0.24031</vt:lpwstr>
  </property>
  <property fmtid="{D5CDD505-2E9C-101B-9397-08002B2CF9AE}" pid="4" name="ICV">
    <vt:lpwstr>075DDF1F779D484891A1A4366F638D31_12</vt:lpwstr>
  </property>
</Properties>
</file>