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84FE4">
      <w:pPr>
        <w:ind w:firstLine="0" w:firstLineChars="0"/>
        <w:rPr>
          <w:rFonts w:eastAsia="黑体"/>
          <w:w w:val="98"/>
        </w:rPr>
      </w:pPr>
      <w:bookmarkStart w:id="0" w:name="_GoBack"/>
      <w:bookmarkEnd w:id="0"/>
      <w:r>
        <w:rPr>
          <w:rFonts w:eastAsia="黑体"/>
          <w:w w:val="98"/>
        </w:rPr>
        <w:t>附件</w:t>
      </w:r>
    </w:p>
    <w:p w14:paraId="71652A31">
      <w:pPr>
        <w:ind w:firstLine="617"/>
        <w:rPr>
          <w:w w:val="98"/>
        </w:rPr>
      </w:pPr>
    </w:p>
    <w:p w14:paraId="17356176">
      <w:pPr>
        <w:ind w:firstLine="0" w:firstLineChars="0"/>
        <w:jc w:val="center"/>
        <w:rPr>
          <w:rFonts w:ascii="楷体_GB2312" w:eastAsia="楷体_GB2312"/>
        </w:rPr>
      </w:pPr>
      <w:r>
        <w:rPr>
          <w:rFonts w:hint="eastAsia" w:eastAsia="方正小标宋简体"/>
          <w:sz w:val="44"/>
          <w:szCs w:val="44"/>
        </w:rPr>
        <w:t>2024</w:t>
      </w:r>
      <w:r>
        <w:rPr>
          <w:rFonts w:eastAsia="方正小标宋简体"/>
          <w:sz w:val="44"/>
          <w:szCs w:val="44"/>
        </w:rPr>
        <w:t>年天津市食品安全宣传周活动方案</w:t>
      </w:r>
    </w:p>
    <w:p w14:paraId="46B00E61">
      <w:pPr>
        <w:ind w:firstLine="872"/>
        <w:jc w:val="center"/>
        <w:rPr>
          <w:rFonts w:eastAsia="方正小标宋简体"/>
          <w:sz w:val="44"/>
          <w:szCs w:val="44"/>
        </w:rPr>
      </w:pPr>
    </w:p>
    <w:p w14:paraId="658F3B81">
      <w:pPr>
        <w:snapToGrid w:val="0"/>
        <w:jc w:val="left"/>
      </w:pPr>
      <w:r>
        <w:t>按照《</w:t>
      </w:r>
      <w:r>
        <w:rPr>
          <w:rFonts w:hint="eastAsia"/>
        </w:rPr>
        <w:t>国务院食安办等28部门关于开展2024年全国食品安全宣传周活动的通知</w:t>
      </w:r>
      <w:r>
        <w:t>》（食安办</w:t>
      </w:r>
      <w:r>
        <w:rPr>
          <w:rFonts w:hint="eastAsia"/>
        </w:rPr>
        <w:t>发</w:t>
      </w:r>
      <w:r>
        <w:t>〔2024〕12号）等文件要求，结合天津实际，制定本方案。</w:t>
      </w:r>
    </w:p>
    <w:p w14:paraId="66108BC7">
      <w:pPr>
        <w:snapToGrid w:val="0"/>
        <w:jc w:val="left"/>
        <w:rPr>
          <w:rFonts w:eastAsia="黑体" w:cs="黑体"/>
        </w:rPr>
      </w:pPr>
      <w:r>
        <w:rPr>
          <w:rFonts w:hint="eastAsia" w:eastAsia="黑体" w:cs="黑体"/>
        </w:rPr>
        <w:t>一、宣传周主场活动</w:t>
      </w:r>
    </w:p>
    <w:p w14:paraId="610D9407">
      <w:pPr>
        <w:snapToGrid w:val="0"/>
      </w:pPr>
      <w:r>
        <w:rPr>
          <w:rFonts w:hint="eastAsia"/>
        </w:rPr>
        <w:t>在</w:t>
      </w:r>
      <w:r>
        <w:t>滨海</w:t>
      </w:r>
      <w:r>
        <w:rPr>
          <w:rFonts w:hint="eastAsia"/>
        </w:rPr>
        <w:t>新区举办2024年天津市食品安全宣传周主场活动。</w:t>
      </w:r>
    </w:p>
    <w:p w14:paraId="65910F1D">
      <w:pPr>
        <w:snapToGrid w:val="0"/>
        <w:jc w:val="left"/>
        <w:rPr>
          <w:rFonts w:eastAsia="黑体" w:cs="黑体"/>
        </w:rPr>
      </w:pPr>
      <w:r>
        <w:rPr>
          <w:rFonts w:hint="eastAsia" w:eastAsia="黑体" w:cs="黑体"/>
        </w:rPr>
        <w:t>二、主题宣传活动</w:t>
      </w:r>
    </w:p>
    <w:p w14:paraId="08BB67B8">
      <w:pPr>
        <w:snapToGrid w:val="0"/>
        <w:jc w:val="left"/>
        <w:rPr>
          <w:rFonts w:eastAsia="楷体_GB2312" w:cs="楷体_GB2312"/>
        </w:rPr>
      </w:pPr>
      <w:r>
        <w:rPr>
          <w:rFonts w:hint="eastAsia" w:eastAsia="楷体_GB2312" w:cs="楷体_GB2312"/>
        </w:rPr>
        <w:t>（一）市市场监管委</w:t>
      </w:r>
    </w:p>
    <w:p w14:paraId="0080EEBC">
      <w:pPr>
        <w:snapToGrid w:val="0"/>
        <w:jc w:val="left"/>
      </w:pPr>
      <w:r>
        <w:rPr>
          <w:rFonts w:hint="eastAsia"/>
        </w:rPr>
        <w:t>1.多形式开展《天津市食品安全条例》、《天津市食品生产加工小作坊监督管理办法》、《天津市小餐饮、食品摊贩监督管理办法》、《天津市网络食品交易主体备案和网络餐饮服务食品安全监督管理办法》、《天津市食品经营许可审查细则》宣传培训，督促指导食品生产经营者落实主体责任。</w:t>
      </w:r>
    </w:p>
    <w:p w14:paraId="62F3361D">
      <w:pPr>
        <w:snapToGrid w:val="0"/>
        <w:jc w:val="left"/>
        <w:rPr>
          <w:rFonts w:ascii="仿宋_GB2312"/>
        </w:rPr>
      </w:pPr>
      <w:r>
        <w:t>2.</w:t>
      </w:r>
      <w:r>
        <w:rPr>
          <w:rFonts w:hint="eastAsia" w:ascii="仿宋_GB2312"/>
        </w:rPr>
        <w:t>落实食品安全“两个责任”工作机制</w:t>
      </w:r>
      <w:r>
        <w:t>2.0</w:t>
      </w:r>
      <w:r>
        <w:rPr>
          <w:rFonts w:hint="eastAsia" w:ascii="仿宋_GB2312"/>
        </w:rPr>
        <w:t>版。分层分级组织包保干部全覆盖培训、政策解读。精选各区</w:t>
      </w:r>
      <w:r>
        <w:rPr>
          <w:rFonts w:hint="eastAsia" w:ascii="仿宋_GB2312"/>
          <w:lang w:eastAsia="zh-CN"/>
        </w:rPr>
        <w:t>进一步</w:t>
      </w:r>
      <w:r>
        <w:rPr>
          <w:rFonts w:hint="eastAsia" w:ascii="仿宋_GB2312"/>
        </w:rPr>
        <w:t>优化的督导任务清单</w:t>
      </w:r>
      <w:r>
        <w:rPr>
          <w:rFonts w:hint="eastAsia" w:ascii="仿宋_GB2312"/>
          <w:lang w:eastAsia="zh-CN"/>
        </w:rPr>
        <w:t>，编制形成</w:t>
      </w:r>
      <w:r>
        <w:rPr>
          <w:rFonts w:hint="eastAsia" w:ascii="仿宋_GB2312"/>
        </w:rPr>
        <w:t>典型示例</w:t>
      </w:r>
      <w:r>
        <w:rPr>
          <w:rFonts w:hint="eastAsia" w:ascii="仿宋_GB2312"/>
          <w:lang w:eastAsia="zh-CN"/>
        </w:rPr>
        <w:t>向</w:t>
      </w:r>
      <w:r>
        <w:rPr>
          <w:rFonts w:hint="eastAsia" w:ascii="仿宋_GB2312"/>
        </w:rPr>
        <w:t>全市印发。组织编写《&lt;食品安全风险管控清单&gt;典型示例汇编》，推动企业将“日管控、周排查、月调度”深度嵌入食品安全日常管理中。</w:t>
      </w:r>
    </w:p>
    <w:p w14:paraId="266732ED">
      <w:pPr>
        <w:snapToGrid w:val="0"/>
        <w:jc w:val="left"/>
        <w:rPr>
          <w:rFonts w:ascii="仿宋_GB2312"/>
        </w:rPr>
      </w:pPr>
      <w:r>
        <w:t>3.</w:t>
      </w:r>
      <w:r>
        <w:rPr>
          <w:rFonts w:hint="eastAsia"/>
        </w:rPr>
        <w:t>组织</w:t>
      </w:r>
      <w:r>
        <w:rPr>
          <w:rFonts w:hint="eastAsia" w:ascii="仿宋_GB2312"/>
        </w:rPr>
        <w:t>开展“随机查餐厅”活动。以“红黑榜”形式向社会公示检查结果，引导餐饮服务提供者主动落实食品安全主体责任，有效增强群众参与社会监督的积极性，提升群众食品安全获得感。</w:t>
      </w:r>
    </w:p>
    <w:p w14:paraId="36C3BA6D">
      <w:pPr>
        <w:snapToGrid w:val="0"/>
        <w:jc w:val="left"/>
        <w:rPr>
          <w:rFonts w:ascii="仿宋_GB2312"/>
        </w:rPr>
      </w:pPr>
      <w:r>
        <w:rPr>
          <w:rFonts w:hint="eastAsia"/>
        </w:rPr>
        <w:t>4</w:t>
      </w:r>
      <w:r>
        <w:t>.组织基层食品</w:t>
      </w:r>
      <w:r>
        <w:rPr>
          <w:rFonts w:ascii="仿宋_GB2312"/>
        </w:rPr>
        <w:t>安全监管人员和重点食品生产企业质量管理人员开展食品安全知识培训。</w:t>
      </w:r>
    </w:p>
    <w:p w14:paraId="764907B8">
      <w:pPr>
        <w:snapToGrid w:val="0"/>
        <w:jc w:val="left"/>
      </w:pPr>
      <w:r>
        <w:rPr>
          <w:rFonts w:hint="eastAsia"/>
        </w:rPr>
        <w:t>5</w:t>
      </w:r>
      <w:r>
        <w:t>.加强实施服务企业行动，为食品生产者解难纾困，推</w:t>
      </w:r>
      <w:r>
        <w:rPr>
          <w:rFonts w:hint="eastAsia" w:ascii="仿宋_GB2312"/>
        </w:rPr>
        <w:t>动“千企万坊”帮扶落实</w:t>
      </w:r>
      <w:r>
        <w:t>落地。</w:t>
      </w:r>
    </w:p>
    <w:p w14:paraId="208F6B65">
      <w:pPr>
        <w:snapToGrid w:val="0"/>
        <w:jc w:val="left"/>
        <w:rPr>
          <w:rFonts w:ascii="仿宋_GB2312"/>
        </w:rPr>
      </w:pPr>
      <w:r>
        <w:rPr>
          <w:rFonts w:hint="eastAsia"/>
        </w:rPr>
        <w:t>6.开展第三届天津市食品安全抽检监测技能大比武活动。组</w:t>
      </w:r>
      <w:r>
        <w:rPr>
          <w:rFonts w:hint="eastAsia" w:ascii="仿宋_GB2312"/>
        </w:rPr>
        <w:t>织各区市场监管局、各承检机构开展全员练兵并推选从事且熟悉食品安全抽检相关工作的在职干部和技术人员参加市级比武活动，通过市级培训、层层比赛选拔，择优推荐参加全国比赛，实现以赛促学、以赛促用，营造浓厚业务学习氛围，切实提升各级食品抽检队伍的履职能力和业务水平。</w:t>
      </w:r>
    </w:p>
    <w:p w14:paraId="63F53227">
      <w:pPr>
        <w:snapToGrid w:val="0"/>
        <w:jc w:val="left"/>
        <w:rPr>
          <w:rFonts w:ascii="仿宋_GB2312"/>
        </w:rPr>
      </w:pPr>
      <w:r>
        <w:rPr>
          <w:rFonts w:hint="eastAsia"/>
        </w:rPr>
        <w:t>7</w:t>
      </w:r>
      <w:r>
        <w:t>.</w:t>
      </w:r>
      <w:r>
        <w:rPr>
          <w:rFonts w:hint="eastAsia"/>
        </w:rPr>
        <w:t>开展</w:t>
      </w:r>
      <w:r>
        <w:rPr>
          <w:rFonts w:hint="eastAsia" w:ascii="仿宋_GB2312"/>
        </w:rPr>
        <w:t>“你点我检、服务惠民生”进农村集市活动。采取线上线下相结合，通过天津食安“一网一微”、农村集市发放调查问卷等方式，向消费者征集“你点我检”抽检品种，邀请人大代表、政协委员、消费者代表参与进农村集市活动。</w:t>
      </w:r>
    </w:p>
    <w:p w14:paraId="2EB49BAD">
      <w:pPr>
        <w:snapToGrid w:val="0"/>
        <w:jc w:val="left"/>
        <w:rPr>
          <w:rFonts w:ascii="仿宋_GB2312"/>
        </w:rPr>
      </w:pPr>
      <w:r>
        <w:t>8.</w:t>
      </w:r>
      <w:r>
        <w:rPr>
          <w:rFonts w:hint="eastAsia" w:ascii="仿宋_GB2312"/>
        </w:rPr>
        <w:t>加强</w:t>
      </w:r>
      <w:r>
        <w:rPr>
          <w:rFonts w:ascii="仿宋_GB2312"/>
        </w:rPr>
        <w:t>老年助餐服务机构食品安全</w:t>
      </w:r>
      <w:r>
        <w:rPr>
          <w:rFonts w:hint="eastAsia" w:ascii="仿宋_GB2312"/>
        </w:rPr>
        <w:t>监管</w:t>
      </w:r>
      <w:r>
        <w:rPr>
          <w:rFonts w:ascii="仿宋_GB2312"/>
        </w:rPr>
        <w:t>。</w:t>
      </w:r>
      <w:r>
        <w:rPr>
          <w:rFonts w:hint="eastAsia" w:ascii="仿宋_GB2312"/>
        </w:rPr>
        <w:t>召开</w:t>
      </w:r>
      <w:r>
        <w:rPr>
          <w:rFonts w:ascii="仿宋_GB2312"/>
        </w:rPr>
        <w:t>老年助餐服务机构食品安全</w:t>
      </w:r>
      <w:r>
        <w:rPr>
          <w:rFonts w:hint="eastAsia" w:ascii="仿宋_GB2312"/>
        </w:rPr>
        <w:t>工作推动部署会议，深入</w:t>
      </w:r>
      <w:r>
        <w:rPr>
          <w:rFonts w:ascii="仿宋_GB2312"/>
        </w:rPr>
        <w:t>落实《天津市人民政府办公厅印发关于推进老年人助餐服务工作试行办法的通知》</w:t>
      </w:r>
      <w:r>
        <w:rPr>
          <w:rFonts w:hint="eastAsia" w:ascii="仿宋_GB2312"/>
        </w:rPr>
        <w:t>要求</w:t>
      </w:r>
      <w:r>
        <w:rPr>
          <w:rFonts w:ascii="仿宋_GB2312"/>
        </w:rPr>
        <w:t>，</w:t>
      </w:r>
      <w:r>
        <w:rPr>
          <w:rFonts w:hint="eastAsia" w:ascii="仿宋_GB2312"/>
        </w:rPr>
        <w:t>强化</w:t>
      </w:r>
      <w:r>
        <w:rPr>
          <w:rFonts w:ascii="仿宋_GB2312"/>
        </w:rPr>
        <w:t>老年助餐服务食品安全监管</w:t>
      </w:r>
      <w:r>
        <w:rPr>
          <w:rFonts w:hint="eastAsia" w:ascii="仿宋_GB2312"/>
        </w:rPr>
        <w:t>和工作宣传，</w:t>
      </w:r>
      <w:r>
        <w:rPr>
          <w:rFonts w:ascii="仿宋_GB2312"/>
        </w:rPr>
        <w:t>不断提升老年人获得感和幸福感。</w:t>
      </w:r>
    </w:p>
    <w:p w14:paraId="40E6A479">
      <w:pPr>
        <w:autoSpaceDE w:val="0"/>
        <w:snapToGrid w:val="0"/>
      </w:pPr>
      <w:r>
        <w:t>9.</w:t>
      </w:r>
      <w:r>
        <w:rPr>
          <w:rFonts w:hint="eastAsia" w:ascii="仿宋_GB2312"/>
        </w:rPr>
        <w:t>开展食品安全科普宣传。</w:t>
      </w:r>
      <w:r>
        <w:rPr>
          <w:rFonts w:ascii="仿宋_GB2312"/>
          <w:color w:val="000000"/>
          <w:kern w:val="0"/>
        </w:rPr>
        <w:t>发布</w:t>
      </w:r>
      <w:r>
        <w:rPr>
          <w:rFonts w:hint="eastAsia" w:ascii="仿宋_GB2312"/>
          <w:color w:val="000000"/>
          <w:kern w:val="0"/>
        </w:rPr>
        <w:t>“祥说莹论”</w:t>
      </w:r>
      <w:r>
        <w:rPr>
          <w:rFonts w:ascii="仿宋_GB2312"/>
          <w:color w:val="000000"/>
          <w:kern w:val="0"/>
        </w:rPr>
        <w:t>食品安全科普宣传视频</w:t>
      </w:r>
      <w:r>
        <w:rPr>
          <w:color w:val="000000"/>
          <w:kern w:val="0"/>
        </w:rPr>
        <w:t>，普及食品安全科学知识，引导群众自觉遵法守法，提高科学素养，营造浓厚食品安全社会共治氛围</w:t>
      </w:r>
      <w:r>
        <w:rPr>
          <w:rFonts w:hint="eastAsia"/>
        </w:rPr>
        <w:t>。</w:t>
      </w:r>
    </w:p>
    <w:p w14:paraId="1B58C3D4">
      <w:pPr>
        <w:snapToGrid w:val="0"/>
      </w:pPr>
      <w:r>
        <w:rPr>
          <w:rFonts w:hint="eastAsia"/>
        </w:rPr>
        <w:t>10.召开全市保健食品生产企业《食品安全风险管控清单》宣贯培训会。深入贯彻落实市场监管总局要求，指导保健食品生产企业在最小工作单元精准防控食品安全风险。</w:t>
      </w:r>
    </w:p>
    <w:p w14:paraId="1CBDD5D1">
      <w:pPr>
        <w:snapToGrid w:val="0"/>
        <w:rPr>
          <w:color w:val="0070C0"/>
        </w:rPr>
      </w:pPr>
      <w:r>
        <w:rPr>
          <w:rFonts w:hint="eastAsia"/>
        </w:rPr>
        <w:t>11.开展特殊食品科普宣传。在天津广播电台录制保健食品科普宣传节目，制作特殊医学用途配方食品科普宣传片，转发总局特殊医学用途配方食品公益宣传片。通过科普宣传，增强消费者辨识能力，营造良好特殊食品消费环境，做到科学理性消费</w:t>
      </w:r>
      <w:r>
        <w:rPr>
          <w:rFonts w:hint="eastAsia" w:ascii="仿宋_GB2312"/>
        </w:rPr>
        <w:t>。</w:t>
      </w:r>
    </w:p>
    <w:p w14:paraId="532CF947">
      <w:pPr>
        <w:snapToGrid w:val="0"/>
      </w:pPr>
      <w:r>
        <w:rPr>
          <w:rFonts w:hint="eastAsia"/>
        </w:rPr>
        <w:t>12.印制发放《天津市特殊食品经营合规提示》。通过</w:t>
      </w:r>
      <w:r>
        <w:rPr>
          <w:rFonts w:hint="eastAsia"/>
          <w:spacing w:val="-6"/>
        </w:rPr>
        <w:t>对特殊食品经营许可（备案）主体发放</w:t>
      </w:r>
      <w:r>
        <w:rPr>
          <w:rFonts w:hint="eastAsia"/>
        </w:rPr>
        <w:t>《天津市特殊食品经营合规提示》</w:t>
      </w:r>
      <w:r>
        <w:rPr>
          <w:rFonts w:hint="eastAsia"/>
          <w:spacing w:val="-6"/>
        </w:rPr>
        <w:t>，加强证前指导及咨询服务，降低特殊食品经营风险隐患。</w:t>
      </w:r>
    </w:p>
    <w:p w14:paraId="72DC1965">
      <w:pPr>
        <w:overflowPunct/>
        <w:topLinePunct w:val="0"/>
        <w:snapToGrid w:val="0"/>
        <w:ind w:firstLine="608"/>
        <w:jc w:val="left"/>
        <w:outlineLvl w:val="0"/>
        <w:rPr>
          <w:rFonts w:cs="仿宋_GB2312"/>
          <w:color w:val="000000" w:themeColor="text1"/>
          <w14:textFill>
            <w14:solidFill>
              <w14:schemeClr w14:val="tx1"/>
            </w14:solidFill>
          </w14:textFill>
        </w:rPr>
      </w:pPr>
      <w:r>
        <w:rPr>
          <w:rFonts w:hint="eastAsia"/>
          <w:spacing w:val="-6"/>
        </w:rPr>
        <w:t>13.</w:t>
      </w:r>
      <w:r>
        <w:rPr>
          <w:spacing w:val="-6"/>
        </w:rPr>
        <w:t>组织食品</w:t>
      </w:r>
      <w:r>
        <w:rPr>
          <w:rFonts w:hint="eastAsia"/>
          <w:spacing w:val="-6"/>
        </w:rPr>
        <w:t>药</w:t>
      </w:r>
      <w:r>
        <w:rPr>
          <w:rFonts w:hint="eastAsia"/>
        </w:rPr>
        <w:t>品安全工作综合</w:t>
      </w:r>
      <w:r>
        <w:t>培训</w:t>
      </w:r>
      <w:r>
        <w:rPr>
          <w:rFonts w:hint="eastAsia"/>
        </w:rPr>
        <w:t>班</w:t>
      </w:r>
      <w:r>
        <w:t>。重点学习习近平新时代中国特色社会主义思想</w:t>
      </w:r>
      <w:r>
        <w:rPr>
          <w:rFonts w:hint="eastAsia"/>
        </w:rPr>
        <w:t>、</w:t>
      </w:r>
      <w:r>
        <w:t>党的二十届三中全会会议精神；习近平总书记关于食品安全的重要论述和指示批示精神，党中央国务院关于食品安全工作的决策部署；落实食品安全“两个责任”工作机制</w:t>
      </w:r>
      <w:r>
        <w:rPr>
          <w:rFonts w:hint="eastAsia"/>
        </w:rPr>
        <w:t>以及</w:t>
      </w:r>
      <w:r>
        <w:t>食品安全监督管理工作</w:t>
      </w:r>
      <w:r>
        <w:rPr>
          <w:rFonts w:hint="eastAsia"/>
        </w:rPr>
        <w:t>等</w:t>
      </w:r>
      <w:r>
        <w:t>。</w:t>
      </w:r>
      <w:r>
        <w:rPr>
          <w:rFonts w:hint="eastAsia"/>
        </w:rPr>
        <w:t>提升监管队伍能力素质，提高食品安全监管工作水平</w:t>
      </w:r>
      <w:r>
        <w:t>。</w:t>
      </w:r>
    </w:p>
    <w:p w14:paraId="4D7BA83A">
      <w:pPr>
        <w:overflowPunct/>
        <w:topLinePunct w:val="0"/>
        <w:snapToGrid w:val="0"/>
        <w:jc w:val="left"/>
        <w:outlineLvl w:val="0"/>
        <w:rPr>
          <w:rFonts w:cs="仿宋_GB2312"/>
          <w:color w:val="000000" w:themeColor="text1"/>
          <w14:textFill>
            <w14:solidFill>
              <w14:schemeClr w14:val="tx1"/>
            </w14:solidFill>
          </w14:textFill>
        </w:rPr>
      </w:pPr>
      <w:r>
        <w:rPr>
          <w:rFonts w:cs="仿宋_GB2312"/>
          <w:color w:val="000000" w:themeColor="text1"/>
          <w14:textFill>
            <w14:solidFill>
              <w14:schemeClr w14:val="tx1"/>
            </w14:solidFill>
          </w14:textFill>
        </w:rPr>
        <w:t>1</w:t>
      </w:r>
      <w:r>
        <w:rPr>
          <w:rFonts w:hint="eastAsia" w:cs="仿宋_GB2312"/>
          <w:color w:val="000000" w:themeColor="text1"/>
          <w14:textFill>
            <w14:solidFill>
              <w14:schemeClr w14:val="tx1"/>
            </w14:solidFill>
          </w14:textFill>
        </w:rPr>
        <w:t>4.乡村振兴工作专题宣传。会同市农业农村委开展达标合格农产品亮证展示互动，落实承诺达标合格证制度，强化产地准出市场准入衔接，展示带证农产品“进超市”、“进餐桌”取得的成效。开展新修订《中华人民共和国农产品质量安全法》普法宣传。以“绿色生产 绿色消费 绿色发展”为主题，组织“两品一标”“津农精品”等相关企业现场展销、推介和品鉴绿色优质安全产品。</w:t>
      </w:r>
    </w:p>
    <w:p w14:paraId="2C607868">
      <w:pPr>
        <w:snapToGrid w:val="0"/>
        <w:jc w:val="left"/>
        <w:rPr>
          <w:rFonts w:eastAsia="楷体_GB2312" w:cs="楷体_GB2312"/>
        </w:rPr>
      </w:pPr>
      <w:r>
        <w:rPr>
          <w:rFonts w:hint="eastAsia" w:eastAsia="楷体_GB2312" w:cs="楷体_GB2312"/>
        </w:rPr>
        <w:t>（二）市教委</w:t>
      </w:r>
    </w:p>
    <w:p w14:paraId="6FEC0701">
      <w:pPr>
        <w:snapToGrid w:val="0"/>
      </w:pPr>
      <w:r>
        <w:rPr>
          <w:rFonts w:hint="eastAsia"/>
        </w:rPr>
        <w:t xml:space="preserve">1.全力组织开展学校食品安全排查整改工作。在全市教育系统全面开展自下而上的学校食品安全排查整治行动，严格规范食堂采购、存储、洗消、制售、留样等关键环节的把控流程，强化校外配餐管理，全力保障师生“舌尖上的安全”。 </w:t>
      </w:r>
    </w:p>
    <w:p w14:paraId="50EAD4AF">
      <w:pPr>
        <w:snapToGrid w:val="0"/>
      </w:pPr>
      <w:r>
        <w:rPr>
          <w:rFonts w:hint="eastAsia"/>
        </w:rPr>
        <w:t>2.精心组织开展校园食品安全讲座。诚邀食品安全领域专家举办食品安全讲座。围绕鼓励引导校内办食堂、推动桶餐到班分餐模式、校内热加工点供餐模式、强化校外配餐管理、推行智慧化监管、吸纳学生参与管理以及畅通家校互动等，邀请部分区教育局和学校展开深入研讨。</w:t>
      </w:r>
    </w:p>
    <w:p w14:paraId="1695FCFC">
      <w:pPr>
        <w:snapToGrid w:val="0"/>
      </w:pPr>
      <w:r>
        <w:rPr>
          <w:rFonts w:hint="eastAsia"/>
        </w:rPr>
        <w:t>3.组织专家深入学校普及食品安全知识。各区教育局根据实际情况，邀请膳食营养专家和食品安全专家举办校园专题科普讲座，从健康安全角度普及食品安全常识，传授预防食源性疾病的有效方法，指导师生合理饮食，切实增强学校师生食品安全素养。</w:t>
      </w:r>
    </w:p>
    <w:p w14:paraId="2E988AE4">
      <w:pPr>
        <w:snapToGrid w:val="0"/>
      </w:pPr>
      <w:r>
        <w:rPr>
          <w:rFonts w:hint="eastAsia"/>
        </w:rPr>
        <w:t>4.组织开展校园食品安全知识宣传。组织各高校和区教育主管部门，充分利用微信群、校内通、学校网页、校内公开栏等多种途径，大力宣传食品安全法律法规，倡导厉行节约反对食品浪费的良好习惯。依托学生食堂、宿舍、校内超市等重点场所开展宣传，普及食品安全知识，提升广大师生合理营养膳食理念。</w:t>
      </w:r>
    </w:p>
    <w:p w14:paraId="527994D5">
      <w:pPr>
        <w:snapToGrid w:val="0"/>
      </w:pPr>
      <w:r>
        <w:rPr>
          <w:rFonts w:hint="eastAsia"/>
        </w:rPr>
        <w:t>5.开展</w:t>
      </w:r>
      <w:r>
        <w:rPr>
          <w:rFonts w:hint="eastAsia" w:ascii="仿宋_GB2312"/>
        </w:rPr>
        <w:t>“走进学校食堂活动”</w:t>
      </w:r>
      <w:r>
        <w:rPr>
          <w:rFonts w:hint="eastAsia"/>
        </w:rPr>
        <w:t>。组织配备食堂学校的学生社团、学生代表以及家长走进学校食堂活动，让师生和学生家长近距离了解学校食堂食品加工制作流程、规范要求，实地讲解学校食品安全管理操作规范和风险点把控。</w:t>
      </w:r>
    </w:p>
    <w:p w14:paraId="3C28820A">
      <w:pPr>
        <w:snapToGrid w:val="0"/>
      </w:pPr>
      <w:r>
        <w:rPr>
          <w:rFonts w:hint="eastAsia"/>
        </w:rPr>
        <w:t>6.强化校园食品安全工作宣传报道。充分发挥典型示范引领作用，利用天津教育报、天津教育官方公众号等教育相关媒体，积极宣传全市关于学校食堂管理的典型经验和做法，普及食品安全知识，营造浓厚的宣传氛围。</w:t>
      </w:r>
    </w:p>
    <w:p w14:paraId="75010113">
      <w:pPr>
        <w:snapToGrid w:val="0"/>
        <w:jc w:val="left"/>
        <w:rPr>
          <w:rFonts w:eastAsia="楷体_GB2312" w:cs="楷体_GB2312"/>
        </w:rPr>
      </w:pPr>
      <w:r>
        <w:rPr>
          <w:rFonts w:hint="eastAsia" w:eastAsia="楷体_GB2312" w:cs="楷体_GB2312"/>
        </w:rPr>
        <w:t>（三）市公安局</w:t>
      </w:r>
    </w:p>
    <w:p w14:paraId="06FD9E33">
      <w:pPr>
        <w:snapToGrid w:val="0"/>
      </w:pPr>
      <w:r>
        <w:rPr>
          <w:rFonts w:hint="eastAsia"/>
        </w:rPr>
        <w:t>1.组织公安专场宣传活动。强化公安机关与属地食品安全监督管理部门的协同联动，组织公安机关基层派出所，在公园、广场、居民小区等人群集中场所布置宣传点位，通过设置展板、展牌、标语等方式，宣传食品安全政策法规、展示公安机关打击食品安全犯罪成果，鼓励广大人民群众举报犯罪活动线索，形成协助公安机关打击危害食品安全犯罪合力。</w:t>
      </w:r>
    </w:p>
    <w:p w14:paraId="32CF507E">
      <w:pPr>
        <w:snapToGrid w:val="0"/>
      </w:pPr>
      <w:r>
        <w:rPr>
          <w:rFonts w:hint="eastAsia"/>
        </w:rPr>
        <w:t>2.组织开展集中销毁活动。市公安局环食药保卫总队组织将本年度查获收缴的一批假烟、假酒、假冒伪劣食品等集中统一销毁，充分展示天津公安机关打击食品犯罪的决心，提高广大人民群众参与打击危害食品安全犯罪的积极性。</w:t>
      </w:r>
    </w:p>
    <w:p w14:paraId="09064D10">
      <w:pPr>
        <w:snapToGrid w:val="0"/>
      </w:pPr>
      <w:r>
        <w:rPr>
          <w:rFonts w:hint="eastAsia"/>
        </w:rPr>
        <w:t>3.集中曝光一批典型案例。结合公安部“昆仑2024”、“严厉打击肉类产品违法犯罪”等专项行动部署安排，会同相关行政主管部门，坚决捣毁制售有毒有害的“黑工厂”“黑作坊”“黑窝点”“黑市场”。通过天津电视台、政法报等各种新闻媒介平台集中曝光一批典型案例，有力震慑食品安全违法犯罪行为。</w:t>
      </w:r>
    </w:p>
    <w:p w14:paraId="3E614346">
      <w:pPr>
        <w:snapToGrid w:val="0"/>
      </w:pPr>
      <w:r>
        <w:rPr>
          <w:rFonts w:hint="eastAsia"/>
        </w:rPr>
        <w:t>4.开展食品安全进街道、进社区活动。宣传法律法规及食品选购技巧以及产品标识说明，增强群众对食品安全法律法规标准的认知能力；展示不合格和假冒食品</w:t>
      </w:r>
      <w:r>
        <w:rPr>
          <w:rFonts w:hint="eastAsia" w:ascii="仿宋_GB2312"/>
        </w:rPr>
        <w:t>,</w:t>
      </w:r>
      <w:r>
        <w:rPr>
          <w:rFonts w:hint="eastAsia"/>
        </w:rPr>
        <w:t>发放食品安全宣传材料、宣传品，提升消费者识假辨假能力和自我保护意识。</w:t>
      </w:r>
    </w:p>
    <w:p w14:paraId="6D3EB43B">
      <w:pPr>
        <w:snapToGrid w:val="0"/>
      </w:pPr>
      <w:r>
        <w:rPr>
          <w:rFonts w:hint="eastAsia"/>
        </w:rPr>
        <w:t>5.组织开展食品打假研讨会。建立完善警企协作打假机制，会同有关企业、协会组织举办食品打假研讨会，凝聚社会共识，提升社会治理效能。</w:t>
      </w:r>
    </w:p>
    <w:p w14:paraId="3004B4AE">
      <w:pPr>
        <w:snapToGrid w:val="0"/>
        <w:jc w:val="left"/>
        <w:rPr>
          <w:rFonts w:eastAsia="楷体_GB2312" w:cs="楷体_GB2312"/>
        </w:rPr>
      </w:pPr>
      <w:r>
        <w:rPr>
          <w:rFonts w:hint="eastAsia" w:eastAsia="楷体_GB2312" w:cs="楷体_GB2312"/>
        </w:rPr>
        <w:t>（四）市农业农村委</w:t>
      </w:r>
    </w:p>
    <w:p w14:paraId="5239AEBC">
      <w:pPr>
        <w:snapToGrid w:val="0"/>
        <w:jc w:val="left"/>
        <w:rPr>
          <w:rFonts w:cs="仿宋_GB2312"/>
        </w:rPr>
      </w:pPr>
      <w:r>
        <w:rPr>
          <w:rFonts w:hint="eastAsia" w:cs="仿宋_GB2312"/>
        </w:rPr>
        <w:t>1.开展食用农产品安全宣传推广活动。播放“天津农安、砥砺前行”农产品质量安全宣传片、绿色优质农产品科普宣传动画，组织专家咨询、张贴海报标语、印发明白纸等，普及农产品质量安全知识、监管措施和法律法规，提升公众安全意识和判断能力。</w:t>
      </w:r>
    </w:p>
    <w:p w14:paraId="5A915611">
      <w:pPr>
        <w:snapToGrid w:val="0"/>
        <w:jc w:val="left"/>
        <w:rPr>
          <w:rFonts w:cs="仿宋_GB2312"/>
        </w:rPr>
      </w:pPr>
      <w:r>
        <w:rPr>
          <w:rFonts w:hint="eastAsia" w:cs="仿宋_GB2312"/>
        </w:rPr>
        <w:t>2.开办农产品质量安全普及专栏。在市农业农村委官网开辟农产品质量安全板块，围绕农产品质量安全基本常识、质量鉴别与安全选购方法、消费维权知识等重点内容，普及农产品质量安全常识，提高公众认知度，推进农产品质量安全“共治共享”。</w:t>
      </w:r>
    </w:p>
    <w:p w14:paraId="2F82BA2A">
      <w:pPr>
        <w:snapToGrid w:val="0"/>
        <w:jc w:val="left"/>
        <w:rPr>
          <w:rFonts w:cs="仿宋_GB2312"/>
        </w:rPr>
      </w:pPr>
      <w:r>
        <w:rPr>
          <w:rFonts w:hint="eastAsia" w:cs="仿宋_GB2312"/>
        </w:rPr>
        <w:t>3.开展专题教育培训活动。适时组织开展农产品安全专题培训，进一步提升农产品安全监管能力水平。动员、指导农产品企业组织开展农产品安全宣传。督促食品企业及从业者，严格落实主体责任，开展农产品安全法律法规、业务技能、警示教育等多种形式的宣传培训，推进农产品安全管理工作。  　</w:t>
      </w:r>
    </w:p>
    <w:p w14:paraId="1B6CF6AB">
      <w:pPr>
        <w:snapToGrid w:val="0"/>
        <w:jc w:val="left"/>
        <w:rPr>
          <w:rFonts w:cs="仿宋_GB2312"/>
        </w:rPr>
      </w:pPr>
      <w:r>
        <w:rPr>
          <w:rFonts w:hint="eastAsia" w:cs="仿宋_GB2312"/>
        </w:rPr>
        <w:t>4.组织绿色食品（绿色优质农产品）展销活动。组织2024年天津市绿色食品（绿色优质农产品）宣传月启动仪式暨展示展销活动，持续推进绿色优质农产品宣传力度，扩大绿色优质农产品品牌影响力。组织我市农业精品品牌小站稻及名特优新农产品茶淀玫瑰香葡萄、宝坻韭菜等名特优新获证企业参加全国名特优新农产品产销对接活动，展示天津市绿色、有机等优质农产品发展成果，扩大天津绿色优质农产品品牌影响力和知名度。</w:t>
      </w:r>
    </w:p>
    <w:p w14:paraId="545DDE8F">
      <w:pPr>
        <w:snapToGrid w:val="0"/>
        <w:jc w:val="left"/>
        <w:rPr>
          <w:rFonts w:cs="仿宋_GB2312"/>
        </w:rPr>
      </w:pPr>
      <w:r>
        <w:rPr>
          <w:rFonts w:hint="eastAsia" w:cs="仿宋_GB2312"/>
        </w:rPr>
        <w:t>5.推动农产品安全宣传“五进”活动。组织绿色优质农产品进超市、进社区、进校园、绿色食品生产操作规程（绿色食品绿色防控技术）进企入户、进相关农产品展销会等多层次、多形式、多角度地线上线下宣传。组织开展针对青少年群体特点的食品安全科普宣教活动，激发广大青少年学生参与热情，带动家庭成员和全社会树立共同责任意识与科学观念。</w:t>
      </w:r>
    </w:p>
    <w:p w14:paraId="789FF850">
      <w:pPr>
        <w:snapToGrid w:val="0"/>
        <w:jc w:val="left"/>
        <w:rPr>
          <w:rFonts w:eastAsia="楷体_GB2312" w:cs="楷体_GB2312"/>
        </w:rPr>
      </w:pPr>
      <w:r>
        <w:rPr>
          <w:rFonts w:hint="eastAsia" w:eastAsia="楷体_GB2312" w:cs="楷体_GB2312"/>
        </w:rPr>
        <w:t>（五）市卫生健康委</w:t>
      </w:r>
    </w:p>
    <w:p w14:paraId="4D85B840">
      <w:pPr>
        <w:snapToGrid w:val="0"/>
        <w:jc w:val="left"/>
        <w:rPr>
          <w:rFonts w:cs="仿宋_GB2312"/>
        </w:rPr>
      </w:pPr>
      <w:r>
        <w:rPr>
          <w:rFonts w:hint="eastAsia" w:cs="仿宋_GB2312"/>
        </w:rPr>
        <w:t>1.</w:t>
      </w:r>
      <w:r>
        <w:rPr>
          <w:rFonts w:cs="仿宋_GB2312"/>
        </w:rPr>
        <w:t>做好食品安全风险提示</w:t>
      </w:r>
      <w:r>
        <w:rPr>
          <w:rFonts w:hint="eastAsia" w:cs="仿宋_GB2312"/>
        </w:rPr>
        <w:t>。</w:t>
      </w:r>
      <w:r>
        <w:rPr>
          <w:rFonts w:cs="仿宋_GB2312"/>
        </w:rPr>
        <w:t>利用微信公众号等社交媒体开展大众宣传，在节假日、开学季等时间节点结合风俗习惯和饮食特点及时发布风险提示，做好食源性疾病监测，关注食源性疾病暴发事件相关信息。</w:t>
      </w:r>
    </w:p>
    <w:p w14:paraId="49DAD963">
      <w:pPr>
        <w:snapToGrid w:val="0"/>
        <w:jc w:val="left"/>
        <w:rPr>
          <w:rFonts w:cs="仿宋_GB2312"/>
        </w:rPr>
      </w:pPr>
      <w:r>
        <w:rPr>
          <w:rFonts w:hint="eastAsia" w:cs="仿宋_GB2312"/>
        </w:rPr>
        <w:t>2.</w:t>
      </w:r>
      <w:r>
        <w:rPr>
          <w:rFonts w:cs="仿宋_GB2312"/>
        </w:rPr>
        <w:t>线上开展食品安全知识科普</w:t>
      </w:r>
      <w:r>
        <w:rPr>
          <w:rFonts w:hint="eastAsia" w:cs="仿宋_GB2312"/>
        </w:rPr>
        <w:t>。</w:t>
      </w:r>
      <w:r>
        <w:rPr>
          <w:rFonts w:cs="仿宋_GB2312"/>
        </w:rPr>
        <w:t>利用电视台、电台、融媒体等资源，开展食品安全与应用科普知识直播讲座，</w:t>
      </w:r>
      <w:r>
        <w:rPr>
          <w:rFonts w:hint="eastAsia" w:cs="仿宋_GB2312"/>
        </w:rPr>
        <w:t>制作和展播</w:t>
      </w:r>
      <w:r>
        <w:rPr>
          <w:rFonts w:cs="仿宋_GB2312"/>
        </w:rPr>
        <w:t>食品安全科普视频，提高居民对食源性疾病预防、食品添加剂等食品安全</w:t>
      </w:r>
      <w:r>
        <w:rPr>
          <w:rFonts w:hint="eastAsia" w:cs="仿宋_GB2312"/>
        </w:rPr>
        <w:t>知识水平</w:t>
      </w:r>
      <w:r>
        <w:rPr>
          <w:rFonts w:cs="仿宋_GB2312"/>
        </w:rPr>
        <w:t>。</w:t>
      </w:r>
    </w:p>
    <w:p w14:paraId="2294DEFB">
      <w:pPr>
        <w:snapToGrid w:val="0"/>
        <w:jc w:val="left"/>
        <w:rPr>
          <w:rFonts w:cs="仿宋_GB2312"/>
        </w:rPr>
      </w:pPr>
      <w:r>
        <w:rPr>
          <w:rFonts w:hint="eastAsia" w:cs="仿宋_GB2312"/>
        </w:rPr>
        <w:t>3.</w:t>
      </w:r>
      <w:r>
        <w:rPr>
          <w:rFonts w:cs="仿宋_GB2312"/>
        </w:rPr>
        <w:t>营造营养健康环境</w:t>
      </w:r>
      <w:r>
        <w:rPr>
          <w:rFonts w:hint="eastAsia" w:cs="仿宋_GB2312"/>
        </w:rPr>
        <w:t>。</w:t>
      </w:r>
      <w:r>
        <w:rPr>
          <w:rFonts w:cs="仿宋_GB2312"/>
        </w:rPr>
        <w:t>结合营养健康餐厅、食堂建设及</w:t>
      </w:r>
      <w:r>
        <w:rPr>
          <w:rFonts w:hint="eastAsia" w:ascii="仿宋_GB2312" w:cs="仿宋_GB2312"/>
        </w:rPr>
        <w:t>“体重管理年”</w:t>
      </w:r>
      <w:r>
        <w:rPr>
          <w:rFonts w:cs="仿宋_GB2312"/>
        </w:rPr>
        <w:t>活动，加强慢性病食养指南宣贯，倡导杜绝浪费、合理膳食、减油增豆加奶理念，鼓励提供</w:t>
      </w:r>
      <w:r>
        <w:rPr>
          <w:rFonts w:hint="eastAsia" w:ascii="仿宋_GB2312" w:cs="仿宋_GB2312"/>
        </w:rPr>
        <w:t>“低盐、低脂”</w:t>
      </w:r>
      <w:r>
        <w:rPr>
          <w:rFonts w:cs="仿宋_GB2312"/>
        </w:rPr>
        <w:t>等健康菜品，引导公众</w:t>
      </w:r>
      <w:r>
        <w:rPr>
          <w:rFonts w:hint="eastAsia" w:cs="仿宋_GB2312"/>
        </w:rPr>
        <w:t>科学</w:t>
      </w:r>
      <w:r>
        <w:rPr>
          <w:rFonts w:cs="仿宋_GB2312"/>
        </w:rPr>
        <w:t>合理选择食物。</w:t>
      </w:r>
    </w:p>
    <w:p w14:paraId="7C52CAA2">
      <w:pPr>
        <w:snapToGrid w:val="0"/>
        <w:jc w:val="left"/>
        <w:rPr>
          <w:rFonts w:cs="仿宋_GB2312"/>
        </w:rPr>
      </w:pPr>
      <w:r>
        <w:rPr>
          <w:rFonts w:hint="eastAsia" w:cs="仿宋_GB2312"/>
        </w:rPr>
        <w:t>4.</w:t>
      </w:r>
      <w:r>
        <w:rPr>
          <w:rFonts w:cs="仿宋_GB2312"/>
        </w:rPr>
        <w:t>线下深入基层开展宣传活动</w:t>
      </w:r>
      <w:r>
        <w:rPr>
          <w:rFonts w:hint="eastAsia" w:cs="仿宋_GB2312"/>
        </w:rPr>
        <w:t>。</w:t>
      </w:r>
      <w:r>
        <w:rPr>
          <w:rFonts w:cs="仿宋_GB2312"/>
        </w:rPr>
        <w:t>举办食品安全大讲堂、健康大巴等线下活动，设计制作宣传手册，深入学校、社区、养老机构等</w:t>
      </w:r>
      <w:r>
        <w:rPr>
          <w:rFonts w:hint="eastAsia" w:cs="仿宋_GB2312"/>
        </w:rPr>
        <w:t>重点</w:t>
      </w:r>
      <w:r>
        <w:rPr>
          <w:rFonts w:cs="仿宋_GB2312"/>
        </w:rPr>
        <w:t>场所有针对性地开展科普讲座，通过“面对面”讲解提升</w:t>
      </w:r>
      <w:r>
        <w:rPr>
          <w:rFonts w:hint="eastAsia" w:cs="仿宋_GB2312"/>
        </w:rPr>
        <w:t>广大群众</w:t>
      </w:r>
      <w:r>
        <w:rPr>
          <w:rFonts w:cs="仿宋_GB2312"/>
        </w:rPr>
        <w:t>对食品安全与营养健康知识认知水平。</w:t>
      </w:r>
    </w:p>
    <w:p w14:paraId="2FF441F2">
      <w:pPr>
        <w:snapToGrid w:val="0"/>
        <w:jc w:val="left"/>
        <w:rPr>
          <w:rFonts w:cs="仿宋_GB2312"/>
        </w:rPr>
      </w:pPr>
      <w:r>
        <w:rPr>
          <w:rFonts w:hint="eastAsia" w:cs="仿宋_GB2312"/>
        </w:rPr>
        <w:t>5.</w:t>
      </w:r>
      <w:r>
        <w:rPr>
          <w:rFonts w:cs="仿宋_GB2312"/>
        </w:rPr>
        <w:t>加强食品安全标准宣贯</w:t>
      </w:r>
      <w:r>
        <w:rPr>
          <w:rFonts w:hint="eastAsia" w:cs="仿宋_GB2312"/>
        </w:rPr>
        <w:t>。</w:t>
      </w:r>
      <w:r>
        <w:rPr>
          <w:rFonts w:cs="仿宋_GB2312"/>
        </w:rPr>
        <w:t>结合食品安全标准跟踪评价工作，聚焦重点食品安全国家标准及地方标准开展宣贯，同时做好标准解释、咨询工作。</w:t>
      </w:r>
    </w:p>
    <w:p w14:paraId="742DF114">
      <w:pPr>
        <w:snapToGrid w:val="0"/>
        <w:jc w:val="left"/>
        <w:rPr>
          <w:rFonts w:eastAsia="楷体_GB2312" w:cs="楷体_GB2312"/>
          <w:color w:val="FF0000"/>
        </w:rPr>
      </w:pPr>
      <w:r>
        <w:rPr>
          <w:rFonts w:hint="eastAsia" w:eastAsia="楷体_GB2312" w:cs="楷体_GB2312"/>
        </w:rPr>
        <w:t>（六）天津海关</w:t>
      </w:r>
    </w:p>
    <w:p w14:paraId="3481BC18">
      <w:pPr>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topLinePunct w:val="0"/>
        <w:snapToGrid w:val="0"/>
        <w:rPr>
          <w:color w:val="000000"/>
        </w:rPr>
      </w:pPr>
      <w:r>
        <w:rPr>
          <w:rFonts w:hint="eastAsia"/>
          <w:color w:val="000000"/>
        </w:rPr>
        <w:t>1.利用各类新媒体平台开展宣传活动。充分利用海关和社会各类新媒体平台，例如微信公众号、微博、抖音短视频等新媒体资源，结合实际生活案例开展宣传，形成互动式传播态势，提升公众对食品安全的关注度。</w:t>
      </w:r>
    </w:p>
    <w:p w14:paraId="7EC56464">
      <w:pPr>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topLinePunct w:val="0"/>
        <w:snapToGrid w:val="0"/>
        <w:rPr>
          <w:color w:val="000000"/>
        </w:rPr>
      </w:pPr>
      <w:r>
        <w:rPr>
          <w:rFonts w:hint="eastAsia"/>
          <w:color w:val="000000"/>
        </w:rPr>
        <w:t>2.开展“食品安全口岸行”活动。通过开展食品安全宣讲“驻企业”、“进校园”、“在社区”等活动，监管人员与企业、师生、社区居民现场互动，发放科普读物，张贴海报标语、解答公众关切的食品安全问题等多种方式，</w:t>
      </w:r>
      <w:r>
        <w:rPr>
          <w:color w:val="000000"/>
        </w:rPr>
        <w:t>强化企业主体责任意识</w:t>
      </w:r>
      <w:r>
        <w:rPr>
          <w:rFonts w:hint="eastAsia"/>
          <w:color w:val="000000"/>
        </w:rPr>
        <w:t>，提升公众参与意识，营造良好食品安全氛围。</w:t>
      </w:r>
    </w:p>
    <w:p w14:paraId="295050B4">
      <w:pPr>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topLinePunct w:val="0"/>
        <w:snapToGrid w:val="0"/>
        <w:rPr>
          <w:color w:val="000000"/>
        </w:rPr>
      </w:pPr>
      <w:r>
        <w:rPr>
          <w:rFonts w:hint="eastAsia"/>
          <w:color w:val="000000"/>
        </w:rPr>
        <w:t>3.</w:t>
      </w:r>
      <w:r>
        <w:rPr>
          <w:color w:val="000000"/>
        </w:rPr>
        <w:t>组织召开天津海关</w:t>
      </w:r>
      <w:r>
        <w:rPr>
          <w:rFonts w:hint="eastAsia"/>
          <w:color w:val="000000"/>
        </w:rPr>
        <w:t>“</w:t>
      </w:r>
      <w:r>
        <w:rPr>
          <w:color w:val="000000"/>
        </w:rPr>
        <w:t>食品安全宣传周</w:t>
      </w:r>
      <w:r>
        <w:rPr>
          <w:rFonts w:hint="eastAsia"/>
          <w:color w:val="000000"/>
        </w:rPr>
        <w:t>”</w:t>
      </w:r>
      <w:r>
        <w:rPr>
          <w:color w:val="000000"/>
        </w:rPr>
        <w:t>新闻发布会。向社会公众介绍天津海关</w:t>
      </w:r>
      <w:r>
        <w:rPr>
          <w:rFonts w:hint="eastAsia"/>
          <w:color w:val="000000"/>
        </w:rPr>
        <w:t>进出口食品安全监管工作情况和</w:t>
      </w:r>
      <w:r>
        <w:rPr>
          <w:color w:val="000000"/>
        </w:rPr>
        <w:t>天津海关近期在食品安全监管方面的亮点和</w:t>
      </w:r>
      <w:r>
        <w:rPr>
          <w:rFonts w:hint="eastAsia"/>
          <w:color w:val="000000"/>
        </w:rPr>
        <w:t>成效。</w:t>
      </w:r>
    </w:p>
    <w:p w14:paraId="4BE5C81A">
      <w:pPr>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topLinePunct w:val="0"/>
        <w:snapToGrid w:val="0"/>
        <w:rPr>
          <w:color w:val="000000"/>
        </w:rPr>
      </w:pPr>
      <w:r>
        <w:rPr>
          <w:rFonts w:hint="eastAsia"/>
          <w:color w:val="000000"/>
        </w:rPr>
        <w:t>4.</w:t>
      </w:r>
      <w:r>
        <w:rPr>
          <w:color w:val="000000"/>
        </w:rPr>
        <w:t>走进</w:t>
      </w:r>
      <w:r>
        <w:rPr>
          <w:rFonts w:hint="eastAsia"/>
          <w:color w:val="000000"/>
        </w:rPr>
        <w:t>中国天津S</w:t>
      </w:r>
      <w:r>
        <w:rPr>
          <w:color w:val="000000"/>
        </w:rPr>
        <w:t>OS</w:t>
      </w:r>
      <w:r>
        <w:rPr>
          <w:rFonts w:hint="eastAsia"/>
          <w:color w:val="000000"/>
        </w:rPr>
        <w:t>儿童村、滨海新区健阳养老院活动。宣传海关食品安全相关工作。落实《中华人民共和国反食品浪费法》的具体举措，开展</w:t>
      </w:r>
      <w:r>
        <w:rPr>
          <w:color w:val="000000"/>
        </w:rPr>
        <w:t>抽检合格备份样品</w:t>
      </w:r>
      <w:r>
        <w:rPr>
          <w:rFonts w:hint="eastAsia"/>
          <w:color w:val="000000"/>
        </w:rPr>
        <w:t>捐赠活动。</w:t>
      </w:r>
    </w:p>
    <w:p w14:paraId="7575F559">
      <w:pPr>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topLinePunct w:val="0"/>
        <w:snapToGrid w:val="0"/>
        <w:rPr>
          <w:color w:val="000000"/>
        </w:rPr>
      </w:pPr>
      <w:r>
        <w:rPr>
          <w:rFonts w:hint="eastAsia"/>
          <w:color w:val="000000"/>
        </w:rPr>
        <w:t>5.积极参与所在地政府主办的食品安全宣传活动，开展具有特色、形式多样的食品安全宣传活动。</w:t>
      </w:r>
    </w:p>
    <w:p w14:paraId="6D458F13">
      <w:pPr>
        <w:snapToGrid w:val="0"/>
        <w:jc w:val="left"/>
        <w:rPr>
          <w:rFonts w:eastAsia="楷体_GB2312" w:cs="楷体_GB2312"/>
          <w:color w:val="000000" w:themeColor="text1"/>
          <w14:textFill>
            <w14:solidFill>
              <w14:schemeClr w14:val="tx1"/>
            </w14:solidFill>
          </w14:textFill>
        </w:rPr>
      </w:pPr>
      <w:r>
        <w:rPr>
          <w:rFonts w:hint="eastAsia" w:eastAsia="楷体_GB2312" w:cs="楷体_GB2312"/>
          <w:color w:val="000000" w:themeColor="text1"/>
          <w14:textFill>
            <w14:solidFill>
              <w14:schemeClr w14:val="tx1"/>
            </w14:solidFill>
          </w14:textFill>
        </w:rPr>
        <w:t>（七）市工业和信息化局</w:t>
      </w:r>
    </w:p>
    <w:p w14:paraId="603B4E51">
      <w:pPr>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topLinePunct w:val="0"/>
        <w:snapToGrid w:val="0"/>
        <w:rPr>
          <w:color w:val="000000"/>
        </w:rPr>
      </w:pPr>
      <w:r>
        <w:rPr>
          <w:rFonts w:hint="eastAsia"/>
          <w:color w:val="000000"/>
        </w:rPr>
        <w:t>1.通过座谈交流、现场指导等多种形式，组织汉沽盐场、中盐芦等盐业企业开展食品安全宣贯活动。食盐生产企业严格</w:t>
      </w:r>
      <w:r>
        <w:rPr>
          <w:rFonts w:hint="eastAsia" w:ascii="仿宋_GB2312" w:hAnsi="仿宋_GB2312" w:cs="仿宋_GB2312"/>
        </w:rPr>
        <w:t>落实食品安全主体责任，依法依规经营，保证食品安全。同时</w:t>
      </w:r>
      <w:r>
        <w:rPr>
          <w:rFonts w:hint="eastAsia"/>
          <w:color w:val="000000"/>
        </w:rPr>
        <w:t>加强食盐电子追溯体系建设，实现追溯数据常态化有效上传，保障我市食盐市场秩序，让市民吃好盐、吃放心盐。</w:t>
      </w:r>
    </w:p>
    <w:p w14:paraId="65A032FF">
      <w:pPr>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topLinePunct w:val="0"/>
        <w:snapToGrid w:val="0"/>
        <w:rPr>
          <w:color w:val="000000"/>
        </w:rPr>
      </w:pPr>
      <w:r>
        <w:rPr>
          <w:rFonts w:hint="eastAsia"/>
          <w:color w:val="000000"/>
        </w:rPr>
        <w:t>2.积极推动食品工业企业诚信体系建设。各区工业和信息化主管部门组织本行政区域内规模以上食品工业企业开展诚信管理体系培训，深入贯彻</w:t>
      </w:r>
      <w:r>
        <w:rPr>
          <w:color w:val="000000"/>
        </w:rPr>
        <w:t>习近平总书记关于食品安全系列重要论述和重要指示批示精神</w:t>
      </w:r>
      <w:r>
        <w:rPr>
          <w:rFonts w:hint="eastAsia"/>
          <w:color w:val="000000"/>
        </w:rPr>
        <w:t>，提高培训数量比例，扩大培训范围，增强企业食品安全意识，压实企业主体责任。</w:t>
      </w:r>
    </w:p>
    <w:p w14:paraId="5EC7C2EF">
      <w:pPr>
        <w:snapToGrid w:val="0"/>
        <w:jc w:val="left"/>
        <w:rPr>
          <w:rFonts w:eastAsia="楷体_GB2312" w:cs="楷体_GB2312"/>
        </w:rPr>
      </w:pPr>
      <w:r>
        <w:rPr>
          <w:rFonts w:hint="eastAsia" w:eastAsia="楷体_GB2312" w:cs="楷体_GB2312"/>
        </w:rPr>
        <w:t>（八）市民政局</w:t>
      </w:r>
    </w:p>
    <w:p w14:paraId="38E3B758">
      <w:pPr>
        <w:snapToGrid w:val="0"/>
        <w:jc w:val="left"/>
        <w:rPr>
          <w:bCs/>
        </w:rPr>
      </w:pPr>
      <w:r>
        <w:rPr>
          <w:rFonts w:hint="eastAsia" w:cs="仿宋_GB2312"/>
          <w:shd w:val="clear" w:color="auto" w:fill="FFFFFF"/>
        </w:rPr>
        <w:t>开</w:t>
      </w:r>
      <w:r>
        <w:rPr>
          <w:rFonts w:hint="eastAsia"/>
          <w:bCs/>
        </w:rPr>
        <w:t>展“食品安全进机构”宣传活动。组织天津市养老机构协会、养老服务促进会分别深入养老机构、日间照料中心，通过发放宣传资料、悬挂横幅等方式进行食品安全知识宣讲，掌握食物中毒预防与应急处理常识。</w:t>
      </w:r>
    </w:p>
    <w:p w14:paraId="68C5E212">
      <w:pPr>
        <w:snapToGrid w:val="0"/>
        <w:jc w:val="left"/>
        <w:rPr>
          <w:rFonts w:eastAsia="楷体_GB2312" w:cs="楷体_GB2312"/>
        </w:rPr>
      </w:pPr>
      <w:r>
        <w:rPr>
          <w:rFonts w:hint="eastAsia" w:eastAsia="楷体_GB2312" w:cs="楷体_GB2312"/>
        </w:rPr>
        <w:t>（九）市司法局</w:t>
      </w:r>
    </w:p>
    <w:p w14:paraId="54EFAF00">
      <w:pPr>
        <w:snapToGrid w:val="0"/>
        <w:rPr>
          <w:bCs/>
        </w:rPr>
      </w:pPr>
      <w:r>
        <w:rPr>
          <w:rFonts w:hint="eastAsia"/>
          <w:bCs/>
        </w:rPr>
        <w:t>1.</w:t>
      </w:r>
      <w:r>
        <w:rPr>
          <w:bCs/>
        </w:rPr>
        <w:t>利用办证大厅</w:t>
      </w:r>
      <w:r>
        <w:rPr>
          <w:rFonts w:hint="eastAsia"/>
          <w:bCs/>
        </w:rPr>
        <w:t>等场所突出食品安全警示标语、口号宣传，传播科学的食品安全理念。</w:t>
      </w:r>
    </w:p>
    <w:p w14:paraId="4A89B5BF">
      <w:pPr>
        <w:snapToGrid w:val="0"/>
      </w:pPr>
      <w:r>
        <w:rPr>
          <w:rFonts w:hint="eastAsia"/>
        </w:rPr>
        <w:t>2.</w:t>
      </w:r>
      <w:r>
        <w:t>设置法律服务咨询台、利用新媒体等多种方式，向群众普及</w:t>
      </w:r>
      <w:r>
        <w:rPr>
          <w:rFonts w:hint="eastAsia"/>
        </w:rPr>
        <w:t>食品安全</w:t>
      </w:r>
      <w:r>
        <w:t>常识。</w:t>
      </w:r>
    </w:p>
    <w:p w14:paraId="47047C44">
      <w:pPr>
        <w:snapToGrid w:val="0"/>
        <w:jc w:val="left"/>
        <w:rPr>
          <w:rFonts w:cs="仿宋_GB2312"/>
          <w:color w:val="FF0000"/>
        </w:rPr>
      </w:pPr>
      <w:r>
        <w:rPr>
          <w:rFonts w:hint="eastAsia"/>
          <w:bCs/>
        </w:rPr>
        <w:t>3.积极开展</w:t>
      </w:r>
      <w:r>
        <w:rPr>
          <w:bCs/>
        </w:rPr>
        <w:t>进社区、进街道</w:t>
      </w:r>
      <w:r>
        <w:rPr>
          <w:rFonts w:hint="eastAsia"/>
          <w:bCs/>
        </w:rPr>
        <w:t>食品安全知识宣传</w:t>
      </w:r>
      <w:r>
        <w:rPr>
          <w:bCs/>
        </w:rPr>
        <w:t>。</w:t>
      </w:r>
    </w:p>
    <w:p w14:paraId="2F43F577">
      <w:pPr>
        <w:snapToGrid w:val="0"/>
        <w:jc w:val="left"/>
        <w:rPr>
          <w:rFonts w:eastAsia="楷体_GB2312" w:cs="楷体_GB2312"/>
        </w:rPr>
      </w:pPr>
      <w:r>
        <w:rPr>
          <w:rFonts w:hint="eastAsia" w:eastAsia="楷体_GB2312" w:cs="楷体_GB2312"/>
        </w:rPr>
        <w:t>（十）市规划资源局</w:t>
      </w:r>
    </w:p>
    <w:p w14:paraId="65CEF903">
      <w:pPr>
        <w:snapToGrid w:val="0"/>
        <w:rPr>
          <w:bCs/>
        </w:rPr>
      </w:pPr>
      <w:r>
        <w:rPr>
          <w:rFonts w:hint="eastAsia"/>
          <w:bCs/>
        </w:rPr>
        <w:t>1.开展食品安全宣传。组织相关人员参观食品乳品监测中心实验室，现场参与监测，学习监测知识。</w:t>
      </w:r>
      <w:r>
        <w:rPr>
          <w:bCs/>
        </w:rPr>
        <w:t>利用办证大厅</w:t>
      </w:r>
      <w:r>
        <w:rPr>
          <w:rFonts w:hint="eastAsia"/>
          <w:bCs/>
        </w:rPr>
        <w:t>等场所突出食品安全警示标语、口号宣传，传播科学的食品安全理念。</w:t>
      </w:r>
    </w:p>
    <w:p w14:paraId="0AEF6B0E">
      <w:pPr>
        <w:snapToGrid w:val="0"/>
        <w:rPr>
          <w:bCs/>
        </w:rPr>
      </w:pPr>
      <w:r>
        <w:rPr>
          <w:rFonts w:hint="eastAsia"/>
          <w:bCs/>
        </w:rPr>
        <w:t>2.开展食用林产品质量安全宣传。通过组织专家对食用林产品种类、标准培训讲解，普及种植、食用、储存等安全知识。通过悬挂标语与展板展示、发放资料、现场咨询解答等形式，营造食用林产品质量安全社会共治氛围。</w:t>
      </w:r>
    </w:p>
    <w:p w14:paraId="495737A5">
      <w:pPr>
        <w:snapToGrid w:val="0"/>
        <w:jc w:val="left"/>
        <w:rPr>
          <w:rFonts w:eastAsia="楷体_GB2312" w:cs="楷体_GB2312"/>
        </w:rPr>
      </w:pPr>
      <w:r>
        <w:rPr>
          <w:rFonts w:hint="eastAsia" w:eastAsia="楷体_GB2312" w:cs="楷体_GB2312"/>
        </w:rPr>
        <w:t>（十一）市生态环境局</w:t>
      </w:r>
    </w:p>
    <w:p w14:paraId="2389C1DA">
      <w:pPr>
        <w:snapToGrid w:val="0"/>
      </w:pPr>
      <w:r>
        <w:rPr>
          <w:rFonts w:ascii="仿宋_GB2312"/>
        </w:rPr>
        <w:t>组织各涉农区开展《农用地土壤污染防治科普图册》宣传活动。面向群众普及农用地土壤污染防治科学知识，营造浓厚食品安全社会共治氛围。</w:t>
      </w:r>
    </w:p>
    <w:p w14:paraId="3BA5BADE">
      <w:pPr>
        <w:snapToGrid w:val="0"/>
        <w:jc w:val="left"/>
        <w:rPr>
          <w:rFonts w:eastAsia="楷体_GB2312" w:cs="楷体_GB2312"/>
          <w:color w:val="FF0000"/>
        </w:rPr>
      </w:pPr>
      <w:r>
        <w:rPr>
          <w:rFonts w:hint="eastAsia" w:eastAsia="楷体_GB2312" w:cs="楷体_GB2312"/>
        </w:rPr>
        <w:t>（十二）市交通运输委</w:t>
      </w:r>
    </w:p>
    <w:p w14:paraId="54D8F6F0">
      <w:pPr>
        <w:snapToGrid w:val="0"/>
        <w:jc w:val="left"/>
      </w:pPr>
      <w:r>
        <w:rPr>
          <w:rFonts w:hint="eastAsia"/>
        </w:rPr>
        <w:t>1.在高速公路服务区、公交场站（车厢）、地铁站（车厢）等人员密集场所充分利用新媒体公众号、户外电子显示屏、宣传牌等载体，广泛宣传食品安全知识。</w:t>
      </w:r>
    </w:p>
    <w:p w14:paraId="6C423000">
      <w:pPr>
        <w:snapToGrid w:val="0"/>
        <w:jc w:val="left"/>
      </w:pPr>
      <w:r>
        <w:rPr>
          <w:rFonts w:hint="eastAsia"/>
        </w:rPr>
        <w:t>2.</w:t>
      </w:r>
      <w:r>
        <w:t>开展食品冷链运输安全宣传活动。在交通运输政务新媒体宣传普及冷链运输法规制度、服务标准、温度监测、车辆运输安全及追溯等知识，助力冷链运输高质量发展，为保障食品流通安全、减少食品流通环节浪费提供有力支撑。</w:t>
      </w:r>
    </w:p>
    <w:p w14:paraId="0D9DF2AF">
      <w:pPr>
        <w:snapToGrid w:val="0"/>
        <w:jc w:val="left"/>
      </w:pPr>
      <w:r>
        <w:rPr>
          <w:rFonts w:hint="eastAsia" w:eastAsia="楷体_GB2312" w:cs="楷体_GB2312"/>
          <w:color w:val="000000" w:themeColor="text1"/>
          <w14:textFill>
            <w14:solidFill>
              <w14:schemeClr w14:val="tx1"/>
            </w14:solidFill>
          </w14:textFill>
        </w:rPr>
        <w:t>（十三）市商务局</w:t>
      </w:r>
    </w:p>
    <w:p w14:paraId="77603A3C">
      <w:pPr>
        <w:snapToGrid w:val="0"/>
        <w:jc w:val="left"/>
      </w:pPr>
      <w:r>
        <w:t>组织开展制止餐饮行业食品浪费行为调查专项行动。采取线上触达、线下走访相结合的形式，深入全市各区开展调查研究，通过数字化赋能多种途径制发法律法规、行为规范、明白纸等宣传内容，弘扬中华民族勤俭节约传统美德，持续巩固反食品浪费成果，倡导“厉行节约、反对浪费”社会风尚，推动树立文明理性消费观念。</w:t>
      </w:r>
    </w:p>
    <w:p w14:paraId="5792C0C5">
      <w:pPr>
        <w:snapToGrid w:val="0"/>
        <w:jc w:val="left"/>
        <w:rPr>
          <w:rFonts w:eastAsia="楷体_GB2312" w:cs="楷体_GB2312"/>
          <w:color w:val="000000" w:themeColor="text1"/>
          <w14:textFill>
            <w14:solidFill>
              <w14:schemeClr w14:val="tx1"/>
            </w14:solidFill>
          </w14:textFill>
        </w:rPr>
      </w:pPr>
      <w:r>
        <w:rPr>
          <w:rFonts w:hint="eastAsia" w:eastAsia="楷体_GB2312" w:cs="楷体_GB2312"/>
          <w:color w:val="000000" w:themeColor="text1"/>
          <w14:textFill>
            <w14:solidFill>
              <w14:schemeClr w14:val="tx1"/>
            </w14:solidFill>
          </w14:textFill>
        </w:rPr>
        <w:t>（十四）市文化和旅游局</w:t>
      </w:r>
    </w:p>
    <w:p w14:paraId="18C92680">
      <w:pPr>
        <w:snapToGrid w:val="0"/>
        <w:jc w:val="left"/>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1.强化食品安全法律法规学习，大力宣传普及A级旅游景区食品安全事故防范措施。</w:t>
      </w:r>
    </w:p>
    <w:p w14:paraId="257FB4DC">
      <w:pPr>
        <w:snapToGrid w:val="0"/>
        <w:jc w:val="left"/>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2.突出重点开展形式多样的食品安全宣传。以A级旅游景区和局属学校、幼儿园等单位为重点，充分发挥各自宣传资源优势开展宣传活动。</w:t>
      </w:r>
      <w:r>
        <w:rPr>
          <w:rFonts w:hint="eastAsia" w:cs="仿宋_GB2312"/>
          <w:b/>
          <w:bCs/>
          <w:color w:val="000000" w:themeColor="text1"/>
          <w14:textFill>
            <w14:solidFill>
              <w14:schemeClr w14:val="tx1"/>
            </w14:solidFill>
          </w14:textFill>
        </w:rPr>
        <w:t>一是</w:t>
      </w:r>
      <w:r>
        <w:rPr>
          <w:rFonts w:hint="eastAsia" w:cs="仿宋_GB2312"/>
          <w:color w:val="000000" w:themeColor="text1"/>
          <w14:textFill>
            <w14:solidFill>
              <w14:schemeClr w14:val="tx1"/>
            </w14:solidFill>
          </w14:textFill>
        </w:rPr>
        <w:t>张贴宣传海报、制作食品安全宣传专栏，通过LED电子屏、多媒体广告屏、电梯间屏幕等宣传媒介播放食品安全视频和宣传标语。</w:t>
      </w:r>
      <w:r>
        <w:rPr>
          <w:rFonts w:hint="eastAsia" w:cs="仿宋_GB2312"/>
          <w:b/>
          <w:bCs/>
          <w:color w:val="000000" w:themeColor="text1"/>
          <w14:textFill>
            <w14:solidFill>
              <w14:schemeClr w14:val="tx1"/>
            </w14:solidFill>
          </w14:textFill>
        </w:rPr>
        <w:t>二是</w:t>
      </w:r>
      <w:r>
        <w:rPr>
          <w:rFonts w:hint="eastAsia" w:cs="仿宋_GB2312"/>
          <w:color w:val="000000" w:themeColor="text1"/>
          <w14:textFill>
            <w14:solidFill>
              <w14:schemeClr w14:val="tx1"/>
            </w14:solidFill>
          </w14:textFill>
        </w:rPr>
        <w:t>运用本单位网络新媒体微博、微信公众号、门户网站、新闻客户端宣传食品安全工作，积极营造浓厚食品安全氛围。</w:t>
      </w:r>
    </w:p>
    <w:p w14:paraId="29A0815E">
      <w:pPr>
        <w:snapToGrid w:val="0"/>
        <w:jc w:val="left"/>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3.完善食品安全应急预案，强化处置演练。</w:t>
      </w:r>
      <w:r>
        <w:rPr>
          <w:rFonts w:hint="eastAsia" w:cs="仿宋_GB2312"/>
          <w:color w:val="000000" w:themeColor="text1"/>
          <w:kern w:val="0"/>
          <w14:textFill>
            <w14:solidFill>
              <w14:schemeClr w14:val="tx1"/>
            </w14:solidFill>
          </w14:textFill>
        </w:rPr>
        <w:t>督促A级旅游景区结合实际修订完善食品安全应急预案，</w:t>
      </w:r>
      <w:r>
        <w:rPr>
          <w:rFonts w:hint="eastAsia" w:cs="仿宋_GB2312"/>
          <w:color w:val="000000" w:themeColor="text1"/>
          <w14:textFill>
            <w14:solidFill>
              <w14:schemeClr w14:val="tx1"/>
            </w14:solidFill>
          </w14:textFill>
        </w:rPr>
        <w:t>在本单位内部开展食品安全事故实战演练，并主动联系属地市场监管和卫生部门联合演练，</w:t>
      </w:r>
      <w:r>
        <w:rPr>
          <w:rFonts w:hint="eastAsia" w:cs="仿宋_GB2312"/>
          <w:color w:val="000000" w:themeColor="text1"/>
          <w:kern w:val="0"/>
          <w14:textFill>
            <w14:solidFill>
              <w14:schemeClr w14:val="tx1"/>
            </w14:solidFill>
          </w14:textFill>
        </w:rPr>
        <w:t>通过演练预案、锤炼队伍、协调配合、完善机制，提高食品安全应急处置</w:t>
      </w:r>
      <w:r>
        <w:rPr>
          <w:rFonts w:hint="eastAsia" w:cs="仿宋_GB2312"/>
          <w:color w:val="000000" w:themeColor="text1"/>
          <w14:textFill>
            <w14:solidFill>
              <w14:schemeClr w14:val="tx1"/>
            </w14:solidFill>
          </w14:textFill>
        </w:rPr>
        <w:t>能力，确保游客人身安全。</w:t>
      </w:r>
    </w:p>
    <w:p w14:paraId="3B385822">
      <w:pPr>
        <w:snapToGrid w:val="0"/>
        <w:jc w:val="left"/>
        <w:rPr>
          <w:rFonts w:eastAsia="楷体_GB2312" w:cs="楷体_GB2312"/>
          <w:color w:val="000000" w:themeColor="text1"/>
          <w14:textFill>
            <w14:solidFill>
              <w14:schemeClr w14:val="tx1"/>
            </w14:solidFill>
          </w14:textFill>
        </w:rPr>
      </w:pPr>
      <w:r>
        <w:rPr>
          <w:rFonts w:hint="eastAsia" w:eastAsia="楷体_GB2312" w:cs="楷体_GB2312"/>
        </w:rPr>
        <w:t>（十五）</w:t>
      </w:r>
      <w:r>
        <w:rPr>
          <w:rFonts w:hint="eastAsia" w:eastAsia="楷体_GB2312" w:cs="楷体_GB2312"/>
          <w:color w:val="000000" w:themeColor="text1"/>
          <w14:textFill>
            <w14:solidFill>
              <w14:schemeClr w14:val="tx1"/>
            </w14:solidFill>
          </w14:textFill>
        </w:rPr>
        <w:t>市粮食和物资局</w:t>
      </w:r>
    </w:p>
    <w:p w14:paraId="3FCF71C8">
      <w:pPr>
        <w:snapToGrid w:val="0"/>
        <w:jc w:val="left"/>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1.结合宣传周活动主题，印制宣传手册、画报等，悬挂宣传横幅，联合有关单位开展现场咨询活动，发放宣传资料。</w:t>
      </w:r>
    </w:p>
    <w:p w14:paraId="510FDD72">
      <w:pPr>
        <w:snapToGrid w:val="0"/>
        <w:jc w:val="left"/>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2.组织开展“海河工匠杯”京津冀粮食行业职业技能大赛，持续加强粮食行业检化验人才队伍建设，提高粮食质量安全保障能力。</w:t>
      </w:r>
    </w:p>
    <w:p w14:paraId="15659F70">
      <w:pPr>
        <w:snapToGrid w:val="0"/>
        <w:jc w:val="left"/>
        <w:rPr>
          <w:rFonts w:eastAsia="楷体_GB2312" w:cs="楷体_GB2312"/>
        </w:rPr>
      </w:pPr>
      <w:r>
        <w:rPr>
          <w:rFonts w:hint="eastAsia" w:eastAsia="楷体_GB2312" w:cs="楷体_GB2312"/>
        </w:rPr>
        <w:t>（十六）市高级人民法院</w:t>
      </w:r>
    </w:p>
    <w:p w14:paraId="4904E139">
      <w:pPr>
        <w:snapToGrid w:val="0"/>
        <w:rPr>
          <w:rFonts w:cs="仿宋_GB2312"/>
          <w:kern w:val="0"/>
          <w:lang w:bidi="ar"/>
        </w:rPr>
      </w:pPr>
      <w:r>
        <w:rPr>
          <w:rFonts w:hint="eastAsia" w:cs="仿宋_GB2312"/>
          <w:kern w:val="0"/>
          <w:lang w:bidi="ar"/>
        </w:rPr>
        <w:t>各级法院开展打击危害食品安全犯罪宣传活动，通过</w:t>
      </w:r>
      <w:r>
        <w:rPr>
          <w:rFonts w:cs="仿宋_GB2312"/>
          <w:kern w:val="0"/>
          <w:lang w:bidi="ar"/>
        </w:rPr>
        <w:t>公开开庭审理、公开宣判、法治宣传、普法教育等多种形式，</w:t>
      </w:r>
      <w:r>
        <w:rPr>
          <w:rFonts w:hint="eastAsia" w:cs="仿宋_GB2312"/>
          <w:kern w:val="0"/>
          <w:lang w:bidi="ar"/>
        </w:rPr>
        <w:t>宣传打击危害食品安全违法犯罪的工作成果、典型案例等。</w:t>
      </w:r>
    </w:p>
    <w:p w14:paraId="43CFA162">
      <w:pPr>
        <w:snapToGrid w:val="0"/>
        <w:jc w:val="left"/>
        <w:rPr>
          <w:rFonts w:eastAsia="楷体_GB2312" w:cs="楷体_GB2312"/>
        </w:rPr>
      </w:pPr>
      <w:r>
        <w:rPr>
          <w:rFonts w:hint="eastAsia" w:eastAsia="楷体_GB2312" w:cs="楷体_GB2312"/>
        </w:rPr>
        <w:t>（十七）市人民检察院</w:t>
      </w:r>
    </w:p>
    <w:p w14:paraId="40F50394">
      <w:pPr>
        <w:snapToGrid w:val="0"/>
        <w:jc w:val="left"/>
        <w:rPr>
          <w:rFonts w:cs="仿宋_GB2312"/>
        </w:rPr>
      </w:pPr>
      <w:r>
        <w:rPr>
          <w:rFonts w:hint="eastAsia" w:cs="仿宋_GB2312"/>
        </w:rPr>
        <w:t>1.组织检察干警开展食品安全宣传进社区活动，增强普通民众的食品安全意识。</w:t>
      </w:r>
    </w:p>
    <w:p w14:paraId="2BE5D6F4">
      <w:pPr>
        <w:snapToGrid w:val="0"/>
        <w:jc w:val="left"/>
        <w:rPr>
          <w:rFonts w:cs="仿宋_GB2312"/>
        </w:rPr>
      </w:pPr>
      <w:r>
        <w:rPr>
          <w:rFonts w:hint="eastAsia" w:cs="仿宋_GB2312"/>
        </w:rPr>
        <w:t>2.利用检察机关微信公众号，介绍食品安全新型违法犯罪行为及典型案例，科普食品安全法律知识，提升群众法律意识。</w:t>
      </w:r>
    </w:p>
    <w:p w14:paraId="39A62451">
      <w:pPr>
        <w:snapToGrid w:val="0"/>
        <w:jc w:val="left"/>
        <w:rPr>
          <w:rFonts w:eastAsia="楷体_GB2312" w:cs="楷体_GB2312"/>
        </w:rPr>
      </w:pPr>
      <w:r>
        <w:rPr>
          <w:rFonts w:hint="eastAsia" w:eastAsia="楷体_GB2312" w:cs="楷体_GB2312"/>
        </w:rPr>
        <w:t>（十八）市供销总社</w:t>
      </w:r>
    </w:p>
    <w:p w14:paraId="4725135C">
      <w:pPr>
        <w:snapToGrid w:val="0"/>
        <w:jc w:val="left"/>
        <w:rPr>
          <w:rFonts w:ascii="仿宋_GB2312" w:hAnsi="仿宋_GB2312" w:cs="仿宋_GB2312"/>
        </w:rPr>
      </w:pPr>
      <w:r>
        <w:t>1.</w:t>
      </w:r>
      <w:r>
        <w:rPr>
          <w:rFonts w:hint="eastAsia" w:ascii="仿宋_GB2312" w:hAnsi="仿宋_GB2312" w:cs="仿宋_GB2312"/>
        </w:rPr>
        <w:t>开展多种形式宣传活动。在社区内便民服务点、超市卖场等重点场所，通过印制发放宣传册、在卖场醒目位置的大屏幕播放食品安全相关内容、悬挂食品安全标语横幅、设立食品安全咨询柜台等多种形式，向社区居民群众广泛宣传食品安全知识，提高居民群众食品安全意识和素养。</w:t>
      </w:r>
    </w:p>
    <w:p w14:paraId="221962FB">
      <w:pPr>
        <w:snapToGrid w:val="0"/>
        <w:outlineLvl w:val="2"/>
        <w:rPr>
          <w:rFonts w:ascii="仿宋_GB2312" w:hAnsi="仿宋_GB2312" w:cs="仿宋_GB2312"/>
        </w:rPr>
      </w:pPr>
      <w:r>
        <w:rPr>
          <w:rFonts w:hint="eastAsia"/>
        </w:rPr>
        <w:t>2.</w:t>
      </w:r>
      <w:r>
        <w:rPr>
          <w:rFonts w:hint="eastAsia" w:ascii="仿宋_GB2312" w:hAnsi="仿宋_GB2312" w:cs="仿宋_GB2312"/>
        </w:rPr>
        <w:t>组织各区供销社及相关直属企业开展一次食品安全检查，强化供销社</w:t>
      </w:r>
      <w:r>
        <w:rPr>
          <w:rFonts w:hint="eastAsia"/>
        </w:rPr>
        <w:t>系统市场主体食品安全培训，引导</w:t>
      </w:r>
      <w:r>
        <w:rPr>
          <w:rFonts w:hint="eastAsia" w:ascii="仿宋_GB2312" w:hAnsi="仿宋_GB2312" w:cs="仿宋_GB2312"/>
        </w:rPr>
        <w:t>供销社系统食品行业市场主体增强责任意识，对从业人员大力开展道德诚信宣传，推进食品行业诚信体系建设，弘扬尚德守法的行业风气。</w:t>
      </w:r>
    </w:p>
    <w:p w14:paraId="77FDB9C7">
      <w:pPr>
        <w:snapToGrid w:val="0"/>
        <w:jc w:val="left"/>
        <w:rPr>
          <w:rFonts w:eastAsia="楷体_GB2312" w:cs="楷体_GB2312"/>
        </w:rPr>
      </w:pPr>
      <w:r>
        <w:rPr>
          <w:rFonts w:hint="eastAsia" w:eastAsia="楷体_GB2312" w:cs="楷体_GB2312"/>
          <w:color w:val="000000" w:themeColor="text1"/>
          <w14:textFill>
            <w14:solidFill>
              <w14:schemeClr w14:val="tx1"/>
            </w14:solidFill>
          </w14:textFill>
        </w:rPr>
        <w:t>（十九）</w:t>
      </w:r>
      <w:r>
        <w:rPr>
          <w:rFonts w:hint="eastAsia" w:eastAsia="楷体_GB2312" w:cs="楷体_GB2312"/>
        </w:rPr>
        <w:t>天津金融监管局</w:t>
      </w:r>
    </w:p>
    <w:p w14:paraId="48241CBE">
      <w:pPr>
        <w:snapToGrid w:val="0"/>
        <w:outlineLvl w:val="2"/>
        <w:rPr>
          <w:rFonts w:ascii="仿宋_GB2312" w:hAnsi="仿宋_GB2312" w:cs="仿宋_GB2312"/>
        </w:rPr>
      </w:pPr>
      <w:r>
        <w:rPr>
          <w:rFonts w:hint="eastAsia"/>
        </w:rPr>
        <w:t>1.开</w:t>
      </w:r>
      <w:r>
        <w:rPr>
          <w:rFonts w:hint="eastAsia" w:ascii="仿宋_GB2312" w:hAnsi="仿宋_GB2312" w:cs="仿宋_GB2312"/>
        </w:rPr>
        <w:t>展食品安全责任保险宣传活动。面向财险公司宣讲党和政府近年来在保障食品安全方面的重要举措和取得的成效，以及保险业所做工作，大力宣传食品安全责任保险在分散风险、弥补损失、规范管理等方面的积极作用。</w:t>
      </w:r>
    </w:p>
    <w:p w14:paraId="20D881AE">
      <w:pPr>
        <w:snapToGrid w:val="0"/>
        <w:outlineLvl w:val="2"/>
        <w:rPr>
          <w:rFonts w:ascii="仿宋_GB2312" w:hAnsi="仿宋_GB2312" w:cs="仿宋_GB2312"/>
        </w:rPr>
      </w:pPr>
      <w:r>
        <w:rPr>
          <w:rFonts w:hint="eastAsia"/>
        </w:rPr>
        <w:t>2.开展食</w:t>
      </w:r>
      <w:r>
        <w:rPr>
          <w:rFonts w:hint="eastAsia" w:ascii="仿宋_GB2312" w:hAnsi="仿宋_GB2312" w:cs="仿宋_GB2312"/>
        </w:rPr>
        <w:t>品安全责任保险知识科普活动。通过传统媒体和新媒体相互结合的方式，宣传报道商业保险在保障食品安全、化解矛盾纠纷、创新社会治理等方面的独特功能作用，以及食品安全责任保险发展情况等。</w:t>
      </w:r>
    </w:p>
    <w:p w14:paraId="01A41F4D">
      <w:pPr>
        <w:snapToGrid w:val="0"/>
        <w:jc w:val="left"/>
        <w:rPr>
          <w:rFonts w:eastAsia="楷体_GB2312" w:cs="楷体_GB2312"/>
        </w:rPr>
      </w:pPr>
      <w:r>
        <w:rPr>
          <w:rFonts w:hint="eastAsia" w:eastAsia="楷体_GB2312" w:cs="楷体_GB2312"/>
        </w:rPr>
        <w:t>（二十）民航天津监管局</w:t>
      </w:r>
    </w:p>
    <w:p w14:paraId="14172ACA">
      <w:pPr>
        <w:snapToGrid w:val="0"/>
        <w:rPr>
          <w:rFonts w:ascii="仿宋_GB2312"/>
        </w:rPr>
      </w:pPr>
      <w:r>
        <w:rPr>
          <w:rFonts w:ascii="仿宋_GB2312" w:hAnsi="仿宋_GB2312" w:cs="仿宋_GB2312"/>
        </w:rPr>
        <w:t>举办“信守品质 安享旅程”主题宣传活动。</w:t>
      </w:r>
      <w:r>
        <w:rPr>
          <w:rFonts w:hint="eastAsia" w:ascii="仿宋_GB2312" w:hAnsi="仿宋_GB2312" w:cs="仿宋_GB2312"/>
        </w:rPr>
        <w:t>通过</w:t>
      </w:r>
      <w:r>
        <w:rPr>
          <w:rFonts w:ascii="仿宋_GB2312" w:hAnsi="仿宋_GB2312" w:cs="仿宋_GB2312"/>
        </w:rPr>
        <w:t>行业协会倡议广大航食企业</w:t>
      </w:r>
      <w:r>
        <w:rPr>
          <w:rFonts w:hint="eastAsia" w:ascii="仿宋_GB2312" w:hAnsi="仿宋_GB2312" w:cs="仿宋_GB2312"/>
        </w:rPr>
        <w:t>采取</w:t>
      </w:r>
      <w:r>
        <w:rPr>
          <w:rFonts w:ascii="仿宋_GB2312" w:hAnsi="仿宋_GB2312" w:cs="仿宋_GB2312"/>
        </w:rPr>
        <w:t>食品安全培训、知识竞赛、食品安全管理经验分享等方式，提高从业人员食品安全意识以及</w:t>
      </w:r>
      <w:r>
        <w:rPr>
          <w:rFonts w:hint="eastAsia" w:ascii="仿宋_GB2312" w:hAnsi="仿宋_GB2312" w:cs="仿宋_GB2312"/>
        </w:rPr>
        <w:t>对</w:t>
      </w:r>
      <w:r>
        <w:rPr>
          <w:rFonts w:ascii="仿宋_GB2312" w:hAnsi="仿宋_GB2312" w:cs="仿宋_GB2312"/>
        </w:rPr>
        <w:t>相关法律法规、操作规范等的掌握程度；在生产过程中实施精细化管理，减少原材料浪费，提高资源利用效率。鼓励航空公司设立主题航班，推广餐食</w:t>
      </w:r>
      <w:r>
        <w:rPr>
          <w:rFonts w:hint="eastAsia" w:ascii="仿宋_GB2312" w:hAnsi="仿宋_GB2312" w:cs="仿宋_GB2312"/>
        </w:rPr>
        <w:t>预订</w:t>
      </w:r>
      <w:r>
        <w:rPr>
          <w:rFonts w:ascii="仿宋_GB2312" w:hAnsi="仿宋_GB2312" w:cs="仿宋_GB2312"/>
        </w:rPr>
        <w:t>服务，倡导绿色飞行，引导旅客节约用餐，减少机上</w:t>
      </w:r>
      <w:r>
        <w:t>食品浪费。鼓励机场餐饮单位举办绿色餐饮风尚节，聚集机场内的优质餐饮商户，共同展示诚信经营、绿色餐饮和节约文化的最新成果与风尚，引领机场餐饮行业新潮流。</w:t>
      </w:r>
    </w:p>
    <w:p w14:paraId="6167E93D">
      <w:pPr>
        <w:snapToGrid w:val="0"/>
        <w:jc w:val="left"/>
        <w:rPr>
          <w:rFonts w:eastAsia="楷体_GB2312" w:cs="楷体_GB2312"/>
        </w:rPr>
      </w:pPr>
      <w:r>
        <w:rPr>
          <w:rFonts w:hint="eastAsia" w:eastAsia="楷体_GB2312" w:cs="楷体_GB2312"/>
        </w:rPr>
        <w:t>（二十一）天津食品集团</w:t>
      </w:r>
    </w:p>
    <w:p w14:paraId="118201B0">
      <w:pPr>
        <w:snapToGrid w:val="0"/>
        <w:outlineLvl w:val="2"/>
        <w:rPr>
          <w:rFonts w:ascii="仿宋_GB2312" w:hAnsi="仿宋_GB2312" w:cs="仿宋_GB2312"/>
        </w:rPr>
      </w:pPr>
      <w:r>
        <w:rPr>
          <w:rFonts w:hint="eastAsia"/>
        </w:rPr>
        <w:t>1.</w:t>
      </w:r>
      <w:r>
        <w:rPr>
          <w:rFonts w:hint="eastAsia" w:ascii="仿宋_GB2312" w:hAnsi="仿宋_GB2312" w:cs="仿宋_GB2312"/>
        </w:rPr>
        <w:t>食品安全“进校园”活动。组织集团食品研究院专家到经贸学校进行食品安全知识讲座，通过现场知识讲解、有奖知识竞赛、网络谣言辟谣等多种形式，丰富全校师生的食品安全知识，同心共护校园食品安全。</w:t>
      </w:r>
    </w:p>
    <w:p w14:paraId="72EF8412">
      <w:pPr>
        <w:snapToGrid w:val="0"/>
        <w:outlineLvl w:val="2"/>
        <w:rPr>
          <w:rFonts w:ascii="仿宋_GB2312" w:hAnsi="仿宋_GB2312" w:cs="仿宋_GB2312"/>
        </w:rPr>
      </w:pPr>
      <w:r>
        <w:rPr>
          <w:rFonts w:hint="eastAsia"/>
        </w:rPr>
        <w:t>2.</w:t>
      </w:r>
      <w:r>
        <w:rPr>
          <w:rFonts w:hint="eastAsia" w:ascii="仿宋_GB2312" w:hAnsi="仿宋_GB2312" w:cs="仿宋_GB2312"/>
        </w:rPr>
        <w:t>食品安全“研学游”活动。积极邀请广大学生、游客、消费者走进海河、利民、迎宾、红光露营基地、晶宝研学基地等工业旅游基地和农业研学基地进行参观、研学，让广大消费者、中小学生亲身体验种植、采摘、食品制作流程，广泛科普食品安全知识，宣传集团优质、放心食品。</w:t>
      </w:r>
    </w:p>
    <w:p w14:paraId="6C542150">
      <w:pPr>
        <w:snapToGrid w:val="0"/>
        <w:outlineLvl w:val="2"/>
        <w:rPr>
          <w:rFonts w:ascii="仿宋_GB2312" w:hAnsi="仿宋_GB2312" w:cs="仿宋_GB2312"/>
        </w:rPr>
      </w:pPr>
      <w:r>
        <w:rPr>
          <w:rFonts w:hint="eastAsia"/>
        </w:rPr>
        <w:t>3.</w:t>
      </w:r>
      <w:r>
        <w:rPr>
          <w:rFonts w:hint="eastAsia" w:ascii="仿宋_GB2312" w:hAnsi="仿宋_GB2312" w:cs="仿宋_GB2312"/>
        </w:rPr>
        <w:t>食品安全“科普周”活动。在集团直营店、加盟店等直面消费者的点位开展食品安全“科普周”活动，通过发放宣传单页、现场科普食品安全知识等，向消费者广泛宣传食品安全、营养健康、厉行节约、诚信尚俭等相关知识，切实提高消费者食品安全意识。</w:t>
      </w:r>
    </w:p>
    <w:p w14:paraId="29EEBC9A">
      <w:pPr>
        <w:snapToGrid w:val="0"/>
        <w:outlineLvl w:val="2"/>
        <w:rPr>
          <w:rFonts w:ascii="仿宋_GB2312" w:hAnsi="仿宋_GB2312" w:cs="仿宋_GB2312"/>
        </w:rPr>
      </w:pPr>
      <w:r>
        <w:rPr>
          <w:rFonts w:hint="eastAsia"/>
        </w:rPr>
        <w:t>4</w:t>
      </w:r>
      <w:r>
        <w:t>.</w:t>
      </w:r>
      <w:r>
        <w:rPr>
          <w:rFonts w:hint="eastAsia" w:ascii="仿宋_GB2312" w:hAnsi="仿宋_GB2312" w:cs="仿宋_GB2312"/>
        </w:rPr>
        <w:t>食品安全知识宣传培训。在集团系统生产经营单位、建筑工地、企业食堂大力宣传食品安全科普知识、食品安全法律法规等，通过举办讲座、培训、印发宣传册等活动，对食品生产经营单位的管理人员及从业人员进行培训，不断强化食品安全意识。</w:t>
      </w:r>
    </w:p>
    <w:p w14:paraId="0C02F7AA">
      <w:pPr>
        <w:snapToGrid w:val="0"/>
        <w:jc w:val="left"/>
        <w:rPr>
          <w:rFonts w:eastAsia="楷体_GB2312" w:cs="楷体_GB2312"/>
        </w:rPr>
      </w:pPr>
      <w:r>
        <w:rPr>
          <w:rFonts w:hint="eastAsia" w:eastAsia="楷体_GB2312" w:cs="楷体_GB2312"/>
        </w:rPr>
        <w:t>（二十二）中国铁路北京局集团有限公司天津铁路办事处</w:t>
      </w:r>
    </w:p>
    <w:p w14:paraId="3A723B46">
      <w:pPr>
        <w:tabs>
          <w:tab w:val="left" w:pos="916"/>
          <w:tab w:val="left" w:pos="12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val="0"/>
        <w:snapToGrid w:val="0"/>
        <w:rPr>
          <w:rFonts w:ascii="仿宋_GB2312" w:hAnsi="仿宋_GB2312" w:cs="仿宋_GB2312"/>
        </w:rPr>
      </w:pPr>
      <w:r>
        <w:t>1.举</w:t>
      </w:r>
      <w:r>
        <w:rPr>
          <w:rFonts w:hint="eastAsia" w:ascii="仿宋_GB2312" w:hAnsi="仿宋_GB2312" w:cs="仿宋_GB2312"/>
        </w:rPr>
        <w:t>办“营养膳食 诚信食安”铁路主题宣传日活动。通过现场宣传、网络宣传和铁路站车视频、广播等形式，展示食品安全源头管控</w:t>
      </w:r>
      <w:r>
        <w:rPr>
          <w:rFonts w:hint="eastAsia"/>
        </w:rPr>
        <w:t>信息化</w:t>
      </w:r>
      <w:r>
        <w:rPr>
          <w:rFonts w:hint="eastAsia" w:ascii="仿宋_GB2312" w:hAnsi="仿宋_GB2312" w:cs="仿宋_GB2312"/>
        </w:rPr>
        <w:t>管理、营养膳食健康食堂创建和食品安全风险监测评估成果，开展铁路食品安全管理、食品安全知识专题宣传。</w:t>
      </w:r>
    </w:p>
    <w:p w14:paraId="13406AF4">
      <w:pPr>
        <w:tabs>
          <w:tab w:val="left" w:pos="916"/>
          <w:tab w:val="left" w:pos="126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val="0"/>
        <w:snapToGrid w:val="0"/>
      </w:pPr>
      <w:r>
        <w:rPr>
          <w:rFonts w:hint="eastAsia"/>
        </w:rPr>
        <w:t>2.组</w:t>
      </w:r>
      <w:r>
        <w:rPr>
          <w:rFonts w:hint="eastAsia" w:ascii="仿宋_GB2312" w:hAnsi="仿宋_GB2312" w:cs="仿宋_GB2312"/>
        </w:rPr>
        <w:t>织铁路食品安全巡查活动，增强食品安全责任意识，保障铁路食品安全。</w:t>
      </w:r>
    </w:p>
    <w:p w14:paraId="7C9F6538">
      <w:pPr>
        <w:snapToGrid w:val="0"/>
        <w:jc w:val="left"/>
        <w:rPr>
          <w:rFonts w:eastAsia="楷体_GB2312" w:cs="楷体_GB2312"/>
        </w:rPr>
      </w:pPr>
      <w:r>
        <w:rPr>
          <w:rFonts w:hint="eastAsia" w:eastAsia="楷体_GB2312" w:cs="楷体_GB2312"/>
        </w:rPr>
        <w:t>（二十三）市科协</w:t>
      </w:r>
    </w:p>
    <w:p w14:paraId="087743E4">
      <w:pPr>
        <w:snapToGrid w:val="0"/>
        <w:rPr>
          <w:rFonts w:ascii="仿宋_GB2312" w:hAnsi="仿宋_GB2312" w:cs="仿宋_GB2312"/>
        </w:rPr>
      </w:pPr>
      <w:r>
        <w:t>1.</w:t>
      </w:r>
      <w:r>
        <w:rPr>
          <w:rFonts w:hint="eastAsia"/>
        </w:rPr>
        <w:t>展播</w:t>
      </w:r>
      <w:r>
        <w:t>2024年天津市</w:t>
      </w:r>
      <w:r>
        <w:rPr>
          <w:rFonts w:hint="eastAsia" w:ascii="仿宋_GB2312" w:hAnsi="仿宋_GB2312" w:cs="仿宋_GB2312"/>
        </w:rPr>
        <w:t>全国科普日主场活动“天津科普之夜”文艺晚会之原创科普情景剧《我要科普》，讲好</w:t>
      </w:r>
      <w:r>
        <w:rPr>
          <w:rFonts w:hint="eastAsia" w:ascii="仿宋_GB2312" w:hAnsi="仿宋_GB2312" w:cs="仿宋_GB2312"/>
          <w:bCs/>
        </w:rPr>
        <w:t>食安社区科普故事。</w:t>
      </w:r>
    </w:p>
    <w:p w14:paraId="7FE231E9">
      <w:pPr>
        <w:snapToGrid w:val="0"/>
        <w:rPr>
          <w:rFonts w:cs="仿宋_GB2312"/>
          <w:color w:val="FF0000"/>
        </w:rPr>
      </w:pPr>
      <w:r>
        <w:rPr>
          <w:rFonts w:hint="eastAsia"/>
        </w:rPr>
        <w:t>2.</w:t>
      </w:r>
      <w:r>
        <w:rPr>
          <w:rFonts w:hint="eastAsia" w:ascii="仿宋_GB2312" w:hAnsi="仿宋_GB2312" w:cs="仿宋_GB2312"/>
        </w:rPr>
        <w:t>“强国复兴有我”之食安科普进校园活动。从</w:t>
      </w:r>
      <w:r>
        <w:rPr>
          <w:rFonts w:hint="eastAsia"/>
        </w:rPr>
        <w:t>9月开始，陆续在南开区、和平区、河西区、宝坻区、静海区等5个</w:t>
      </w:r>
      <w:r>
        <w:rPr>
          <w:rFonts w:hint="eastAsia" w:ascii="仿宋_GB2312" w:hAnsi="仿宋_GB2312" w:cs="仿宋_GB2312"/>
        </w:rPr>
        <w:t>区的学校开展食育科普活动</w:t>
      </w:r>
      <w:r>
        <w:rPr>
          <w:rFonts w:hint="eastAsia"/>
        </w:rPr>
        <w:t>。</w:t>
      </w:r>
    </w:p>
    <w:p w14:paraId="39DCB0EB">
      <w:pPr>
        <w:jc w:val="left"/>
        <w:rPr>
          <w:color w:val="FF0000"/>
        </w:rPr>
      </w:pPr>
    </w:p>
    <w:p w14:paraId="66F8E5DF">
      <w:r>
        <w:t>附：</w:t>
      </w:r>
      <w:r>
        <w:rPr>
          <w:rFonts w:hint="eastAsia"/>
        </w:rPr>
        <w:t>1.</w:t>
      </w:r>
      <w:r>
        <w:t>全国食品安全宣传周活动标识（阳光下的盘中餐）</w:t>
      </w:r>
    </w:p>
    <w:p w14:paraId="3A34A0EB">
      <w:pPr>
        <w:ind w:firstLine="1302" w:firstLineChars="412"/>
      </w:pPr>
      <w:r>
        <w:rPr>
          <w:rFonts w:hint="eastAsia"/>
        </w:rPr>
        <w:t>2.</w:t>
      </w:r>
      <w:r>
        <w:t>20</w:t>
      </w:r>
      <w:r>
        <w:rPr>
          <w:rFonts w:hint="eastAsia"/>
        </w:rPr>
        <w:t>24</w:t>
      </w:r>
      <w:r>
        <w:t>年天津市食品安全宣传周活动情况统计表</w:t>
      </w:r>
    </w:p>
    <w:p w14:paraId="58F419D3">
      <w:pPr>
        <w:ind w:firstLine="1302" w:firstLineChars="412"/>
      </w:pPr>
    </w:p>
    <w:p w14:paraId="71FC12F0">
      <w:pPr>
        <w:rPr>
          <w:color w:val="000000"/>
        </w:rPr>
      </w:pPr>
    </w:p>
    <w:p w14:paraId="1B6BB59A">
      <w:pPr>
        <w:rPr>
          <w:color w:val="000000"/>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1077" w:gutter="0"/>
          <w:pgNumType w:fmt="numberInDash" w:start="1"/>
          <w:cols w:space="0" w:num="1"/>
          <w:docGrid w:type="linesAndChars" w:linePitch="579" w:charSpace="-842"/>
        </w:sectPr>
      </w:pPr>
    </w:p>
    <w:p w14:paraId="68C4E166">
      <w:pPr>
        <w:ind w:firstLine="0" w:firstLineChars="0"/>
        <w:rPr>
          <w:rFonts w:ascii="黑体" w:hAnsi="黑体" w:eastAsia="黑体"/>
          <w:color w:val="000000"/>
        </w:rPr>
      </w:pPr>
      <w:r>
        <w:rPr>
          <w:rFonts w:ascii="黑体" w:hAnsi="黑体" w:eastAsia="黑体"/>
          <w:color w:val="000000"/>
        </w:rPr>
        <w:t>附</w:t>
      </w:r>
      <w:r>
        <w:rPr>
          <w:rFonts w:hint="eastAsia" w:ascii="黑体" w:hAnsi="黑体" w:eastAsia="黑体"/>
          <w:color w:val="000000"/>
        </w:rPr>
        <w:t>1</w:t>
      </w:r>
    </w:p>
    <w:p w14:paraId="15611863"/>
    <w:p w14:paraId="56E46816">
      <w:pPr>
        <w:snapToGrid w:val="0"/>
        <w:ind w:firstLine="712"/>
        <w:jc w:val="center"/>
        <w:rPr>
          <w:rFonts w:eastAsia="方正小标宋简体"/>
          <w:b/>
          <w:kern w:val="0"/>
          <w:sz w:val="36"/>
          <w:szCs w:val="36"/>
        </w:rPr>
      </w:pPr>
      <w:r>
        <w:rPr>
          <w:rFonts w:eastAsia="方正小标宋简体"/>
          <w:sz w:val="36"/>
          <w:szCs w:val="36"/>
        </w:rPr>
        <w:t>全国食品安全宣传周活动标识（阳光下的盘中餐）</w:t>
      </w:r>
    </w:p>
    <w:p w14:paraId="15B1E9E4">
      <w:pPr>
        <w:snapToGrid w:val="0"/>
        <w:ind w:firstLine="715"/>
        <w:jc w:val="center"/>
        <w:rPr>
          <w:rFonts w:eastAsia="宋体"/>
          <w:b/>
          <w:kern w:val="0"/>
          <w:sz w:val="36"/>
          <w:szCs w:val="36"/>
        </w:rPr>
      </w:pPr>
    </w:p>
    <w:p w14:paraId="445D6D06">
      <w:r>
        <w:drawing>
          <wp:anchor distT="0" distB="0" distL="114300" distR="114300" simplePos="0" relativeHeight="251662336" behindDoc="1" locked="0" layoutInCell="1" allowOverlap="1">
            <wp:simplePos x="0" y="0"/>
            <wp:positionH relativeFrom="column">
              <wp:posOffset>-36195</wp:posOffset>
            </wp:positionH>
            <wp:positionV relativeFrom="paragraph">
              <wp:posOffset>13970</wp:posOffset>
            </wp:positionV>
            <wp:extent cx="5616575" cy="3978910"/>
            <wp:effectExtent l="0" t="0" r="3175" b="2540"/>
            <wp:wrapTight wrapText="bothSides">
              <wp:wrapPolygon>
                <wp:start x="0" y="0"/>
                <wp:lineTo x="0" y="21510"/>
                <wp:lineTo x="21539" y="21510"/>
                <wp:lineTo x="21539" y="0"/>
                <wp:lineTo x="0" y="0"/>
              </wp:wrapPolygon>
            </wp:wrapTight>
            <wp:docPr id="10" name="图片 10" descr="C:\Users\tret\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tret\Desktop\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616575" cy="3978910"/>
                    </a:xfrm>
                    <a:prstGeom prst="rect">
                      <a:avLst/>
                    </a:prstGeom>
                    <a:noFill/>
                    <a:ln>
                      <a:noFill/>
                    </a:ln>
                  </pic:spPr>
                </pic:pic>
              </a:graphicData>
            </a:graphic>
          </wp:anchor>
        </w:drawing>
      </w:r>
    </w:p>
    <w:p w14:paraId="4FA11FAD">
      <w:pPr>
        <w:pStyle w:val="2"/>
        <w:ind w:firstLine="352"/>
        <w:rPr>
          <w:rFonts w:hint="default" w:ascii="Times New Roman" w:hAnsi="Times New Roman"/>
        </w:rPr>
      </w:pPr>
    </w:p>
    <w:p w14:paraId="3821556D"/>
    <w:p w14:paraId="298ED0F8">
      <w:pPr>
        <w:ind w:firstLine="0" w:firstLineChars="0"/>
        <w:jc w:val="left"/>
        <w:rPr>
          <w:rFonts w:ascii="黑体" w:hAnsi="黑体" w:eastAsia="黑体"/>
          <w:color w:val="000000"/>
        </w:rPr>
      </w:pPr>
    </w:p>
    <w:p w14:paraId="38304FD8">
      <w:pPr>
        <w:pStyle w:val="2"/>
        <w:ind w:firstLine="0" w:firstLineChars="0"/>
        <w:rPr>
          <w:rFonts w:hint="default"/>
        </w:rPr>
      </w:pPr>
    </w:p>
    <w:p w14:paraId="4A5D5116">
      <w:pPr>
        <w:ind w:firstLine="0" w:firstLineChars="0"/>
        <w:jc w:val="left"/>
        <w:rPr>
          <w:rFonts w:ascii="黑体" w:hAnsi="黑体" w:eastAsia="黑体" w:cs="黑体"/>
          <w:spacing w:val="-20"/>
          <w:kern w:val="0"/>
        </w:rPr>
      </w:pPr>
      <w:r>
        <w:rPr>
          <w:rFonts w:hint="eastAsia" w:ascii="黑体" w:hAnsi="黑体" w:eastAsia="黑体" w:cs="黑体"/>
          <w:spacing w:val="-20"/>
          <w:kern w:val="0"/>
        </w:rPr>
        <w:t>附2</w:t>
      </w:r>
    </w:p>
    <w:p w14:paraId="4959EB23">
      <w:pPr>
        <w:ind w:firstLine="0" w:firstLineChars="0"/>
        <w:jc w:val="center"/>
        <w:rPr>
          <w:rFonts w:eastAsia="方正小标宋简体"/>
          <w:spacing w:val="-20"/>
          <w:kern w:val="0"/>
          <w:sz w:val="44"/>
          <w:szCs w:val="44"/>
        </w:rPr>
      </w:pPr>
      <w:r>
        <w:rPr>
          <w:rFonts w:eastAsia="方正小标宋简体"/>
          <w:spacing w:val="-20"/>
          <w:kern w:val="0"/>
          <w:sz w:val="44"/>
          <w:szCs w:val="44"/>
        </w:rPr>
        <w:t>20</w:t>
      </w:r>
      <w:r>
        <w:rPr>
          <w:rFonts w:hint="eastAsia" w:eastAsia="方正小标宋简体"/>
          <w:spacing w:val="-20"/>
          <w:kern w:val="0"/>
          <w:sz w:val="44"/>
          <w:szCs w:val="44"/>
        </w:rPr>
        <w:t>24</w:t>
      </w:r>
      <w:r>
        <w:rPr>
          <w:rFonts w:eastAsia="方正小标宋简体"/>
          <w:spacing w:val="-20"/>
          <w:kern w:val="0"/>
          <w:sz w:val="44"/>
          <w:szCs w:val="44"/>
        </w:rPr>
        <w:t>年天津市食品安全宣传周活动情况统计表</w:t>
      </w:r>
    </w:p>
    <w:p w14:paraId="0F6D6B88">
      <w:pPr>
        <w:snapToGrid w:val="0"/>
        <w:ind w:firstLine="0" w:firstLineChars="0"/>
        <w:jc w:val="left"/>
        <w:rPr>
          <w:kern w:val="0"/>
          <w:sz w:val="28"/>
          <w:szCs w:val="28"/>
        </w:rPr>
      </w:pPr>
      <w:r>
        <w:rPr>
          <w:kern w:val="0"/>
          <w:sz w:val="28"/>
          <w:szCs w:val="28"/>
        </w:rPr>
        <w:t>填报单位（公章）：</w:t>
      </w:r>
      <w:r>
        <w:rPr>
          <w:rFonts w:hint="eastAsia"/>
          <w:kern w:val="0"/>
          <w:sz w:val="28"/>
          <w:szCs w:val="28"/>
        </w:rPr>
        <w:t xml:space="preserve">                    </w:t>
      </w:r>
      <w:r>
        <w:rPr>
          <w:kern w:val="0"/>
          <w:sz w:val="28"/>
          <w:szCs w:val="28"/>
        </w:rPr>
        <w:t>填报时间：</w:t>
      </w:r>
    </w:p>
    <w:tbl>
      <w:tblPr>
        <w:tblStyle w:val="13"/>
        <w:tblW w:w="5628" w:type="pct"/>
        <w:tblInd w:w="-588" w:type="dxa"/>
        <w:tblLayout w:type="autofit"/>
        <w:tblCellMar>
          <w:top w:w="0" w:type="dxa"/>
          <w:left w:w="0" w:type="dxa"/>
          <w:bottom w:w="0" w:type="dxa"/>
          <w:right w:w="0" w:type="dxa"/>
        </w:tblCellMar>
      </w:tblPr>
      <w:tblGrid>
        <w:gridCol w:w="1696"/>
        <w:gridCol w:w="429"/>
        <w:gridCol w:w="2557"/>
        <w:gridCol w:w="1789"/>
        <w:gridCol w:w="1753"/>
        <w:gridCol w:w="1750"/>
      </w:tblGrid>
      <w:tr w14:paraId="7BC6173D">
        <w:tblPrEx>
          <w:tblCellMar>
            <w:top w:w="0" w:type="dxa"/>
            <w:left w:w="0" w:type="dxa"/>
            <w:bottom w:w="0" w:type="dxa"/>
            <w:right w:w="0" w:type="dxa"/>
          </w:tblCellMar>
        </w:tblPrEx>
        <w:trPr>
          <w:trHeight w:val="373" w:hRule="atLeast"/>
        </w:trPr>
        <w:tc>
          <w:tcPr>
            <w:tcW w:w="2347" w:type="pct"/>
            <w:gridSpan w:val="3"/>
            <w:tcBorders>
              <w:top w:val="inset" w:color="000000" w:sz="6" w:space="0"/>
              <w:left w:val="inset" w:color="000000" w:sz="6" w:space="0"/>
              <w:bottom w:val="inset" w:color="000000" w:sz="6" w:space="0"/>
              <w:right w:val="inset" w:color="000000" w:sz="6" w:space="0"/>
            </w:tcBorders>
          </w:tcPr>
          <w:p w14:paraId="5764A497">
            <w:pPr>
              <w:overflowPunct/>
              <w:topLinePunct w:val="0"/>
              <w:adjustRightInd/>
              <w:spacing w:line="240" w:lineRule="atLeast"/>
              <w:ind w:firstLine="552"/>
              <w:jc w:val="center"/>
              <w:rPr>
                <w:rFonts w:eastAsia="方正小标宋简体" w:cs="方正小标宋简体"/>
                <w:kern w:val="0"/>
                <w:sz w:val="28"/>
                <w:szCs w:val="28"/>
              </w:rPr>
            </w:pPr>
            <w:r>
              <w:rPr>
                <w:rFonts w:hint="eastAsia" w:eastAsia="方正小标宋简体" w:cs="方正小标宋简体"/>
                <w:kern w:val="0"/>
                <w:sz w:val="28"/>
                <w:szCs w:val="28"/>
              </w:rPr>
              <w:t>宣传形式</w:t>
            </w:r>
          </w:p>
        </w:tc>
        <w:tc>
          <w:tcPr>
            <w:tcW w:w="897" w:type="pct"/>
            <w:tcBorders>
              <w:top w:val="inset" w:color="000000" w:sz="6" w:space="0"/>
              <w:left w:val="single" w:color="auto" w:sz="0" w:space="0"/>
              <w:bottom w:val="inset" w:color="000000" w:sz="6" w:space="0"/>
              <w:right w:val="single" w:color="auto" w:sz="4" w:space="0"/>
            </w:tcBorders>
          </w:tcPr>
          <w:p w14:paraId="3DE2AA84">
            <w:pPr>
              <w:overflowPunct/>
              <w:topLinePunct w:val="0"/>
              <w:adjustRightInd/>
              <w:spacing w:line="240" w:lineRule="atLeast"/>
              <w:ind w:firstLine="0" w:firstLineChars="0"/>
              <w:jc w:val="center"/>
              <w:rPr>
                <w:rFonts w:eastAsia="方正小标宋简体" w:cs="方正小标宋简体"/>
                <w:kern w:val="0"/>
                <w:sz w:val="28"/>
                <w:szCs w:val="28"/>
              </w:rPr>
            </w:pPr>
            <w:r>
              <w:rPr>
                <w:rFonts w:hint="eastAsia" w:eastAsia="方正小标宋简体" w:cs="方正小标宋简体"/>
                <w:kern w:val="0"/>
                <w:sz w:val="28"/>
                <w:szCs w:val="28"/>
              </w:rPr>
              <w:t>名称</w:t>
            </w:r>
          </w:p>
        </w:tc>
        <w:tc>
          <w:tcPr>
            <w:tcW w:w="879" w:type="pct"/>
            <w:tcBorders>
              <w:top w:val="inset" w:color="000000" w:sz="6" w:space="0"/>
              <w:left w:val="single" w:color="auto" w:sz="0" w:space="0"/>
              <w:bottom w:val="inset" w:color="000000" w:sz="6" w:space="0"/>
              <w:right w:val="single" w:color="auto" w:sz="4" w:space="0"/>
            </w:tcBorders>
          </w:tcPr>
          <w:p w14:paraId="779C9B1F">
            <w:pPr>
              <w:overflowPunct/>
              <w:topLinePunct w:val="0"/>
              <w:adjustRightInd/>
              <w:spacing w:line="240" w:lineRule="atLeast"/>
              <w:ind w:firstLine="0" w:firstLineChars="0"/>
              <w:jc w:val="center"/>
              <w:rPr>
                <w:rFonts w:eastAsia="方正小标宋简体" w:cs="方正小标宋简体"/>
                <w:kern w:val="0"/>
                <w:sz w:val="28"/>
                <w:szCs w:val="28"/>
              </w:rPr>
            </w:pPr>
            <w:r>
              <w:rPr>
                <w:rFonts w:hint="eastAsia" w:eastAsia="方正小标宋简体" w:cs="方正小标宋简体"/>
                <w:kern w:val="0"/>
                <w:sz w:val="28"/>
                <w:szCs w:val="28"/>
              </w:rPr>
              <w:t>数量</w:t>
            </w:r>
          </w:p>
        </w:tc>
        <w:tc>
          <w:tcPr>
            <w:tcW w:w="877" w:type="pct"/>
            <w:tcBorders>
              <w:top w:val="inset" w:color="000000" w:sz="6" w:space="0"/>
              <w:left w:val="single" w:color="auto" w:sz="4" w:space="0"/>
              <w:bottom w:val="inset" w:color="000000" w:sz="6" w:space="0"/>
              <w:right w:val="inset" w:color="000000" w:sz="6" w:space="0"/>
            </w:tcBorders>
          </w:tcPr>
          <w:p w14:paraId="673B1CD3">
            <w:pPr>
              <w:overflowPunct/>
              <w:topLinePunct w:val="0"/>
              <w:adjustRightInd/>
              <w:spacing w:line="240" w:lineRule="atLeast"/>
              <w:ind w:firstLine="0" w:firstLineChars="0"/>
              <w:jc w:val="center"/>
              <w:rPr>
                <w:rFonts w:eastAsia="方正小标宋简体" w:cs="方正小标宋简体"/>
                <w:kern w:val="0"/>
                <w:sz w:val="28"/>
                <w:szCs w:val="28"/>
              </w:rPr>
            </w:pPr>
            <w:r>
              <w:rPr>
                <w:rFonts w:hint="eastAsia" w:eastAsia="方正小标宋简体" w:cs="方正小标宋简体"/>
                <w:kern w:val="0"/>
                <w:sz w:val="28"/>
                <w:szCs w:val="28"/>
              </w:rPr>
              <w:t>备注</w:t>
            </w:r>
          </w:p>
        </w:tc>
      </w:tr>
      <w:tr w14:paraId="2BEA6382">
        <w:tblPrEx>
          <w:tblCellMar>
            <w:top w:w="0" w:type="dxa"/>
            <w:left w:w="0" w:type="dxa"/>
            <w:bottom w:w="0" w:type="dxa"/>
            <w:right w:w="0" w:type="dxa"/>
          </w:tblCellMar>
        </w:tblPrEx>
        <w:trPr>
          <w:trHeight w:val="476" w:hRule="exact"/>
        </w:trPr>
        <w:tc>
          <w:tcPr>
            <w:tcW w:w="2347" w:type="pct"/>
            <w:gridSpan w:val="3"/>
            <w:tcBorders>
              <w:top w:val="inset" w:color="000000" w:sz="6" w:space="0"/>
              <w:left w:val="inset" w:color="000000" w:sz="6" w:space="0"/>
              <w:bottom w:val="inset" w:color="000000" w:sz="6" w:space="0"/>
              <w:right w:val="inset" w:color="000000" w:sz="6" w:space="0"/>
            </w:tcBorders>
            <w:vAlign w:val="center"/>
          </w:tcPr>
          <w:p w14:paraId="2CECB024">
            <w:pPr>
              <w:overflowPunct/>
              <w:topLinePunct w:val="0"/>
              <w:adjustRightInd/>
              <w:spacing w:line="240" w:lineRule="atLeast"/>
              <w:ind w:firstLine="0" w:firstLineChars="0"/>
              <w:jc w:val="center"/>
              <w:rPr>
                <w:kern w:val="0"/>
                <w:sz w:val="28"/>
                <w:szCs w:val="28"/>
              </w:rPr>
            </w:pPr>
            <w:r>
              <w:rPr>
                <w:kern w:val="0"/>
                <w:sz w:val="28"/>
                <w:szCs w:val="28"/>
              </w:rPr>
              <w:t>出动人员数</w:t>
            </w:r>
          </w:p>
        </w:tc>
        <w:tc>
          <w:tcPr>
            <w:tcW w:w="897" w:type="pct"/>
            <w:tcBorders>
              <w:top w:val="inset" w:color="000000" w:sz="6" w:space="0"/>
              <w:left w:val="single" w:color="auto" w:sz="0" w:space="0"/>
              <w:bottom w:val="inset" w:color="000000" w:sz="6" w:space="0"/>
              <w:right w:val="single" w:color="auto" w:sz="4" w:space="0"/>
            </w:tcBorders>
          </w:tcPr>
          <w:p w14:paraId="5D24D9F9">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4F2BB2D3">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47E80737">
            <w:pPr>
              <w:overflowPunct/>
              <w:topLinePunct w:val="0"/>
              <w:adjustRightInd/>
              <w:spacing w:line="240" w:lineRule="atLeast"/>
              <w:ind w:firstLine="552"/>
              <w:jc w:val="left"/>
              <w:rPr>
                <w:kern w:val="0"/>
                <w:sz w:val="28"/>
                <w:szCs w:val="28"/>
              </w:rPr>
            </w:pPr>
          </w:p>
        </w:tc>
      </w:tr>
      <w:tr w14:paraId="7F61DE08">
        <w:tblPrEx>
          <w:tblCellMar>
            <w:top w:w="0" w:type="dxa"/>
            <w:left w:w="0" w:type="dxa"/>
            <w:bottom w:w="0" w:type="dxa"/>
            <w:right w:w="0" w:type="dxa"/>
          </w:tblCellMar>
        </w:tblPrEx>
        <w:trPr>
          <w:trHeight w:val="476" w:hRule="exact"/>
        </w:trPr>
        <w:tc>
          <w:tcPr>
            <w:tcW w:w="2347" w:type="pct"/>
            <w:gridSpan w:val="3"/>
            <w:tcBorders>
              <w:top w:val="inset" w:color="000000" w:sz="6" w:space="0"/>
              <w:left w:val="inset" w:color="000000" w:sz="6" w:space="0"/>
              <w:bottom w:val="inset" w:color="000000" w:sz="6" w:space="0"/>
              <w:right w:val="inset" w:color="000000" w:sz="6" w:space="0"/>
            </w:tcBorders>
            <w:vAlign w:val="center"/>
          </w:tcPr>
          <w:p w14:paraId="4FF3C6CE">
            <w:pPr>
              <w:overflowPunct/>
              <w:topLinePunct w:val="0"/>
              <w:adjustRightInd/>
              <w:spacing w:line="240" w:lineRule="atLeast"/>
              <w:ind w:firstLine="0" w:firstLineChars="0"/>
              <w:jc w:val="center"/>
              <w:rPr>
                <w:kern w:val="0"/>
                <w:sz w:val="28"/>
                <w:szCs w:val="28"/>
              </w:rPr>
            </w:pPr>
            <w:r>
              <w:rPr>
                <w:kern w:val="0"/>
                <w:sz w:val="28"/>
                <w:szCs w:val="28"/>
              </w:rPr>
              <w:t>发放宣传材料份数</w:t>
            </w:r>
          </w:p>
        </w:tc>
        <w:tc>
          <w:tcPr>
            <w:tcW w:w="897" w:type="pct"/>
            <w:tcBorders>
              <w:top w:val="inset" w:color="000000" w:sz="6" w:space="0"/>
              <w:left w:val="single" w:color="auto" w:sz="0" w:space="0"/>
              <w:bottom w:val="inset" w:color="000000" w:sz="6" w:space="0"/>
              <w:right w:val="single" w:color="auto" w:sz="4" w:space="0"/>
            </w:tcBorders>
          </w:tcPr>
          <w:p w14:paraId="40689E37">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705A7DC6">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79202350">
            <w:pPr>
              <w:overflowPunct/>
              <w:topLinePunct w:val="0"/>
              <w:adjustRightInd/>
              <w:spacing w:line="240" w:lineRule="atLeast"/>
              <w:ind w:firstLine="552"/>
              <w:jc w:val="left"/>
              <w:rPr>
                <w:kern w:val="0"/>
                <w:sz w:val="28"/>
                <w:szCs w:val="28"/>
              </w:rPr>
            </w:pPr>
          </w:p>
        </w:tc>
      </w:tr>
      <w:tr w14:paraId="23B872A9">
        <w:tblPrEx>
          <w:tblCellMar>
            <w:top w:w="0" w:type="dxa"/>
            <w:left w:w="0" w:type="dxa"/>
            <w:bottom w:w="0" w:type="dxa"/>
            <w:right w:w="0" w:type="dxa"/>
          </w:tblCellMar>
        </w:tblPrEx>
        <w:trPr>
          <w:trHeight w:val="476" w:hRule="exact"/>
        </w:trPr>
        <w:tc>
          <w:tcPr>
            <w:tcW w:w="2347" w:type="pct"/>
            <w:gridSpan w:val="3"/>
            <w:tcBorders>
              <w:top w:val="inset" w:color="000000" w:sz="6" w:space="0"/>
              <w:left w:val="inset" w:color="000000" w:sz="6" w:space="0"/>
              <w:bottom w:val="inset" w:color="000000" w:sz="6" w:space="0"/>
              <w:right w:val="inset" w:color="000000" w:sz="6" w:space="0"/>
            </w:tcBorders>
            <w:vAlign w:val="center"/>
          </w:tcPr>
          <w:p w14:paraId="4A9D4185">
            <w:pPr>
              <w:overflowPunct/>
              <w:topLinePunct w:val="0"/>
              <w:adjustRightInd/>
              <w:spacing w:line="240" w:lineRule="atLeast"/>
              <w:ind w:firstLine="0" w:firstLineChars="0"/>
              <w:jc w:val="center"/>
              <w:rPr>
                <w:kern w:val="0"/>
                <w:sz w:val="28"/>
                <w:szCs w:val="28"/>
              </w:rPr>
            </w:pPr>
            <w:r>
              <w:rPr>
                <w:rFonts w:hint="eastAsia"/>
                <w:kern w:val="0"/>
                <w:sz w:val="28"/>
                <w:szCs w:val="28"/>
              </w:rPr>
              <w:t>组织专题活动情况</w:t>
            </w:r>
          </w:p>
        </w:tc>
        <w:tc>
          <w:tcPr>
            <w:tcW w:w="897" w:type="pct"/>
            <w:tcBorders>
              <w:top w:val="inset" w:color="000000" w:sz="6" w:space="0"/>
              <w:left w:val="single" w:color="auto" w:sz="0" w:space="0"/>
              <w:bottom w:val="inset" w:color="000000" w:sz="6" w:space="0"/>
              <w:right w:val="single" w:color="auto" w:sz="4" w:space="0"/>
            </w:tcBorders>
          </w:tcPr>
          <w:p w14:paraId="1B8AE9AF">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62A59D37">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1B88666A">
            <w:pPr>
              <w:overflowPunct/>
              <w:topLinePunct w:val="0"/>
              <w:adjustRightInd/>
              <w:spacing w:line="240" w:lineRule="atLeast"/>
              <w:ind w:firstLine="552"/>
              <w:jc w:val="left"/>
              <w:rPr>
                <w:kern w:val="0"/>
                <w:sz w:val="28"/>
                <w:szCs w:val="28"/>
              </w:rPr>
            </w:pPr>
          </w:p>
        </w:tc>
      </w:tr>
      <w:tr w14:paraId="6C1EE8F4">
        <w:tblPrEx>
          <w:tblCellMar>
            <w:top w:w="0" w:type="dxa"/>
            <w:left w:w="0" w:type="dxa"/>
            <w:bottom w:w="0" w:type="dxa"/>
            <w:right w:w="0" w:type="dxa"/>
          </w:tblCellMar>
        </w:tblPrEx>
        <w:trPr>
          <w:trHeight w:val="476" w:hRule="exact"/>
        </w:trPr>
        <w:tc>
          <w:tcPr>
            <w:tcW w:w="2347" w:type="pct"/>
            <w:gridSpan w:val="3"/>
            <w:tcBorders>
              <w:top w:val="inset" w:color="000000" w:sz="6" w:space="0"/>
              <w:left w:val="inset" w:color="000000" w:sz="6" w:space="0"/>
              <w:bottom w:val="inset" w:color="000000" w:sz="6" w:space="0"/>
              <w:right w:val="inset" w:color="000000" w:sz="6" w:space="0"/>
            </w:tcBorders>
            <w:vAlign w:val="center"/>
          </w:tcPr>
          <w:p w14:paraId="1C4EB1D0">
            <w:pPr>
              <w:overflowPunct/>
              <w:topLinePunct w:val="0"/>
              <w:adjustRightInd/>
              <w:spacing w:line="240" w:lineRule="atLeast"/>
              <w:ind w:firstLine="0" w:firstLineChars="0"/>
              <w:jc w:val="center"/>
              <w:rPr>
                <w:kern w:val="0"/>
                <w:sz w:val="28"/>
                <w:szCs w:val="28"/>
              </w:rPr>
            </w:pPr>
            <w:r>
              <w:rPr>
                <w:kern w:val="0"/>
                <w:sz w:val="28"/>
                <w:szCs w:val="28"/>
              </w:rPr>
              <w:t>现场咨询活动</w:t>
            </w:r>
            <w:r>
              <w:rPr>
                <w:rFonts w:hint="eastAsia"/>
                <w:kern w:val="0"/>
                <w:sz w:val="28"/>
                <w:szCs w:val="28"/>
              </w:rPr>
              <w:t>情况</w:t>
            </w:r>
          </w:p>
        </w:tc>
        <w:tc>
          <w:tcPr>
            <w:tcW w:w="897" w:type="pct"/>
            <w:tcBorders>
              <w:top w:val="inset" w:color="000000" w:sz="6" w:space="0"/>
              <w:left w:val="single" w:color="auto" w:sz="0" w:space="0"/>
              <w:bottom w:val="inset" w:color="000000" w:sz="6" w:space="0"/>
              <w:right w:val="single" w:color="auto" w:sz="4" w:space="0"/>
            </w:tcBorders>
          </w:tcPr>
          <w:p w14:paraId="08DEBF25">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493902B4">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6B8873F1">
            <w:pPr>
              <w:overflowPunct/>
              <w:topLinePunct w:val="0"/>
              <w:adjustRightInd/>
              <w:spacing w:line="240" w:lineRule="atLeast"/>
              <w:ind w:firstLine="552"/>
              <w:jc w:val="left"/>
              <w:rPr>
                <w:kern w:val="0"/>
                <w:sz w:val="28"/>
                <w:szCs w:val="28"/>
              </w:rPr>
            </w:pPr>
          </w:p>
        </w:tc>
      </w:tr>
      <w:tr w14:paraId="3DB83ED5">
        <w:tblPrEx>
          <w:tblCellMar>
            <w:top w:w="0" w:type="dxa"/>
            <w:left w:w="0" w:type="dxa"/>
            <w:bottom w:w="0" w:type="dxa"/>
            <w:right w:w="0" w:type="dxa"/>
          </w:tblCellMar>
        </w:tblPrEx>
        <w:trPr>
          <w:trHeight w:val="476" w:hRule="exact"/>
        </w:trPr>
        <w:tc>
          <w:tcPr>
            <w:tcW w:w="2347" w:type="pct"/>
            <w:gridSpan w:val="3"/>
            <w:tcBorders>
              <w:top w:val="inset" w:color="000000" w:sz="6" w:space="0"/>
              <w:left w:val="inset" w:color="000000" w:sz="6" w:space="0"/>
              <w:bottom w:val="inset" w:color="000000" w:sz="6" w:space="0"/>
              <w:right w:val="inset" w:color="000000" w:sz="6" w:space="0"/>
            </w:tcBorders>
            <w:vAlign w:val="center"/>
          </w:tcPr>
          <w:p w14:paraId="25754485">
            <w:pPr>
              <w:overflowPunct/>
              <w:topLinePunct w:val="0"/>
              <w:adjustRightInd/>
              <w:spacing w:line="240" w:lineRule="atLeast"/>
              <w:ind w:firstLine="0" w:firstLineChars="0"/>
              <w:jc w:val="center"/>
              <w:rPr>
                <w:kern w:val="0"/>
                <w:sz w:val="28"/>
                <w:szCs w:val="28"/>
              </w:rPr>
            </w:pPr>
            <w:r>
              <w:rPr>
                <w:kern w:val="0"/>
                <w:sz w:val="28"/>
                <w:szCs w:val="28"/>
              </w:rPr>
              <w:t>接受咨询人数</w:t>
            </w:r>
          </w:p>
        </w:tc>
        <w:tc>
          <w:tcPr>
            <w:tcW w:w="897" w:type="pct"/>
            <w:tcBorders>
              <w:top w:val="inset" w:color="000000" w:sz="6" w:space="0"/>
              <w:left w:val="single" w:color="auto" w:sz="0" w:space="0"/>
              <w:bottom w:val="inset" w:color="000000" w:sz="6" w:space="0"/>
              <w:right w:val="single" w:color="auto" w:sz="4" w:space="0"/>
            </w:tcBorders>
          </w:tcPr>
          <w:p w14:paraId="340155B4">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5CBCCD65">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791FBC68">
            <w:pPr>
              <w:overflowPunct/>
              <w:topLinePunct w:val="0"/>
              <w:adjustRightInd/>
              <w:spacing w:line="240" w:lineRule="atLeast"/>
              <w:ind w:firstLine="552"/>
              <w:jc w:val="left"/>
              <w:rPr>
                <w:kern w:val="0"/>
                <w:sz w:val="28"/>
                <w:szCs w:val="28"/>
              </w:rPr>
            </w:pPr>
          </w:p>
        </w:tc>
      </w:tr>
      <w:tr w14:paraId="32724A41">
        <w:tblPrEx>
          <w:tblCellMar>
            <w:top w:w="0" w:type="dxa"/>
            <w:left w:w="0" w:type="dxa"/>
            <w:bottom w:w="0" w:type="dxa"/>
            <w:right w:w="0" w:type="dxa"/>
          </w:tblCellMar>
        </w:tblPrEx>
        <w:trPr>
          <w:trHeight w:val="476" w:hRule="exact"/>
        </w:trPr>
        <w:tc>
          <w:tcPr>
            <w:tcW w:w="850" w:type="pct"/>
            <w:vMerge w:val="restart"/>
            <w:tcBorders>
              <w:top w:val="inset" w:color="000000" w:sz="6" w:space="0"/>
              <w:left w:val="inset" w:color="000000" w:sz="6" w:space="0"/>
              <w:right w:val="single" w:color="auto" w:sz="4" w:space="0"/>
            </w:tcBorders>
            <w:vAlign w:val="center"/>
          </w:tcPr>
          <w:p w14:paraId="034693D5">
            <w:pPr>
              <w:overflowPunct/>
              <w:topLinePunct w:val="0"/>
              <w:adjustRightInd/>
              <w:spacing w:line="240" w:lineRule="atLeast"/>
              <w:ind w:firstLine="0" w:firstLineChars="0"/>
              <w:jc w:val="center"/>
              <w:rPr>
                <w:kern w:val="0"/>
                <w:sz w:val="28"/>
                <w:szCs w:val="28"/>
              </w:rPr>
            </w:pPr>
            <w:r>
              <w:rPr>
                <w:kern w:val="0"/>
                <w:sz w:val="28"/>
                <w:szCs w:val="28"/>
              </w:rPr>
              <w:t>投诉举报情况</w:t>
            </w:r>
          </w:p>
        </w:tc>
        <w:tc>
          <w:tcPr>
            <w:tcW w:w="1496" w:type="pct"/>
            <w:gridSpan w:val="2"/>
            <w:tcBorders>
              <w:top w:val="inset" w:color="000000" w:sz="6" w:space="0"/>
              <w:left w:val="single" w:color="auto" w:sz="4" w:space="0"/>
              <w:bottom w:val="inset" w:color="000000" w:sz="6" w:space="0"/>
              <w:right w:val="inset" w:color="000000" w:sz="6" w:space="0"/>
            </w:tcBorders>
            <w:vAlign w:val="center"/>
          </w:tcPr>
          <w:p w14:paraId="50763F45">
            <w:pPr>
              <w:overflowPunct/>
              <w:topLinePunct w:val="0"/>
              <w:adjustRightInd/>
              <w:spacing w:line="240" w:lineRule="atLeast"/>
              <w:ind w:firstLine="0" w:firstLineChars="0"/>
              <w:jc w:val="center"/>
              <w:rPr>
                <w:kern w:val="0"/>
                <w:sz w:val="28"/>
                <w:szCs w:val="28"/>
              </w:rPr>
            </w:pPr>
            <w:r>
              <w:rPr>
                <w:kern w:val="0"/>
                <w:sz w:val="28"/>
                <w:szCs w:val="28"/>
              </w:rPr>
              <w:t>受理投诉举报件数</w:t>
            </w:r>
          </w:p>
        </w:tc>
        <w:tc>
          <w:tcPr>
            <w:tcW w:w="897" w:type="pct"/>
            <w:tcBorders>
              <w:top w:val="inset" w:color="000000" w:sz="6" w:space="0"/>
              <w:left w:val="single" w:color="auto" w:sz="0" w:space="0"/>
              <w:bottom w:val="inset" w:color="000000" w:sz="6" w:space="0"/>
              <w:right w:val="single" w:color="auto" w:sz="4" w:space="0"/>
            </w:tcBorders>
          </w:tcPr>
          <w:p w14:paraId="64EEFD41">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78C2AE25">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26ABD391">
            <w:pPr>
              <w:overflowPunct/>
              <w:topLinePunct w:val="0"/>
              <w:adjustRightInd/>
              <w:spacing w:line="240" w:lineRule="atLeast"/>
              <w:ind w:firstLine="552"/>
              <w:jc w:val="left"/>
              <w:rPr>
                <w:kern w:val="0"/>
                <w:sz w:val="28"/>
                <w:szCs w:val="28"/>
              </w:rPr>
            </w:pPr>
          </w:p>
        </w:tc>
      </w:tr>
      <w:tr w14:paraId="73567D30">
        <w:tblPrEx>
          <w:tblCellMar>
            <w:top w:w="0" w:type="dxa"/>
            <w:left w:w="0" w:type="dxa"/>
            <w:bottom w:w="0" w:type="dxa"/>
            <w:right w:w="0" w:type="dxa"/>
          </w:tblCellMar>
        </w:tblPrEx>
        <w:trPr>
          <w:trHeight w:val="476" w:hRule="exact"/>
        </w:trPr>
        <w:tc>
          <w:tcPr>
            <w:tcW w:w="850" w:type="pct"/>
            <w:vMerge w:val="continue"/>
            <w:tcBorders>
              <w:left w:val="inset" w:color="000000" w:sz="6" w:space="0"/>
              <w:bottom w:val="inset" w:color="000000" w:sz="6" w:space="0"/>
              <w:right w:val="single" w:color="auto" w:sz="4" w:space="0"/>
            </w:tcBorders>
            <w:vAlign w:val="center"/>
          </w:tcPr>
          <w:p w14:paraId="38968A53">
            <w:pPr>
              <w:overflowPunct/>
              <w:topLinePunct w:val="0"/>
              <w:adjustRightInd/>
              <w:spacing w:line="240" w:lineRule="atLeast"/>
              <w:ind w:firstLine="552"/>
              <w:jc w:val="center"/>
              <w:rPr>
                <w:kern w:val="0"/>
                <w:sz w:val="28"/>
                <w:szCs w:val="28"/>
              </w:rPr>
            </w:pPr>
          </w:p>
        </w:tc>
        <w:tc>
          <w:tcPr>
            <w:tcW w:w="1496" w:type="pct"/>
            <w:gridSpan w:val="2"/>
            <w:tcBorders>
              <w:top w:val="inset" w:color="000000" w:sz="6" w:space="0"/>
              <w:left w:val="single" w:color="auto" w:sz="4" w:space="0"/>
              <w:bottom w:val="inset" w:color="000000" w:sz="6" w:space="0"/>
              <w:right w:val="inset" w:color="000000" w:sz="6" w:space="0"/>
            </w:tcBorders>
            <w:vAlign w:val="center"/>
          </w:tcPr>
          <w:p w14:paraId="1FBABA3D">
            <w:pPr>
              <w:overflowPunct/>
              <w:topLinePunct w:val="0"/>
              <w:adjustRightInd/>
              <w:spacing w:line="240" w:lineRule="atLeast"/>
              <w:ind w:firstLine="0" w:firstLineChars="0"/>
              <w:jc w:val="center"/>
              <w:rPr>
                <w:kern w:val="0"/>
                <w:sz w:val="28"/>
                <w:szCs w:val="28"/>
              </w:rPr>
            </w:pPr>
            <w:r>
              <w:rPr>
                <w:kern w:val="0"/>
                <w:sz w:val="28"/>
                <w:szCs w:val="28"/>
              </w:rPr>
              <w:t>解决/反馈件数</w:t>
            </w:r>
          </w:p>
        </w:tc>
        <w:tc>
          <w:tcPr>
            <w:tcW w:w="897" w:type="pct"/>
            <w:tcBorders>
              <w:top w:val="inset" w:color="000000" w:sz="6" w:space="0"/>
              <w:left w:val="single" w:color="auto" w:sz="0" w:space="0"/>
              <w:bottom w:val="inset" w:color="000000" w:sz="6" w:space="0"/>
              <w:right w:val="single" w:color="auto" w:sz="4" w:space="0"/>
            </w:tcBorders>
          </w:tcPr>
          <w:p w14:paraId="6D9FE8C2">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39887853">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08192E99">
            <w:pPr>
              <w:overflowPunct/>
              <w:topLinePunct w:val="0"/>
              <w:adjustRightInd/>
              <w:spacing w:line="240" w:lineRule="atLeast"/>
              <w:ind w:firstLine="552"/>
              <w:jc w:val="left"/>
              <w:rPr>
                <w:kern w:val="0"/>
                <w:sz w:val="28"/>
                <w:szCs w:val="28"/>
              </w:rPr>
            </w:pPr>
          </w:p>
        </w:tc>
      </w:tr>
      <w:tr w14:paraId="415B37A7">
        <w:tblPrEx>
          <w:tblCellMar>
            <w:top w:w="0" w:type="dxa"/>
            <w:left w:w="0" w:type="dxa"/>
            <w:bottom w:w="0" w:type="dxa"/>
            <w:right w:w="0" w:type="dxa"/>
          </w:tblCellMar>
        </w:tblPrEx>
        <w:trPr>
          <w:trHeight w:val="476" w:hRule="exact"/>
        </w:trPr>
        <w:tc>
          <w:tcPr>
            <w:tcW w:w="2347" w:type="pct"/>
            <w:gridSpan w:val="3"/>
            <w:tcBorders>
              <w:top w:val="inset" w:color="000000" w:sz="6" w:space="0"/>
              <w:left w:val="inset" w:color="000000" w:sz="6" w:space="0"/>
              <w:bottom w:val="inset" w:color="000000" w:sz="6" w:space="0"/>
              <w:right w:val="inset" w:color="000000" w:sz="6" w:space="0"/>
            </w:tcBorders>
            <w:vAlign w:val="center"/>
          </w:tcPr>
          <w:p w14:paraId="0BB7D249">
            <w:pPr>
              <w:overflowPunct/>
              <w:topLinePunct w:val="0"/>
              <w:adjustRightInd/>
              <w:spacing w:line="240" w:lineRule="atLeast"/>
              <w:ind w:firstLine="0" w:firstLineChars="0"/>
              <w:jc w:val="center"/>
              <w:rPr>
                <w:kern w:val="0"/>
                <w:sz w:val="28"/>
                <w:szCs w:val="28"/>
              </w:rPr>
            </w:pPr>
            <w:r>
              <w:rPr>
                <w:kern w:val="0"/>
                <w:sz w:val="28"/>
                <w:szCs w:val="28"/>
              </w:rPr>
              <w:t>媒体报道次数</w:t>
            </w:r>
          </w:p>
        </w:tc>
        <w:tc>
          <w:tcPr>
            <w:tcW w:w="897" w:type="pct"/>
            <w:tcBorders>
              <w:top w:val="inset" w:color="000000" w:sz="6" w:space="0"/>
              <w:left w:val="single" w:color="auto" w:sz="0" w:space="0"/>
              <w:bottom w:val="inset" w:color="000000" w:sz="6" w:space="0"/>
              <w:right w:val="single" w:color="auto" w:sz="4" w:space="0"/>
            </w:tcBorders>
          </w:tcPr>
          <w:p w14:paraId="5C78D710">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4AF93C4B">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1121EA3B">
            <w:pPr>
              <w:overflowPunct/>
              <w:topLinePunct w:val="0"/>
              <w:adjustRightInd/>
              <w:spacing w:line="240" w:lineRule="atLeast"/>
              <w:ind w:firstLine="552"/>
              <w:jc w:val="left"/>
              <w:rPr>
                <w:kern w:val="0"/>
                <w:sz w:val="28"/>
                <w:szCs w:val="28"/>
              </w:rPr>
            </w:pPr>
          </w:p>
        </w:tc>
      </w:tr>
      <w:tr w14:paraId="1C52C78E">
        <w:tblPrEx>
          <w:tblCellMar>
            <w:top w:w="0" w:type="dxa"/>
            <w:left w:w="0" w:type="dxa"/>
            <w:bottom w:w="0" w:type="dxa"/>
            <w:right w:w="0" w:type="dxa"/>
          </w:tblCellMar>
        </w:tblPrEx>
        <w:trPr>
          <w:trHeight w:val="476" w:hRule="exact"/>
        </w:trPr>
        <w:tc>
          <w:tcPr>
            <w:tcW w:w="2347" w:type="pct"/>
            <w:gridSpan w:val="3"/>
            <w:tcBorders>
              <w:top w:val="inset" w:color="000000" w:sz="6" w:space="0"/>
              <w:left w:val="inset" w:color="000000" w:sz="6" w:space="0"/>
              <w:bottom w:val="inset" w:color="000000" w:sz="6" w:space="0"/>
              <w:right w:val="inset" w:color="000000" w:sz="6" w:space="0"/>
            </w:tcBorders>
            <w:vAlign w:val="center"/>
          </w:tcPr>
          <w:p w14:paraId="2EE91C8F">
            <w:pPr>
              <w:overflowPunct/>
              <w:topLinePunct w:val="0"/>
              <w:adjustRightInd/>
              <w:spacing w:line="240" w:lineRule="atLeast"/>
              <w:ind w:firstLine="0" w:firstLineChars="0"/>
              <w:jc w:val="center"/>
              <w:rPr>
                <w:kern w:val="0"/>
                <w:sz w:val="28"/>
                <w:szCs w:val="28"/>
              </w:rPr>
            </w:pPr>
            <w:r>
              <w:rPr>
                <w:kern w:val="0"/>
                <w:sz w:val="28"/>
                <w:szCs w:val="28"/>
              </w:rPr>
              <w:t>专访、讲座、培训次数</w:t>
            </w:r>
          </w:p>
        </w:tc>
        <w:tc>
          <w:tcPr>
            <w:tcW w:w="897" w:type="pct"/>
            <w:tcBorders>
              <w:top w:val="inset" w:color="000000" w:sz="6" w:space="0"/>
              <w:left w:val="single" w:color="auto" w:sz="0" w:space="0"/>
              <w:bottom w:val="inset" w:color="000000" w:sz="6" w:space="0"/>
              <w:right w:val="single" w:color="auto" w:sz="4" w:space="0"/>
            </w:tcBorders>
          </w:tcPr>
          <w:p w14:paraId="026291D5">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402699CD">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7A6B7CC0">
            <w:pPr>
              <w:overflowPunct/>
              <w:topLinePunct w:val="0"/>
              <w:adjustRightInd/>
              <w:spacing w:line="240" w:lineRule="atLeast"/>
              <w:ind w:firstLine="552"/>
              <w:jc w:val="left"/>
              <w:rPr>
                <w:kern w:val="0"/>
                <w:sz w:val="28"/>
                <w:szCs w:val="28"/>
              </w:rPr>
            </w:pPr>
          </w:p>
        </w:tc>
      </w:tr>
      <w:tr w14:paraId="08F7441C">
        <w:tblPrEx>
          <w:tblCellMar>
            <w:top w:w="0" w:type="dxa"/>
            <w:left w:w="0" w:type="dxa"/>
            <w:bottom w:w="0" w:type="dxa"/>
            <w:right w:w="0" w:type="dxa"/>
          </w:tblCellMar>
        </w:tblPrEx>
        <w:trPr>
          <w:trHeight w:val="476" w:hRule="exact"/>
        </w:trPr>
        <w:tc>
          <w:tcPr>
            <w:tcW w:w="1065" w:type="pct"/>
            <w:gridSpan w:val="2"/>
            <w:vMerge w:val="restart"/>
            <w:tcBorders>
              <w:top w:val="single" w:color="auto" w:sz="0" w:space="0"/>
              <w:left w:val="inset" w:color="000000" w:sz="6" w:space="0"/>
              <w:right w:val="inset" w:color="000000" w:sz="6" w:space="0"/>
            </w:tcBorders>
            <w:vAlign w:val="center"/>
          </w:tcPr>
          <w:p w14:paraId="1F9049D4">
            <w:pPr>
              <w:overflowPunct/>
              <w:topLinePunct w:val="0"/>
              <w:spacing w:line="280" w:lineRule="atLeast"/>
              <w:ind w:firstLine="0" w:firstLineChars="0"/>
              <w:jc w:val="left"/>
              <w:rPr>
                <w:kern w:val="0"/>
                <w:sz w:val="28"/>
                <w:szCs w:val="28"/>
              </w:rPr>
            </w:pPr>
            <w:r>
              <w:rPr>
                <w:kern w:val="0"/>
                <w:sz w:val="28"/>
                <w:szCs w:val="28"/>
              </w:rPr>
              <w:t>食品安全“</w:t>
            </w:r>
            <w:r>
              <w:rPr>
                <w:rFonts w:hint="eastAsia"/>
                <w:kern w:val="0"/>
                <w:sz w:val="28"/>
                <w:szCs w:val="28"/>
              </w:rPr>
              <w:t>走进</w:t>
            </w:r>
            <w:r>
              <w:rPr>
                <w:kern w:val="0"/>
                <w:sz w:val="28"/>
                <w:szCs w:val="28"/>
              </w:rPr>
              <w:t>”宣传次数/人数</w:t>
            </w:r>
          </w:p>
        </w:tc>
        <w:tc>
          <w:tcPr>
            <w:tcW w:w="1281" w:type="pct"/>
            <w:tcBorders>
              <w:top w:val="inset" w:color="000000" w:sz="6" w:space="0"/>
              <w:left w:val="single" w:color="auto" w:sz="0" w:space="0"/>
              <w:bottom w:val="single" w:color="000000" w:sz="4" w:space="0"/>
              <w:right w:val="inset" w:color="000000" w:sz="6" w:space="0"/>
            </w:tcBorders>
            <w:vAlign w:val="center"/>
          </w:tcPr>
          <w:p w14:paraId="00928022">
            <w:pPr>
              <w:overflowPunct/>
              <w:topLinePunct w:val="0"/>
              <w:adjustRightInd/>
              <w:spacing w:line="240" w:lineRule="atLeast"/>
              <w:ind w:firstLine="552"/>
              <w:jc w:val="left"/>
              <w:rPr>
                <w:kern w:val="0"/>
                <w:sz w:val="28"/>
                <w:szCs w:val="28"/>
              </w:rPr>
            </w:pPr>
            <w:r>
              <w:rPr>
                <w:rFonts w:hint="eastAsia"/>
                <w:kern w:val="0"/>
                <w:sz w:val="28"/>
                <w:szCs w:val="28"/>
              </w:rPr>
              <w:t>走进田间地头</w:t>
            </w:r>
          </w:p>
        </w:tc>
        <w:tc>
          <w:tcPr>
            <w:tcW w:w="897" w:type="pct"/>
            <w:tcBorders>
              <w:top w:val="inset" w:color="000000" w:sz="6" w:space="0"/>
              <w:left w:val="single" w:color="auto" w:sz="0" w:space="0"/>
              <w:bottom w:val="single" w:color="000000" w:sz="4" w:space="0"/>
              <w:right w:val="single" w:color="auto" w:sz="4" w:space="0"/>
            </w:tcBorders>
          </w:tcPr>
          <w:p w14:paraId="1C58CA6E">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single" w:color="000000" w:sz="4" w:space="0"/>
              <w:right w:val="single" w:color="auto" w:sz="4" w:space="0"/>
            </w:tcBorders>
          </w:tcPr>
          <w:p w14:paraId="7D876210">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single" w:color="000000" w:sz="4" w:space="0"/>
              <w:right w:val="inset" w:color="000000" w:sz="6" w:space="0"/>
            </w:tcBorders>
          </w:tcPr>
          <w:p w14:paraId="3B6B7C39">
            <w:pPr>
              <w:overflowPunct/>
              <w:topLinePunct w:val="0"/>
              <w:adjustRightInd/>
              <w:spacing w:line="240" w:lineRule="atLeast"/>
              <w:ind w:firstLine="552"/>
              <w:jc w:val="left"/>
              <w:rPr>
                <w:kern w:val="0"/>
                <w:sz w:val="28"/>
                <w:szCs w:val="28"/>
              </w:rPr>
            </w:pPr>
          </w:p>
        </w:tc>
      </w:tr>
      <w:tr w14:paraId="5D6A0EC1">
        <w:tblPrEx>
          <w:tblCellMar>
            <w:top w:w="0" w:type="dxa"/>
            <w:left w:w="0" w:type="dxa"/>
            <w:bottom w:w="0" w:type="dxa"/>
            <w:right w:w="0" w:type="dxa"/>
          </w:tblCellMar>
        </w:tblPrEx>
        <w:trPr>
          <w:trHeight w:val="476" w:hRule="exact"/>
        </w:trPr>
        <w:tc>
          <w:tcPr>
            <w:tcW w:w="1065" w:type="pct"/>
            <w:gridSpan w:val="2"/>
            <w:vMerge w:val="continue"/>
            <w:tcBorders>
              <w:left w:val="inset" w:color="000000" w:sz="6" w:space="0"/>
              <w:right w:val="inset" w:color="000000" w:sz="6" w:space="0"/>
            </w:tcBorders>
            <w:vAlign w:val="center"/>
          </w:tcPr>
          <w:p w14:paraId="2EA7485D">
            <w:pPr>
              <w:overflowPunct/>
              <w:topLinePunct w:val="0"/>
              <w:adjustRightInd/>
              <w:spacing w:line="240" w:lineRule="atLeast"/>
              <w:ind w:firstLine="552"/>
              <w:jc w:val="left"/>
              <w:rPr>
                <w:kern w:val="0"/>
                <w:sz w:val="28"/>
                <w:szCs w:val="28"/>
              </w:rPr>
            </w:pPr>
          </w:p>
        </w:tc>
        <w:tc>
          <w:tcPr>
            <w:tcW w:w="1281" w:type="pct"/>
            <w:tcBorders>
              <w:top w:val="single" w:color="000000" w:sz="4" w:space="0"/>
              <w:left w:val="single" w:color="auto" w:sz="0" w:space="0"/>
              <w:bottom w:val="inset" w:color="000000" w:sz="6" w:space="0"/>
              <w:right w:val="inset" w:color="000000" w:sz="6" w:space="0"/>
            </w:tcBorders>
            <w:vAlign w:val="center"/>
          </w:tcPr>
          <w:p w14:paraId="6789F7E5">
            <w:pPr>
              <w:overflowPunct/>
              <w:topLinePunct w:val="0"/>
              <w:adjustRightInd/>
              <w:spacing w:line="240" w:lineRule="atLeast"/>
              <w:ind w:firstLine="552"/>
              <w:jc w:val="left"/>
              <w:rPr>
                <w:kern w:val="0"/>
                <w:sz w:val="28"/>
                <w:szCs w:val="28"/>
              </w:rPr>
            </w:pPr>
            <w:r>
              <w:rPr>
                <w:rFonts w:hint="eastAsia"/>
                <w:kern w:val="0"/>
                <w:sz w:val="28"/>
                <w:szCs w:val="28"/>
              </w:rPr>
              <w:t>走进生产企业</w:t>
            </w:r>
          </w:p>
        </w:tc>
        <w:tc>
          <w:tcPr>
            <w:tcW w:w="897" w:type="pct"/>
            <w:tcBorders>
              <w:top w:val="single" w:color="000000" w:sz="4" w:space="0"/>
              <w:left w:val="single" w:color="auto" w:sz="0" w:space="0"/>
              <w:bottom w:val="inset" w:color="000000" w:sz="6" w:space="0"/>
              <w:right w:val="single" w:color="auto" w:sz="4" w:space="0"/>
            </w:tcBorders>
          </w:tcPr>
          <w:p w14:paraId="2BC391FB">
            <w:pPr>
              <w:overflowPunct/>
              <w:topLinePunct w:val="0"/>
              <w:adjustRightInd/>
              <w:spacing w:line="240" w:lineRule="atLeast"/>
              <w:ind w:firstLine="552"/>
              <w:jc w:val="left"/>
              <w:rPr>
                <w:kern w:val="0"/>
                <w:sz w:val="28"/>
                <w:szCs w:val="28"/>
              </w:rPr>
            </w:pPr>
          </w:p>
        </w:tc>
        <w:tc>
          <w:tcPr>
            <w:tcW w:w="879" w:type="pct"/>
            <w:tcBorders>
              <w:top w:val="single" w:color="000000" w:sz="4" w:space="0"/>
              <w:left w:val="single" w:color="auto" w:sz="0" w:space="0"/>
              <w:bottom w:val="inset" w:color="000000" w:sz="6" w:space="0"/>
              <w:right w:val="single" w:color="auto" w:sz="4" w:space="0"/>
            </w:tcBorders>
          </w:tcPr>
          <w:p w14:paraId="1BFEED7A">
            <w:pPr>
              <w:overflowPunct/>
              <w:topLinePunct w:val="0"/>
              <w:adjustRightInd/>
              <w:spacing w:line="240" w:lineRule="atLeast"/>
              <w:ind w:firstLine="552"/>
              <w:jc w:val="left"/>
              <w:rPr>
                <w:kern w:val="0"/>
                <w:sz w:val="28"/>
                <w:szCs w:val="28"/>
              </w:rPr>
            </w:pPr>
          </w:p>
        </w:tc>
        <w:tc>
          <w:tcPr>
            <w:tcW w:w="877" w:type="pct"/>
            <w:tcBorders>
              <w:top w:val="single" w:color="000000" w:sz="4" w:space="0"/>
              <w:left w:val="single" w:color="auto" w:sz="4" w:space="0"/>
              <w:bottom w:val="inset" w:color="000000" w:sz="6" w:space="0"/>
              <w:right w:val="inset" w:color="000000" w:sz="6" w:space="0"/>
            </w:tcBorders>
          </w:tcPr>
          <w:p w14:paraId="701B06B6">
            <w:pPr>
              <w:overflowPunct/>
              <w:topLinePunct w:val="0"/>
              <w:adjustRightInd/>
              <w:spacing w:line="240" w:lineRule="atLeast"/>
              <w:ind w:firstLine="552"/>
              <w:jc w:val="left"/>
              <w:rPr>
                <w:kern w:val="0"/>
                <w:sz w:val="28"/>
                <w:szCs w:val="28"/>
              </w:rPr>
            </w:pPr>
          </w:p>
        </w:tc>
      </w:tr>
      <w:tr w14:paraId="4023B736">
        <w:tblPrEx>
          <w:tblCellMar>
            <w:top w:w="0" w:type="dxa"/>
            <w:left w:w="0" w:type="dxa"/>
            <w:bottom w:w="0" w:type="dxa"/>
            <w:right w:w="0" w:type="dxa"/>
          </w:tblCellMar>
        </w:tblPrEx>
        <w:trPr>
          <w:trHeight w:val="476" w:hRule="exact"/>
        </w:trPr>
        <w:tc>
          <w:tcPr>
            <w:tcW w:w="1065" w:type="pct"/>
            <w:gridSpan w:val="2"/>
            <w:vMerge w:val="continue"/>
            <w:tcBorders>
              <w:left w:val="inset" w:color="000000" w:sz="6" w:space="0"/>
              <w:right w:val="inset" w:color="000000" w:sz="6" w:space="0"/>
            </w:tcBorders>
            <w:vAlign w:val="center"/>
          </w:tcPr>
          <w:p w14:paraId="1628276E">
            <w:pPr>
              <w:overflowPunct/>
              <w:topLinePunct w:val="0"/>
              <w:adjustRightInd/>
              <w:spacing w:line="240" w:lineRule="atLeast"/>
              <w:ind w:firstLine="552"/>
              <w:jc w:val="left"/>
              <w:rPr>
                <w:kern w:val="0"/>
                <w:sz w:val="28"/>
                <w:szCs w:val="28"/>
              </w:rPr>
            </w:pPr>
          </w:p>
        </w:tc>
        <w:tc>
          <w:tcPr>
            <w:tcW w:w="1281" w:type="pct"/>
            <w:tcBorders>
              <w:top w:val="inset" w:color="000000" w:sz="6" w:space="0"/>
              <w:left w:val="single" w:color="auto" w:sz="0" w:space="0"/>
              <w:bottom w:val="inset" w:color="000000" w:sz="6" w:space="0"/>
              <w:right w:val="inset" w:color="000000" w:sz="6" w:space="0"/>
            </w:tcBorders>
            <w:vAlign w:val="center"/>
          </w:tcPr>
          <w:p w14:paraId="4978F753">
            <w:pPr>
              <w:overflowPunct/>
              <w:topLinePunct w:val="0"/>
              <w:adjustRightInd/>
              <w:spacing w:line="240" w:lineRule="atLeast"/>
              <w:ind w:firstLine="552"/>
              <w:jc w:val="left"/>
              <w:rPr>
                <w:kern w:val="0"/>
                <w:sz w:val="28"/>
                <w:szCs w:val="28"/>
              </w:rPr>
            </w:pPr>
            <w:r>
              <w:rPr>
                <w:rFonts w:hint="eastAsia"/>
                <w:kern w:val="0"/>
                <w:sz w:val="28"/>
                <w:szCs w:val="28"/>
              </w:rPr>
              <w:t>走进市场</w:t>
            </w:r>
          </w:p>
        </w:tc>
        <w:tc>
          <w:tcPr>
            <w:tcW w:w="897" w:type="pct"/>
            <w:tcBorders>
              <w:top w:val="inset" w:color="000000" w:sz="6" w:space="0"/>
              <w:left w:val="single" w:color="auto" w:sz="0" w:space="0"/>
              <w:bottom w:val="inset" w:color="000000" w:sz="6" w:space="0"/>
              <w:right w:val="single" w:color="auto" w:sz="4" w:space="0"/>
            </w:tcBorders>
          </w:tcPr>
          <w:p w14:paraId="4EE203A9">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0A0720AC">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729413A9">
            <w:pPr>
              <w:overflowPunct/>
              <w:topLinePunct w:val="0"/>
              <w:adjustRightInd/>
              <w:spacing w:line="240" w:lineRule="atLeast"/>
              <w:ind w:firstLine="552"/>
              <w:jc w:val="left"/>
              <w:rPr>
                <w:kern w:val="0"/>
                <w:sz w:val="28"/>
                <w:szCs w:val="28"/>
              </w:rPr>
            </w:pPr>
          </w:p>
        </w:tc>
      </w:tr>
      <w:tr w14:paraId="663713B3">
        <w:tblPrEx>
          <w:tblCellMar>
            <w:top w:w="0" w:type="dxa"/>
            <w:left w:w="0" w:type="dxa"/>
            <w:bottom w:w="0" w:type="dxa"/>
            <w:right w:w="0" w:type="dxa"/>
          </w:tblCellMar>
        </w:tblPrEx>
        <w:trPr>
          <w:trHeight w:val="476" w:hRule="exact"/>
        </w:trPr>
        <w:tc>
          <w:tcPr>
            <w:tcW w:w="1065" w:type="pct"/>
            <w:gridSpan w:val="2"/>
            <w:vMerge w:val="continue"/>
            <w:tcBorders>
              <w:left w:val="inset" w:color="000000" w:sz="6" w:space="0"/>
              <w:right w:val="inset" w:color="000000" w:sz="6" w:space="0"/>
            </w:tcBorders>
            <w:vAlign w:val="center"/>
          </w:tcPr>
          <w:p w14:paraId="5AA3F92D">
            <w:pPr>
              <w:overflowPunct/>
              <w:topLinePunct w:val="0"/>
              <w:adjustRightInd/>
              <w:spacing w:line="240" w:lineRule="atLeast"/>
              <w:ind w:firstLine="552"/>
              <w:jc w:val="left"/>
              <w:rPr>
                <w:kern w:val="0"/>
                <w:sz w:val="28"/>
                <w:szCs w:val="28"/>
              </w:rPr>
            </w:pPr>
          </w:p>
        </w:tc>
        <w:tc>
          <w:tcPr>
            <w:tcW w:w="1281" w:type="pct"/>
            <w:tcBorders>
              <w:top w:val="inset" w:color="000000" w:sz="6" w:space="0"/>
              <w:left w:val="single" w:color="auto" w:sz="0" w:space="0"/>
              <w:bottom w:val="inset" w:color="000000" w:sz="6" w:space="0"/>
              <w:right w:val="inset" w:color="000000" w:sz="6" w:space="0"/>
            </w:tcBorders>
            <w:vAlign w:val="center"/>
          </w:tcPr>
          <w:p w14:paraId="7DE2FB82">
            <w:pPr>
              <w:overflowPunct/>
              <w:topLinePunct w:val="0"/>
              <w:adjustRightInd/>
              <w:spacing w:line="240" w:lineRule="atLeast"/>
              <w:ind w:firstLine="552"/>
              <w:jc w:val="left"/>
              <w:rPr>
                <w:kern w:val="0"/>
                <w:sz w:val="28"/>
                <w:szCs w:val="28"/>
              </w:rPr>
            </w:pPr>
            <w:r>
              <w:rPr>
                <w:rFonts w:hint="eastAsia"/>
                <w:kern w:val="0"/>
                <w:sz w:val="28"/>
                <w:szCs w:val="28"/>
              </w:rPr>
              <w:t>走进餐饮企业</w:t>
            </w:r>
          </w:p>
        </w:tc>
        <w:tc>
          <w:tcPr>
            <w:tcW w:w="897" w:type="pct"/>
            <w:tcBorders>
              <w:top w:val="inset" w:color="000000" w:sz="6" w:space="0"/>
              <w:left w:val="single" w:color="auto" w:sz="0" w:space="0"/>
              <w:bottom w:val="inset" w:color="000000" w:sz="6" w:space="0"/>
              <w:right w:val="single" w:color="auto" w:sz="4" w:space="0"/>
            </w:tcBorders>
          </w:tcPr>
          <w:p w14:paraId="11B6F404">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4F605BB7">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3A7D1300">
            <w:pPr>
              <w:overflowPunct/>
              <w:topLinePunct w:val="0"/>
              <w:adjustRightInd/>
              <w:spacing w:line="240" w:lineRule="atLeast"/>
              <w:ind w:firstLine="552"/>
              <w:jc w:val="left"/>
              <w:rPr>
                <w:kern w:val="0"/>
                <w:sz w:val="28"/>
                <w:szCs w:val="28"/>
              </w:rPr>
            </w:pPr>
          </w:p>
        </w:tc>
      </w:tr>
      <w:tr w14:paraId="13127152">
        <w:tblPrEx>
          <w:tblCellMar>
            <w:top w:w="0" w:type="dxa"/>
            <w:left w:w="0" w:type="dxa"/>
            <w:bottom w:w="0" w:type="dxa"/>
            <w:right w:w="0" w:type="dxa"/>
          </w:tblCellMar>
        </w:tblPrEx>
        <w:trPr>
          <w:trHeight w:val="476" w:hRule="exact"/>
        </w:trPr>
        <w:tc>
          <w:tcPr>
            <w:tcW w:w="1065" w:type="pct"/>
            <w:gridSpan w:val="2"/>
            <w:vMerge w:val="continue"/>
            <w:tcBorders>
              <w:left w:val="inset" w:color="000000" w:sz="6" w:space="0"/>
              <w:right w:val="inset" w:color="000000" w:sz="6" w:space="0"/>
            </w:tcBorders>
            <w:vAlign w:val="center"/>
          </w:tcPr>
          <w:p w14:paraId="240955F4">
            <w:pPr>
              <w:overflowPunct/>
              <w:topLinePunct w:val="0"/>
              <w:adjustRightInd/>
              <w:spacing w:line="240" w:lineRule="atLeast"/>
              <w:ind w:firstLine="552"/>
              <w:jc w:val="left"/>
              <w:rPr>
                <w:kern w:val="0"/>
                <w:sz w:val="28"/>
                <w:szCs w:val="28"/>
              </w:rPr>
            </w:pPr>
          </w:p>
        </w:tc>
        <w:tc>
          <w:tcPr>
            <w:tcW w:w="1281" w:type="pct"/>
            <w:tcBorders>
              <w:top w:val="inset" w:color="000000" w:sz="6" w:space="0"/>
              <w:left w:val="single" w:color="auto" w:sz="0" w:space="0"/>
              <w:bottom w:val="inset" w:color="000000" w:sz="6" w:space="0"/>
              <w:right w:val="inset" w:color="000000" w:sz="6" w:space="0"/>
            </w:tcBorders>
            <w:vAlign w:val="center"/>
          </w:tcPr>
          <w:p w14:paraId="7495A807">
            <w:pPr>
              <w:overflowPunct/>
              <w:topLinePunct w:val="0"/>
              <w:adjustRightInd/>
              <w:spacing w:line="240" w:lineRule="atLeast"/>
              <w:ind w:firstLine="552"/>
              <w:jc w:val="left"/>
              <w:rPr>
                <w:kern w:val="0"/>
                <w:sz w:val="28"/>
                <w:szCs w:val="28"/>
              </w:rPr>
            </w:pPr>
            <w:r>
              <w:rPr>
                <w:rFonts w:hint="eastAsia"/>
                <w:kern w:val="0"/>
                <w:sz w:val="28"/>
                <w:szCs w:val="28"/>
              </w:rPr>
              <w:t>走进社区</w:t>
            </w:r>
          </w:p>
        </w:tc>
        <w:tc>
          <w:tcPr>
            <w:tcW w:w="897" w:type="pct"/>
            <w:tcBorders>
              <w:top w:val="inset" w:color="000000" w:sz="6" w:space="0"/>
              <w:left w:val="single" w:color="auto" w:sz="0" w:space="0"/>
              <w:bottom w:val="inset" w:color="000000" w:sz="6" w:space="0"/>
              <w:right w:val="single" w:color="auto" w:sz="4" w:space="0"/>
            </w:tcBorders>
          </w:tcPr>
          <w:p w14:paraId="47172A36">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2017A0DF">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4DB8C629">
            <w:pPr>
              <w:overflowPunct/>
              <w:topLinePunct w:val="0"/>
              <w:adjustRightInd/>
              <w:spacing w:line="240" w:lineRule="atLeast"/>
              <w:ind w:firstLine="552"/>
              <w:jc w:val="left"/>
              <w:rPr>
                <w:kern w:val="0"/>
                <w:sz w:val="28"/>
                <w:szCs w:val="28"/>
              </w:rPr>
            </w:pPr>
          </w:p>
        </w:tc>
      </w:tr>
      <w:tr w14:paraId="5B8C5E26">
        <w:tblPrEx>
          <w:tblCellMar>
            <w:top w:w="0" w:type="dxa"/>
            <w:left w:w="0" w:type="dxa"/>
            <w:bottom w:w="0" w:type="dxa"/>
            <w:right w:w="0" w:type="dxa"/>
          </w:tblCellMar>
        </w:tblPrEx>
        <w:trPr>
          <w:trHeight w:val="476" w:hRule="exact"/>
        </w:trPr>
        <w:tc>
          <w:tcPr>
            <w:tcW w:w="1065" w:type="pct"/>
            <w:gridSpan w:val="2"/>
            <w:vMerge w:val="continue"/>
            <w:tcBorders>
              <w:left w:val="inset" w:color="000000" w:sz="6" w:space="0"/>
              <w:right w:val="inset" w:color="000000" w:sz="6" w:space="0"/>
            </w:tcBorders>
            <w:vAlign w:val="center"/>
          </w:tcPr>
          <w:p w14:paraId="24507677">
            <w:pPr>
              <w:overflowPunct/>
              <w:topLinePunct w:val="0"/>
              <w:adjustRightInd/>
              <w:spacing w:line="240" w:lineRule="atLeast"/>
              <w:ind w:firstLine="552"/>
              <w:jc w:val="left"/>
              <w:rPr>
                <w:kern w:val="0"/>
                <w:sz w:val="28"/>
                <w:szCs w:val="28"/>
              </w:rPr>
            </w:pPr>
          </w:p>
        </w:tc>
        <w:tc>
          <w:tcPr>
            <w:tcW w:w="1281" w:type="pct"/>
            <w:tcBorders>
              <w:top w:val="inset" w:color="000000" w:sz="6" w:space="0"/>
              <w:left w:val="single" w:color="auto" w:sz="0" w:space="0"/>
              <w:bottom w:val="inset" w:color="000000" w:sz="6" w:space="0"/>
              <w:right w:val="inset" w:color="000000" w:sz="6" w:space="0"/>
            </w:tcBorders>
            <w:vAlign w:val="center"/>
          </w:tcPr>
          <w:p w14:paraId="460165C5">
            <w:pPr>
              <w:overflowPunct/>
              <w:topLinePunct w:val="0"/>
              <w:adjustRightInd/>
              <w:spacing w:line="240" w:lineRule="atLeast"/>
              <w:ind w:firstLine="552"/>
              <w:jc w:val="left"/>
              <w:rPr>
                <w:kern w:val="0"/>
                <w:sz w:val="28"/>
                <w:szCs w:val="28"/>
              </w:rPr>
            </w:pPr>
            <w:r>
              <w:rPr>
                <w:rFonts w:hint="eastAsia"/>
                <w:kern w:val="0"/>
                <w:sz w:val="28"/>
                <w:szCs w:val="28"/>
              </w:rPr>
              <w:t>走进学校</w:t>
            </w:r>
          </w:p>
        </w:tc>
        <w:tc>
          <w:tcPr>
            <w:tcW w:w="897" w:type="pct"/>
            <w:tcBorders>
              <w:top w:val="inset" w:color="000000" w:sz="6" w:space="0"/>
              <w:left w:val="single" w:color="auto" w:sz="0" w:space="0"/>
              <w:bottom w:val="inset" w:color="000000" w:sz="6" w:space="0"/>
              <w:right w:val="single" w:color="auto" w:sz="4" w:space="0"/>
            </w:tcBorders>
          </w:tcPr>
          <w:p w14:paraId="52AE8974">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4DECB07F">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37DA32E2">
            <w:pPr>
              <w:overflowPunct/>
              <w:topLinePunct w:val="0"/>
              <w:adjustRightInd/>
              <w:spacing w:line="240" w:lineRule="atLeast"/>
              <w:ind w:firstLine="552"/>
              <w:jc w:val="left"/>
              <w:rPr>
                <w:kern w:val="0"/>
                <w:sz w:val="28"/>
                <w:szCs w:val="28"/>
              </w:rPr>
            </w:pPr>
          </w:p>
        </w:tc>
      </w:tr>
      <w:tr w14:paraId="3C3D3E66">
        <w:tblPrEx>
          <w:tblCellMar>
            <w:top w:w="0" w:type="dxa"/>
            <w:left w:w="0" w:type="dxa"/>
            <w:bottom w:w="0" w:type="dxa"/>
            <w:right w:w="0" w:type="dxa"/>
          </w:tblCellMar>
        </w:tblPrEx>
        <w:trPr>
          <w:trHeight w:val="476" w:hRule="exact"/>
        </w:trPr>
        <w:tc>
          <w:tcPr>
            <w:tcW w:w="1065" w:type="pct"/>
            <w:gridSpan w:val="2"/>
            <w:vMerge w:val="continue"/>
            <w:tcBorders>
              <w:left w:val="inset" w:color="000000" w:sz="6" w:space="0"/>
              <w:right w:val="inset" w:color="000000" w:sz="6" w:space="0"/>
            </w:tcBorders>
            <w:vAlign w:val="center"/>
          </w:tcPr>
          <w:p w14:paraId="467DD34A">
            <w:pPr>
              <w:overflowPunct/>
              <w:topLinePunct w:val="0"/>
              <w:adjustRightInd/>
              <w:spacing w:line="240" w:lineRule="atLeast"/>
              <w:ind w:firstLine="552"/>
              <w:jc w:val="left"/>
              <w:rPr>
                <w:kern w:val="0"/>
                <w:sz w:val="28"/>
                <w:szCs w:val="28"/>
              </w:rPr>
            </w:pPr>
          </w:p>
        </w:tc>
        <w:tc>
          <w:tcPr>
            <w:tcW w:w="1281" w:type="pct"/>
            <w:tcBorders>
              <w:top w:val="inset" w:color="000000" w:sz="6" w:space="0"/>
              <w:left w:val="single" w:color="auto" w:sz="0" w:space="0"/>
              <w:bottom w:val="inset" w:color="000000" w:sz="6" w:space="0"/>
              <w:right w:val="inset" w:color="000000" w:sz="6" w:space="0"/>
            </w:tcBorders>
            <w:vAlign w:val="center"/>
          </w:tcPr>
          <w:p w14:paraId="1713405C">
            <w:pPr>
              <w:overflowPunct/>
              <w:topLinePunct w:val="0"/>
              <w:adjustRightInd/>
              <w:spacing w:line="240" w:lineRule="atLeast"/>
              <w:ind w:firstLine="552"/>
              <w:jc w:val="left"/>
              <w:rPr>
                <w:kern w:val="0"/>
                <w:sz w:val="28"/>
                <w:szCs w:val="28"/>
              </w:rPr>
            </w:pPr>
            <w:r>
              <w:rPr>
                <w:rFonts w:hint="eastAsia"/>
                <w:kern w:val="0"/>
                <w:sz w:val="28"/>
                <w:szCs w:val="28"/>
              </w:rPr>
              <w:t>走进进口食品</w:t>
            </w:r>
          </w:p>
        </w:tc>
        <w:tc>
          <w:tcPr>
            <w:tcW w:w="897" w:type="pct"/>
            <w:tcBorders>
              <w:top w:val="inset" w:color="000000" w:sz="6" w:space="0"/>
              <w:left w:val="single" w:color="auto" w:sz="0" w:space="0"/>
              <w:bottom w:val="inset" w:color="000000" w:sz="6" w:space="0"/>
              <w:right w:val="single" w:color="auto" w:sz="4" w:space="0"/>
            </w:tcBorders>
          </w:tcPr>
          <w:p w14:paraId="020F8AD6">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551ADD58">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72ACB825">
            <w:pPr>
              <w:overflowPunct/>
              <w:topLinePunct w:val="0"/>
              <w:adjustRightInd/>
              <w:spacing w:line="240" w:lineRule="atLeast"/>
              <w:ind w:firstLine="552"/>
              <w:jc w:val="left"/>
              <w:rPr>
                <w:kern w:val="0"/>
                <w:sz w:val="28"/>
                <w:szCs w:val="28"/>
              </w:rPr>
            </w:pPr>
          </w:p>
        </w:tc>
      </w:tr>
      <w:tr w14:paraId="54CE300E">
        <w:tblPrEx>
          <w:tblCellMar>
            <w:top w:w="0" w:type="dxa"/>
            <w:left w:w="0" w:type="dxa"/>
            <w:bottom w:w="0" w:type="dxa"/>
            <w:right w:w="0" w:type="dxa"/>
          </w:tblCellMar>
        </w:tblPrEx>
        <w:trPr>
          <w:trHeight w:val="476" w:hRule="exact"/>
        </w:trPr>
        <w:tc>
          <w:tcPr>
            <w:tcW w:w="2347" w:type="pct"/>
            <w:gridSpan w:val="3"/>
            <w:tcBorders>
              <w:top w:val="inset" w:color="000000" w:sz="6" w:space="0"/>
              <w:left w:val="inset" w:color="000000" w:sz="6" w:space="0"/>
              <w:bottom w:val="inset" w:color="000000" w:sz="6" w:space="0"/>
              <w:right w:val="inset" w:color="000000" w:sz="6" w:space="0"/>
            </w:tcBorders>
            <w:vAlign w:val="center"/>
          </w:tcPr>
          <w:p w14:paraId="791B7F0B">
            <w:pPr>
              <w:overflowPunct/>
              <w:topLinePunct w:val="0"/>
              <w:adjustRightInd/>
              <w:spacing w:line="240" w:lineRule="atLeast"/>
              <w:ind w:firstLine="0" w:firstLineChars="0"/>
              <w:jc w:val="center"/>
              <w:rPr>
                <w:kern w:val="0"/>
                <w:sz w:val="28"/>
                <w:szCs w:val="28"/>
              </w:rPr>
            </w:pPr>
            <w:r>
              <w:rPr>
                <w:kern w:val="0"/>
                <w:sz w:val="28"/>
                <w:szCs w:val="28"/>
              </w:rPr>
              <w:t>播放各类公益广告（次）</w:t>
            </w:r>
          </w:p>
        </w:tc>
        <w:tc>
          <w:tcPr>
            <w:tcW w:w="897" w:type="pct"/>
            <w:tcBorders>
              <w:top w:val="inset" w:color="000000" w:sz="6" w:space="0"/>
              <w:left w:val="single" w:color="auto" w:sz="0" w:space="0"/>
              <w:bottom w:val="inset" w:color="000000" w:sz="6" w:space="0"/>
              <w:right w:val="single" w:color="auto" w:sz="4" w:space="0"/>
            </w:tcBorders>
          </w:tcPr>
          <w:p w14:paraId="4F2D4EC0">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1860DA1E">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5458825F">
            <w:pPr>
              <w:overflowPunct/>
              <w:topLinePunct w:val="0"/>
              <w:adjustRightInd/>
              <w:spacing w:line="240" w:lineRule="atLeast"/>
              <w:ind w:firstLine="552"/>
              <w:jc w:val="left"/>
              <w:rPr>
                <w:kern w:val="0"/>
                <w:sz w:val="28"/>
                <w:szCs w:val="28"/>
              </w:rPr>
            </w:pPr>
          </w:p>
        </w:tc>
      </w:tr>
      <w:tr w14:paraId="04B82E55">
        <w:tblPrEx>
          <w:tblCellMar>
            <w:top w:w="0" w:type="dxa"/>
            <w:left w:w="0" w:type="dxa"/>
            <w:bottom w:w="0" w:type="dxa"/>
            <w:right w:w="0" w:type="dxa"/>
          </w:tblCellMar>
        </w:tblPrEx>
        <w:trPr>
          <w:trHeight w:val="476" w:hRule="exact"/>
        </w:trPr>
        <w:tc>
          <w:tcPr>
            <w:tcW w:w="2347" w:type="pct"/>
            <w:gridSpan w:val="3"/>
            <w:tcBorders>
              <w:top w:val="inset" w:color="000000" w:sz="6" w:space="0"/>
              <w:left w:val="inset" w:color="000000" w:sz="6" w:space="0"/>
              <w:bottom w:val="inset" w:color="000000" w:sz="6" w:space="0"/>
              <w:right w:val="inset" w:color="000000" w:sz="6" w:space="0"/>
            </w:tcBorders>
            <w:vAlign w:val="center"/>
          </w:tcPr>
          <w:p w14:paraId="4F80AB87">
            <w:pPr>
              <w:overflowPunct/>
              <w:topLinePunct w:val="0"/>
              <w:adjustRightInd/>
              <w:spacing w:line="240" w:lineRule="atLeast"/>
              <w:ind w:firstLine="0" w:firstLineChars="0"/>
              <w:jc w:val="center"/>
              <w:rPr>
                <w:kern w:val="0"/>
                <w:sz w:val="28"/>
                <w:szCs w:val="28"/>
              </w:rPr>
            </w:pPr>
            <w:r>
              <w:rPr>
                <w:kern w:val="0"/>
                <w:sz w:val="28"/>
                <w:szCs w:val="28"/>
              </w:rPr>
              <w:t>张贴诚信宣传画（张）</w:t>
            </w:r>
          </w:p>
        </w:tc>
        <w:tc>
          <w:tcPr>
            <w:tcW w:w="897" w:type="pct"/>
            <w:tcBorders>
              <w:top w:val="inset" w:color="000000" w:sz="6" w:space="0"/>
              <w:left w:val="single" w:color="auto" w:sz="0" w:space="0"/>
              <w:bottom w:val="inset" w:color="000000" w:sz="6" w:space="0"/>
              <w:right w:val="single" w:color="auto" w:sz="4" w:space="0"/>
            </w:tcBorders>
          </w:tcPr>
          <w:p w14:paraId="7ACD664A">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1D9201CB">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6B393DB2">
            <w:pPr>
              <w:overflowPunct/>
              <w:topLinePunct w:val="0"/>
              <w:adjustRightInd/>
              <w:spacing w:line="240" w:lineRule="atLeast"/>
              <w:ind w:firstLine="552"/>
              <w:jc w:val="left"/>
              <w:rPr>
                <w:kern w:val="0"/>
                <w:sz w:val="28"/>
                <w:szCs w:val="28"/>
              </w:rPr>
            </w:pPr>
          </w:p>
        </w:tc>
      </w:tr>
      <w:tr w14:paraId="0F702954">
        <w:tblPrEx>
          <w:tblCellMar>
            <w:top w:w="0" w:type="dxa"/>
            <w:left w:w="0" w:type="dxa"/>
            <w:bottom w:w="0" w:type="dxa"/>
            <w:right w:w="0" w:type="dxa"/>
          </w:tblCellMar>
        </w:tblPrEx>
        <w:trPr>
          <w:trHeight w:val="476" w:hRule="exact"/>
        </w:trPr>
        <w:tc>
          <w:tcPr>
            <w:tcW w:w="2347" w:type="pct"/>
            <w:gridSpan w:val="3"/>
            <w:tcBorders>
              <w:top w:val="inset" w:color="000000" w:sz="6" w:space="0"/>
              <w:left w:val="inset" w:color="000000" w:sz="6" w:space="0"/>
              <w:bottom w:val="inset" w:color="000000" w:sz="6" w:space="0"/>
              <w:right w:val="inset" w:color="000000" w:sz="6" w:space="0"/>
            </w:tcBorders>
            <w:vAlign w:val="center"/>
          </w:tcPr>
          <w:p w14:paraId="522C0FDC">
            <w:pPr>
              <w:overflowPunct/>
              <w:topLinePunct w:val="0"/>
              <w:adjustRightInd/>
              <w:spacing w:line="240" w:lineRule="atLeast"/>
              <w:ind w:firstLine="0" w:firstLineChars="0"/>
              <w:jc w:val="center"/>
              <w:rPr>
                <w:kern w:val="0"/>
                <w:sz w:val="28"/>
                <w:szCs w:val="28"/>
              </w:rPr>
            </w:pPr>
            <w:r>
              <w:rPr>
                <w:kern w:val="0"/>
                <w:sz w:val="28"/>
                <w:szCs w:val="28"/>
              </w:rPr>
              <w:t>制作展板（个）</w:t>
            </w:r>
          </w:p>
        </w:tc>
        <w:tc>
          <w:tcPr>
            <w:tcW w:w="897" w:type="pct"/>
            <w:tcBorders>
              <w:top w:val="inset" w:color="000000" w:sz="6" w:space="0"/>
              <w:left w:val="single" w:color="auto" w:sz="0" w:space="0"/>
              <w:bottom w:val="inset" w:color="000000" w:sz="6" w:space="0"/>
              <w:right w:val="single" w:color="auto" w:sz="4" w:space="0"/>
            </w:tcBorders>
          </w:tcPr>
          <w:p w14:paraId="7EB86955">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31F93CC7">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54A70635">
            <w:pPr>
              <w:overflowPunct/>
              <w:topLinePunct w:val="0"/>
              <w:adjustRightInd/>
              <w:spacing w:line="240" w:lineRule="atLeast"/>
              <w:ind w:firstLine="552"/>
              <w:jc w:val="left"/>
              <w:rPr>
                <w:kern w:val="0"/>
                <w:sz w:val="28"/>
                <w:szCs w:val="28"/>
              </w:rPr>
            </w:pPr>
          </w:p>
        </w:tc>
      </w:tr>
      <w:tr w14:paraId="38798FA0">
        <w:tblPrEx>
          <w:tblCellMar>
            <w:top w:w="0" w:type="dxa"/>
            <w:left w:w="0" w:type="dxa"/>
            <w:bottom w:w="0" w:type="dxa"/>
            <w:right w:w="0" w:type="dxa"/>
          </w:tblCellMar>
        </w:tblPrEx>
        <w:trPr>
          <w:trHeight w:val="476" w:hRule="exact"/>
        </w:trPr>
        <w:tc>
          <w:tcPr>
            <w:tcW w:w="2347" w:type="pct"/>
            <w:gridSpan w:val="3"/>
            <w:tcBorders>
              <w:top w:val="inset" w:color="000000" w:sz="6" w:space="0"/>
              <w:left w:val="inset" w:color="000000" w:sz="6" w:space="0"/>
              <w:bottom w:val="inset" w:color="000000" w:sz="6" w:space="0"/>
              <w:right w:val="inset" w:color="000000" w:sz="6" w:space="0"/>
            </w:tcBorders>
            <w:vAlign w:val="center"/>
          </w:tcPr>
          <w:p w14:paraId="28042C2A">
            <w:pPr>
              <w:overflowPunct/>
              <w:topLinePunct w:val="0"/>
              <w:adjustRightInd/>
              <w:spacing w:line="240" w:lineRule="atLeast"/>
              <w:ind w:firstLine="0" w:firstLineChars="0"/>
              <w:jc w:val="center"/>
              <w:rPr>
                <w:kern w:val="0"/>
                <w:sz w:val="28"/>
                <w:szCs w:val="28"/>
              </w:rPr>
            </w:pPr>
            <w:r>
              <w:rPr>
                <w:kern w:val="0"/>
                <w:sz w:val="28"/>
                <w:szCs w:val="28"/>
              </w:rPr>
              <w:t>制挂标语（条）</w:t>
            </w:r>
          </w:p>
        </w:tc>
        <w:tc>
          <w:tcPr>
            <w:tcW w:w="897" w:type="pct"/>
            <w:tcBorders>
              <w:top w:val="inset" w:color="000000" w:sz="6" w:space="0"/>
              <w:left w:val="single" w:color="auto" w:sz="0" w:space="0"/>
              <w:bottom w:val="inset" w:color="000000" w:sz="6" w:space="0"/>
              <w:right w:val="single" w:color="auto" w:sz="4" w:space="0"/>
            </w:tcBorders>
          </w:tcPr>
          <w:p w14:paraId="3329F84F">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inset" w:color="000000" w:sz="6" w:space="0"/>
              <w:right w:val="single" w:color="auto" w:sz="4" w:space="0"/>
            </w:tcBorders>
          </w:tcPr>
          <w:p w14:paraId="58408B93">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inset" w:color="000000" w:sz="6" w:space="0"/>
              <w:right w:val="inset" w:color="000000" w:sz="6" w:space="0"/>
            </w:tcBorders>
          </w:tcPr>
          <w:p w14:paraId="0379F3BA">
            <w:pPr>
              <w:overflowPunct/>
              <w:topLinePunct w:val="0"/>
              <w:adjustRightInd/>
              <w:spacing w:line="240" w:lineRule="atLeast"/>
              <w:ind w:firstLine="552"/>
              <w:jc w:val="left"/>
              <w:rPr>
                <w:kern w:val="0"/>
                <w:sz w:val="28"/>
                <w:szCs w:val="28"/>
              </w:rPr>
            </w:pPr>
          </w:p>
        </w:tc>
      </w:tr>
      <w:tr w14:paraId="0183EE7C">
        <w:tblPrEx>
          <w:tblCellMar>
            <w:top w:w="0" w:type="dxa"/>
            <w:left w:w="0" w:type="dxa"/>
            <w:bottom w:w="0" w:type="dxa"/>
            <w:right w:w="0" w:type="dxa"/>
          </w:tblCellMar>
        </w:tblPrEx>
        <w:trPr>
          <w:trHeight w:val="476" w:hRule="exact"/>
        </w:trPr>
        <w:tc>
          <w:tcPr>
            <w:tcW w:w="2347" w:type="pct"/>
            <w:gridSpan w:val="3"/>
            <w:tcBorders>
              <w:top w:val="inset" w:color="000000" w:sz="6" w:space="0"/>
              <w:left w:val="inset" w:color="000000" w:sz="6" w:space="0"/>
              <w:bottom w:val="single" w:color="000000" w:sz="4" w:space="0"/>
              <w:right w:val="inset" w:color="000000" w:sz="6" w:space="0"/>
            </w:tcBorders>
            <w:vAlign w:val="center"/>
          </w:tcPr>
          <w:p w14:paraId="25B4F550">
            <w:pPr>
              <w:overflowPunct/>
              <w:topLinePunct w:val="0"/>
              <w:adjustRightInd/>
              <w:spacing w:line="240" w:lineRule="atLeast"/>
              <w:ind w:firstLine="0" w:firstLineChars="0"/>
              <w:jc w:val="center"/>
              <w:rPr>
                <w:kern w:val="0"/>
                <w:sz w:val="28"/>
                <w:szCs w:val="28"/>
              </w:rPr>
            </w:pPr>
            <w:r>
              <w:rPr>
                <w:kern w:val="0"/>
                <w:sz w:val="28"/>
                <w:szCs w:val="28"/>
              </w:rPr>
              <w:t>其他</w:t>
            </w:r>
          </w:p>
        </w:tc>
        <w:tc>
          <w:tcPr>
            <w:tcW w:w="897" w:type="pct"/>
            <w:tcBorders>
              <w:top w:val="inset" w:color="000000" w:sz="6" w:space="0"/>
              <w:left w:val="single" w:color="auto" w:sz="0" w:space="0"/>
              <w:bottom w:val="single" w:color="000000" w:sz="4" w:space="0"/>
              <w:right w:val="single" w:color="auto" w:sz="4" w:space="0"/>
            </w:tcBorders>
          </w:tcPr>
          <w:p w14:paraId="014A45AB">
            <w:pPr>
              <w:overflowPunct/>
              <w:topLinePunct w:val="0"/>
              <w:adjustRightInd/>
              <w:spacing w:line="240" w:lineRule="atLeast"/>
              <w:ind w:firstLine="552"/>
              <w:jc w:val="left"/>
              <w:rPr>
                <w:kern w:val="0"/>
                <w:sz w:val="28"/>
                <w:szCs w:val="28"/>
              </w:rPr>
            </w:pPr>
          </w:p>
        </w:tc>
        <w:tc>
          <w:tcPr>
            <w:tcW w:w="879" w:type="pct"/>
            <w:tcBorders>
              <w:top w:val="inset" w:color="000000" w:sz="6" w:space="0"/>
              <w:left w:val="single" w:color="auto" w:sz="0" w:space="0"/>
              <w:bottom w:val="single" w:color="000000" w:sz="4" w:space="0"/>
              <w:right w:val="single" w:color="auto" w:sz="4" w:space="0"/>
            </w:tcBorders>
          </w:tcPr>
          <w:p w14:paraId="50A0FBED">
            <w:pPr>
              <w:overflowPunct/>
              <w:topLinePunct w:val="0"/>
              <w:adjustRightInd/>
              <w:spacing w:line="240" w:lineRule="atLeast"/>
              <w:ind w:firstLine="552"/>
              <w:jc w:val="left"/>
              <w:rPr>
                <w:kern w:val="0"/>
                <w:sz w:val="28"/>
                <w:szCs w:val="28"/>
              </w:rPr>
            </w:pPr>
          </w:p>
        </w:tc>
        <w:tc>
          <w:tcPr>
            <w:tcW w:w="877" w:type="pct"/>
            <w:tcBorders>
              <w:top w:val="inset" w:color="000000" w:sz="6" w:space="0"/>
              <w:left w:val="single" w:color="auto" w:sz="4" w:space="0"/>
              <w:bottom w:val="single" w:color="000000" w:sz="4" w:space="0"/>
              <w:right w:val="inset" w:color="000000" w:sz="6" w:space="0"/>
            </w:tcBorders>
          </w:tcPr>
          <w:p w14:paraId="3DD2A006">
            <w:pPr>
              <w:overflowPunct/>
              <w:topLinePunct w:val="0"/>
              <w:adjustRightInd/>
              <w:spacing w:line="240" w:lineRule="atLeast"/>
              <w:ind w:firstLine="552"/>
              <w:jc w:val="left"/>
              <w:rPr>
                <w:kern w:val="0"/>
                <w:sz w:val="28"/>
                <w:szCs w:val="28"/>
              </w:rPr>
            </w:pPr>
          </w:p>
        </w:tc>
      </w:tr>
    </w:tbl>
    <w:p w14:paraId="1B0F62E7">
      <w:pPr>
        <w:spacing w:line="520" w:lineRule="exact"/>
        <w:ind w:firstLine="552"/>
        <w:rPr>
          <w:sz w:val="28"/>
          <w:szCs w:val="28"/>
        </w:rPr>
        <w:sectPr>
          <w:pgSz w:w="11906" w:h="16838"/>
          <w:pgMar w:top="2098" w:right="1474" w:bottom="1984" w:left="1587" w:header="851" w:footer="1077" w:gutter="0"/>
          <w:pgNumType w:fmt="numberInDash" w:start="1"/>
          <w:cols w:space="0" w:num="1"/>
          <w:docGrid w:type="linesAndChars" w:linePitch="579" w:charSpace="-842"/>
        </w:sectPr>
      </w:pPr>
    </w:p>
    <w:p w14:paraId="15FBAB9A">
      <w:pPr>
        <w:pStyle w:val="2"/>
        <w:ind w:firstLine="0" w:firstLineChars="0"/>
        <w:rPr>
          <w:rFonts w:hint="default"/>
        </w:rPr>
      </w:pPr>
    </w:p>
    <w:p w14:paraId="716151DD">
      <w:pPr>
        <w:spacing w:line="520" w:lineRule="exact"/>
        <w:ind w:firstLine="552"/>
        <w:rPr>
          <w:sz w:val="28"/>
          <w:szCs w:val="28"/>
        </w:rPr>
      </w:pPr>
    </w:p>
    <w:p w14:paraId="43570F6C">
      <w:pPr>
        <w:spacing w:line="520" w:lineRule="exact"/>
        <w:ind w:firstLine="552"/>
        <w:rPr>
          <w:sz w:val="28"/>
          <w:szCs w:val="28"/>
        </w:rPr>
      </w:pPr>
    </w:p>
    <w:p w14:paraId="72C7FE6A">
      <w:pPr>
        <w:spacing w:line="520" w:lineRule="exact"/>
        <w:ind w:firstLine="552"/>
        <w:rPr>
          <w:sz w:val="28"/>
          <w:szCs w:val="28"/>
        </w:rPr>
      </w:pPr>
    </w:p>
    <w:p w14:paraId="2F4077F2">
      <w:pPr>
        <w:spacing w:line="520" w:lineRule="exact"/>
        <w:ind w:firstLine="552"/>
        <w:rPr>
          <w:sz w:val="28"/>
          <w:szCs w:val="28"/>
        </w:rPr>
      </w:pPr>
    </w:p>
    <w:p w14:paraId="5F7D1218">
      <w:pPr>
        <w:spacing w:line="520" w:lineRule="exact"/>
        <w:ind w:firstLine="552"/>
        <w:rPr>
          <w:sz w:val="28"/>
          <w:szCs w:val="28"/>
        </w:rPr>
      </w:pPr>
    </w:p>
    <w:p w14:paraId="64380AFB">
      <w:pPr>
        <w:spacing w:line="520" w:lineRule="exact"/>
        <w:ind w:firstLine="552"/>
        <w:rPr>
          <w:sz w:val="28"/>
          <w:szCs w:val="28"/>
        </w:rPr>
      </w:pPr>
    </w:p>
    <w:p w14:paraId="0C7C7B15">
      <w:pPr>
        <w:spacing w:line="520" w:lineRule="exact"/>
        <w:ind w:firstLine="552"/>
        <w:rPr>
          <w:sz w:val="28"/>
          <w:szCs w:val="28"/>
        </w:rPr>
      </w:pPr>
    </w:p>
    <w:p w14:paraId="389C401C">
      <w:pPr>
        <w:spacing w:line="520" w:lineRule="exact"/>
        <w:ind w:firstLine="552"/>
        <w:rPr>
          <w:sz w:val="28"/>
          <w:szCs w:val="28"/>
        </w:rPr>
      </w:pPr>
    </w:p>
    <w:p w14:paraId="3BAF2690">
      <w:pPr>
        <w:spacing w:line="520" w:lineRule="exact"/>
        <w:ind w:firstLine="552"/>
        <w:rPr>
          <w:sz w:val="28"/>
          <w:szCs w:val="28"/>
        </w:rPr>
      </w:pPr>
    </w:p>
    <w:p w14:paraId="55C2BC2E">
      <w:pPr>
        <w:spacing w:line="520" w:lineRule="exact"/>
        <w:ind w:firstLine="552"/>
        <w:rPr>
          <w:sz w:val="28"/>
          <w:szCs w:val="28"/>
        </w:rPr>
      </w:pPr>
    </w:p>
    <w:p w14:paraId="476B9BAC">
      <w:pPr>
        <w:spacing w:line="520" w:lineRule="exact"/>
        <w:ind w:firstLine="552"/>
        <w:rPr>
          <w:sz w:val="28"/>
          <w:szCs w:val="28"/>
        </w:rPr>
      </w:pPr>
    </w:p>
    <w:p w14:paraId="2726E976">
      <w:pPr>
        <w:spacing w:line="520" w:lineRule="exact"/>
        <w:ind w:firstLine="552"/>
        <w:rPr>
          <w:sz w:val="28"/>
          <w:szCs w:val="28"/>
        </w:rPr>
      </w:pPr>
    </w:p>
    <w:p w14:paraId="477B1F92">
      <w:pPr>
        <w:spacing w:line="520" w:lineRule="exact"/>
        <w:ind w:firstLine="552"/>
        <w:rPr>
          <w:sz w:val="28"/>
          <w:szCs w:val="28"/>
        </w:rPr>
      </w:pPr>
    </w:p>
    <w:p w14:paraId="3343E953">
      <w:pPr>
        <w:pStyle w:val="2"/>
        <w:ind w:firstLine="352"/>
        <w:rPr>
          <w:rFonts w:hint="default"/>
        </w:rPr>
      </w:pPr>
    </w:p>
    <w:p w14:paraId="4347A085">
      <w:pPr>
        <w:pStyle w:val="2"/>
        <w:ind w:firstLine="352"/>
        <w:rPr>
          <w:rFonts w:hint="default"/>
        </w:rPr>
      </w:pPr>
    </w:p>
    <w:p w14:paraId="548CCF50">
      <w:pPr>
        <w:pStyle w:val="2"/>
        <w:ind w:firstLine="352"/>
        <w:rPr>
          <w:rFonts w:hint="default"/>
        </w:rPr>
      </w:pPr>
    </w:p>
    <w:p w14:paraId="77D8E56A">
      <w:pPr>
        <w:spacing w:line="520" w:lineRule="exact"/>
        <w:ind w:firstLine="552"/>
        <w:rPr>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column">
                  <wp:posOffset>-233680</wp:posOffset>
                </wp:positionH>
                <wp:positionV relativeFrom="paragraph">
                  <wp:posOffset>320040</wp:posOffset>
                </wp:positionV>
                <wp:extent cx="5850890" cy="3175"/>
                <wp:effectExtent l="0" t="0" r="0" b="0"/>
                <wp:wrapNone/>
                <wp:docPr id="1" name="直接箭头连接符 1"/>
                <wp:cNvGraphicFramePr/>
                <a:graphic xmlns:a="http://schemas.openxmlformats.org/drawingml/2006/main">
                  <a:graphicData uri="http://schemas.microsoft.com/office/word/2010/wordprocessingShape">
                    <wps:wsp>
                      <wps:cNvCnPr/>
                      <wps:spPr>
                        <a:xfrm flipV="1">
                          <a:off x="0" y="0"/>
                          <a:ext cx="5850890" cy="3175"/>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18.4pt;margin-top:25.2pt;height:0.25pt;width:460.7pt;z-index:251659264;mso-width-relative:page;mso-height-relative:page;" filled="f" stroked="t" coordsize="21600,21600" o:gfxdata="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P241AfYAAAACQEAAA8AAAAAAAAAAQAgAAAAIgAAAGRy&#10;cy9kb3ducmV2LnhtbFBLAQIUABQAAAAIAIdO4kC/Dgo5BQIAAPoDAAAOAAAAAAAAAAEAIAAAACcB&#10;AABkcnMvZTJvRG9jLnhtbFBLBQYAAAAABgAGAFkBAACeBQAAAAA=&#10;">
                <v:fill on="f" focussize="0,0"/>
                <v:stroke weight="1pt" color="#000000" joinstyle="round"/>
                <v:imagedata o:title=""/>
                <o:lock v:ext="edit" aspectratio="f"/>
              </v:shape>
            </w:pict>
          </mc:Fallback>
        </mc:AlternateContent>
      </w:r>
    </w:p>
    <w:p w14:paraId="6A527FF3">
      <w:pPr>
        <w:spacing w:line="520" w:lineRule="exact"/>
        <w:ind w:firstLine="0" w:firstLineChars="0"/>
        <w:rPr>
          <w:rFonts w:ascii="仿宋_GB2312" w:hAnsi="仿宋_GB2312" w:cs="仿宋_GB2312"/>
          <w:sz w:val="28"/>
          <w:szCs w:val="28"/>
          <w:lang w:val="en"/>
        </w:rPr>
      </w:pPr>
      <w:r>
        <w:rPr>
          <w:rFonts w:hint="eastAsia" w:ascii="仿宋_GB2312" w:hAnsi="仿宋_GB2312" w:cs="仿宋_GB2312"/>
          <w:sz w:val="28"/>
          <w:szCs w:val="28"/>
        </w:rPr>
        <w:t>抄送：各区食药安办。</w:t>
      </w:r>
    </w:p>
    <w:p w14:paraId="2FE221B2">
      <w:pPr>
        <w:ind w:firstLine="0" w:firstLineChars="0"/>
        <w:rPr>
          <w:rFonts w:ascii="仿宋_GB2312" w:hAnsi="仿宋_GB2312" w:cs="仿宋_GB2312"/>
          <w:sz w:val="28"/>
          <w:szCs w:val="28"/>
        </w:rPr>
      </w:pPr>
      <w:r>
        <w:rPr>
          <w:rFonts w:hint="eastAsia" w:ascii="仿宋_GB2312" w:hAnsi="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-233680</wp:posOffset>
                </wp:positionH>
                <wp:positionV relativeFrom="paragraph">
                  <wp:posOffset>402590</wp:posOffset>
                </wp:positionV>
                <wp:extent cx="5831840" cy="0"/>
                <wp:effectExtent l="0" t="0" r="0" b="0"/>
                <wp:wrapNone/>
                <wp:docPr id="3" name="直接箭头连接符 3"/>
                <wp:cNvGraphicFramePr/>
                <a:graphic xmlns:a="http://schemas.openxmlformats.org/drawingml/2006/main">
                  <a:graphicData uri="http://schemas.microsoft.com/office/word/2010/wordprocessingShape">
                    <wps:wsp>
                      <wps:cNvCnPr/>
                      <wps:spPr>
                        <a:xfrm>
                          <a:off x="0" y="0"/>
                          <a:ext cx="583184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8.4pt;margin-top:31.7pt;height:0pt;width:459.2pt;z-index:251661312;mso-width-relative:page;mso-height-relative:page;" filled="f" stroked="t" coordsize="21600,21600" o:gfxdata="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VGTvvVAAAACQEAAA8AAAAAAAAAAQAgAAAAIgAAAGRycy9kb3ducmV2Lnht&#10;bFBLAQIUABQAAAAIAIdO4kDt/hYO/AEAAO0DAAAOAAAAAAAAAAEAIAAAACQBAABkcnMvZTJvRG9j&#10;LnhtbFBLBQYAAAAABgAGAFkBAACSBQAAAAA=&#10;">
                <v:fill on="f" focussize="0,0"/>
                <v:stroke weight="1pt" color="#000000" joinstyle="round"/>
                <v:imagedata o:title=""/>
                <o:lock v:ext="edit" aspectratio="f"/>
              </v:shape>
            </w:pict>
          </mc:Fallback>
        </mc:AlternateContent>
      </w:r>
      <w:r>
        <w:rPr>
          <w:rFonts w:hint="eastAsia" w:ascii="仿宋_GB2312" w:hAnsi="仿宋_GB2312" w:cs="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-233680</wp:posOffset>
                </wp:positionH>
                <wp:positionV relativeFrom="paragraph">
                  <wp:posOffset>2540</wp:posOffset>
                </wp:positionV>
                <wp:extent cx="5831840" cy="0"/>
                <wp:effectExtent l="0" t="0" r="0" b="0"/>
                <wp:wrapNone/>
                <wp:docPr id="4" name="直接箭头连接符 4"/>
                <wp:cNvGraphicFramePr/>
                <a:graphic xmlns:a="http://schemas.openxmlformats.org/drawingml/2006/main">
                  <a:graphicData uri="http://schemas.microsoft.com/office/word/2010/wordprocessingShape">
                    <wps:wsp>
                      <wps:cNvCnPr/>
                      <wps:spPr>
                        <a:xfrm>
                          <a:off x="0" y="0"/>
                          <a:ext cx="583184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8.4pt;margin-top:0.2pt;height:0pt;width:459.2pt;z-index:251660288;mso-width-relative:page;mso-height-relative:page;" filled="f" stroked="t" coordsize="21600,21600" o:gfxdata="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rypTDUAAAABQEAAA8AAAAAAAAAAQAgAAAAIgAAAGRycy9kb3ducmV2Lnht&#10;bFBLAQIUABQAAAAIAIdO4kC50Xta/QEAAOwDAAAOAAAAAAAAAAEAIAAAACMBAABkcnMvZTJvRG9j&#10;LnhtbFBLBQYAAAAABgAGAFkBAACSBQAAAAA=&#10;">
                <v:fill on="f" focussize="0,0"/>
                <v:stroke color="#000000" joinstyle="round"/>
                <v:imagedata o:title=""/>
                <o:lock v:ext="edit" aspectratio="f"/>
              </v:shape>
            </w:pict>
          </mc:Fallback>
        </mc:AlternateContent>
      </w:r>
      <w:r>
        <w:rPr>
          <w:rFonts w:hint="eastAsia" w:ascii="仿宋_GB2312" w:hAnsi="仿宋_GB2312" w:cs="仿宋_GB2312"/>
          <w:sz w:val="28"/>
          <w:szCs w:val="28"/>
        </w:rPr>
        <w:t xml:space="preserve">天津市食品药品安全委员会办公室              </w:t>
      </w:r>
      <w:r>
        <w:rPr>
          <w:sz w:val="28"/>
          <w:szCs w:val="28"/>
        </w:rPr>
        <w:t>2024年9月2</w:t>
      </w:r>
      <w:r>
        <w:rPr>
          <w:sz w:val="28"/>
          <w:szCs w:val="28"/>
          <w:lang w:val="en"/>
        </w:rPr>
        <w:t>6</w:t>
      </w:r>
      <w:r>
        <w:rPr>
          <w:sz w:val="28"/>
          <w:szCs w:val="28"/>
        </w:rPr>
        <w:t>日</w:t>
      </w:r>
      <w:r>
        <w:rPr>
          <w:rFonts w:hint="eastAsia" w:ascii="仿宋_GB2312" w:hAnsi="仿宋_GB2312" w:cs="仿宋_GB2312"/>
          <w:sz w:val="28"/>
          <w:szCs w:val="28"/>
        </w:rPr>
        <w:t>印发</w:t>
      </w:r>
    </w:p>
    <w:sectPr>
      <w:footerReference r:id="rId11" w:type="default"/>
      <w:pgSz w:w="11906" w:h="16838"/>
      <w:pgMar w:top="2098" w:right="1474" w:bottom="1984" w:left="1587" w:header="851" w:footer="1049" w:gutter="0"/>
      <w:pgNumType w:fmt="numberInDash" w:start="1"/>
      <w:cols w:space="0"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0000000000000000000"/>
    <w:charset w:val="00"/>
    <w:family w:val="auto"/>
    <w:pitch w:val="default"/>
    <w:sig w:usb0="00000000" w:usb1="00000000" w:usb2="00000010" w:usb3="00000000" w:csb0="00040001" w:csb1="00000000"/>
  </w:font>
  <w:font w:name="等线">
    <w:panose1 w:val="02010600030101010101"/>
    <w:charset w:val="86"/>
    <w:family w:val="auto"/>
    <w:pitch w:val="default"/>
    <w:sig w:usb0="A00002BF" w:usb1="38CF7CFA" w:usb2="00000016" w:usb3="00000000" w:csb0="0004000F" w:csb1="00000000"/>
  </w:font>
  <w:font w:name="方正仿宋_GBK">
    <w:altName w:val="Arial Unicode MS"/>
    <w:panose1 w:val="02000000000000000000"/>
    <w:charset w:val="86"/>
    <w:family w:val="auto"/>
    <w:pitch w:val="default"/>
    <w:sig w:usb0="00000000" w:usb1="00000000" w:usb2="00000000" w:usb3="00000000" w:csb0="00040000" w:csb1="00000000"/>
  </w:font>
  <w:font w:name="方正黑体_GBK">
    <w:altName w:val="Arial Unicode MS"/>
    <w:panose1 w:val="02000000000000000000"/>
    <w:charset w:val="86"/>
    <w:family w:val="script"/>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5517168"/>
    </w:sdtPr>
    <w:sdtContent>
      <w:p w14:paraId="0F681DCF">
        <w:pPr>
          <w:pStyle w:val="8"/>
          <w:ind w:firstLine="560"/>
          <w:jc w:val="right"/>
        </w:pPr>
        <w:r>
          <w:rPr>
            <w:rFonts w:asciiTheme="minorEastAsia" w:hAnsiTheme="minorEastAsia" w:eastAsiaTheme="minorEastAsia"/>
          </w:rPr>
          <w:fldChar w:fldCharType="begin"/>
        </w:r>
        <w:r>
          <w:rPr>
            <w:rFonts w:asciiTheme="minorEastAsia" w:hAnsiTheme="minorEastAsia" w:eastAsiaTheme="minorEastAsia"/>
          </w:rPr>
          <w:instrText xml:space="preserve">PAGE   \* MERGEFORMAT</w:instrText>
        </w:r>
        <w:r>
          <w:rPr>
            <w:rFonts w:asciiTheme="minorEastAsia" w:hAnsiTheme="minorEastAsia" w:eastAsiaTheme="minorEastAsia"/>
          </w:rPr>
          <w:fldChar w:fldCharType="separate"/>
        </w:r>
        <w:r>
          <w:rPr>
            <w:rFonts w:asciiTheme="minorEastAsia" w:hAnsiTheme="minorEastAsia" w:eastAsiaTheme="minorEastAsia"/>
            <w:lang w:val="zh-CN"/>
          </w:rPr>
          <w:t>-</w:t>
        </w:r>
        <w:r>
          <w:rPr>
            <w:rFonts w:asciiTheme="minorEastAsia" w:hAnsiTheme="minorEastAsia" w:eastAsiaTheme="minorEastAsia"/>
          </w:rPr>
          <w:t xml:space="preserve"> 5 -</w:t>
        </w:r>
        <w:r>
          <w:rPr>
            <w:rFonts w:asciiTheme="minorEastAsia" w:hAnsiTheme="minorEastAsia" w:eastAsiaTheme="minorEastAsia"/>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5105067"/>
    </w:sdtPr>
    <w:sdtEndPr>
      <w:rPr>
        <w:rFonts w:asciiTheme="minorEastAsia" w:hAnsiTheme="minorEastAsia" w:eastAsiaTheme="minorEastAsia"/>
      </w:rPr>
    </w:sdtEndPr>
    <w:sdtContent>
      <w:p w14:paraId="17088CE4">
        <w:pPr>
          <w:pStyle w:val="8"/>
          <w:ind w:firstLine="560"/>
          <w:rPr>
            <w:rFonts w:asciiTheme="minorEastAsia" w:hAnsiTheme="minorEastAsia" w:eastAsiaTheme="minorEastAsia"/>
          </w:rPr>
        </w:pPr>
        <w:r>
          <w:rPr>
            <w:rFonts w:asciiTheme="minorEastAsia" w:hAnsiTheme="minorEastAsia" w:eastAsiaTheme="minorEastAsia"/>
          </w:rPr>
          <w:fldChar w:fldCharType="begin"/>
        </w:r>
        <w:r>
          <w:rPr>
            <w:rFonts w:asciiTheme="minorEastAsia" w:hAnsiTheme="minorEastAsia" w:eastAsiaTheme="minorEastAsia"/>
          </w:rPr>
          <w:instrText xml:space="preserve">PAGE   \* MERGEFORMAT</w:instrText>
        </w:r>
        <w:r>
          <w:rPr>
            <w:rFonts w:asciiTheme="minorEastAsia" w:hAnsiTheme="minorEastAsia" w:eastAsiaTheme="minorEastAsia"/>
          </w:rPr>
          <w:fldChar w:fldCharType="separate"/>
        </w:r>
        <w:r>
          <w:rPr>
            <w:rFonts w:asciiTheme="minorEastAsia" w:hAnsiTheme="minorEastAsia" w:eastAsiaTheme="minorEastAsia"/>
            <w:lang w:val="zh-CN"/>
          </w:rPr>
          <w:t>-</w:t>
        </w:r>
        <w:r>
          <w:rPr>
            <w:rFonts w:asciiTheme="minorEastAsia" w:hAnsiTheme="minorEastAsia" w:eastAsiaTheme="minorEastAsia"/>
          </w:rPr>
          <w:t xml:space="preserve"> 6 -</w:t>
        </w:r>
        <w:r>
          <w:rPr>
            <w:rFonts w:asciiTheme="minorEastAsia" w:hAnsiTheme="minorEastAsia" w:eastAsiaTheme="minorEastAsia"/>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DE888">
    <w:pPr>
      <w:pStyle w:val="8"/>
      <w:ind w:firstLine="5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4A187">
    <w:pPr>
      <w:pStyle w:val="8"/>
      <w:ind w:firstLine="5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EE9B4">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7FF9D">
    <w:pPr>
      <w:pStyle w:val="9"/>
      <w:ind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8CF9C">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72829"/>
    <w:multiLevelType w:val="singleLevel"/>
    <w:tmpl w:val="A8B72829"/>
    <w:lvl w:ilvl="0" w:tentative="0">
      <w:start w:val="1"/>
      <w:numFmt w:val="chineseCounting"/>
      <w:pStyle w:val="20"/>
      <w:suff w:val="nothing"/>
      <w:lvlText w:val="（%1）"/>
      <w:lvlJc w:val="left"/>
      <w:pPr>
        <w:ind w:left="0" w:firstLine="0"/>
      </w:pPr>
      <w:rPr>
        <w:rFonts w:hint="eastAsia"/>
      </w:rPr>
    </w:lvl>
  </w:abstractNum>
  <w:abstractNum w:abstractNumId="1">
    <w:nsid w:val="051A4E85"/>
    <w:multiLevelType w:val="singleLevel"/>
    <w:tmpl w:val="051A4E85"/>
    <w:lvl w:ilvl="0" w:tentative="0">
      <w:start w:val="1"/>
      <w:numFmt w:val="decimal"/>
      <w:pStyle w:val="19"/>
      <w:suff w:val="nothing"/>
      <w:lvlText w:val="（%1）"/>
      <w:lvlJc w:val="left"/>
      <w:pPr>
        <w:ind w:left="0" w:firstLine="0"/>
      </w:pPr>
      <w:rPr>
        <w:rFonts w:hint="default"/>
      </w:rPr>
    </w:lvl>
  </w:abstractNum>
  <w:abstractNum w:abstractNumId="2">
    <w:nsid w:val="1FD18B64"/>
    <w:multiLevelType w:val="singleLevel"/>
    <w:tmpl w:val="1FD18B64"/>
    <w:lvl w:ilvl="0" w:tentative="0">
      <w:start w:val="1"/>
      <w:numFmt w:val="decimal"/>
      <w:pStyle w:val="17"/>
      <w:suff w:val="nothing"/>
      <w:lvlText w:val="%1."/>
      <w:lvlJc w:val="left"/>
      <w:pPr>
        <w:ind w:left="0" w:firstLine="0"/>
      </w:pPr>
      <w:rPr>
        <w:rFonts w:hint="default"/>
      </w:rPr>
    </w:lvl>
  </w:abstractNum>
  <w:abstractNum w:abstractNumId="3">
    <w:nsid w:val="59ABB6A0"/>
    <w:multiLevelType w:val="singleLevel"/>
    <w:tmpl w:val="59ABB6A0"/>
    <w:lvl w:ilvl="0" w:tentative="0">
      <w:start w:val="1"/>
      <w:numFmt w:val="chineseCounting"/>
      <w:pStyle w:val="18"/>
      <w:suff w:val="nothing"/>
      <w:lvlText w:val="%1、"/>
      <w:lvlJc w:val="left"/>
      <w:pPr>
        <w:ind w:left="0" w:firstLine="0"/>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632"/>
  <w:evenAndOddHeaders w:val="1"/>
  <w:drawingGridHorizontalSpacing w:val="158"/>
  <w:drawingGridVerticalSpacing w:val="579"/>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hNjUyNWNmYjI2MWUwZDUzNTcwZTY5YWE1NDc5YjIifQ=="/>
  </w:docVars>
  <w:rsids>
    <w:rsidRoot w:val="BF8D4899"/>
    <w:rsid w:val="000315B7"/>
    <w:rsid w:val="00084A4B"/>
    <w:rsid w:val="000A2211"/>
    <w:rsid w:val="000C180D"/>
    <w:rsid w:val="000D61CD"/>
    <w:rsid w:val="000E1380"/>
    <w:rsid w:val="000E406C"/>
    <w:rsid w:val="000E7CC2"/>
    <w:rsid w:val="00103B08"/>
    <w:rsid w:val="00105FA5"/>
    <w:rsid w:val="001255C4"/>
    <w:rsid w:val="00164183"/>
    <w:rsid w:val="00173FD4"/>
    <w:rsid w:val="00184B45"/>
    <w:rsid w:val="00190C61"/>
    <w:rsid w:val="001C6DFA"/>
    <w:rsid w:val="001E04AC"/>
    <w:rsid w:val="001E0C28"/>
    <w:rsid w:val="001F053F"/>
    <w:rsid w:val="0020637F"/>
    <w:rsid w:val="00234566"/>
    <w:rsid w:val="00234A02"/>
    <w:rsid w:val="002408E6"/>
    <w:rsid w:val="00276462"/>
    <w:rsid w:val="002A0EF1"/>
    <w:rsid w:val="002B6A37"/>
    <w:rsid w:val="002D71A3"/>
    <w:rsid w:val="002E2FA6"/>
    <w:rsid w:val="002F08E7"/>
    <w:rsid w:val="002F2560"/>
    <w:rsid w:val="002F30F6"/>
    <w:rsid w:val="003013E2"/>
    <w:rsid w:val="00321202"/>
    <w:rsid w:val="0032432F"/>
    <w:rsid w:val="003348D1"/>
    <w:rsid w:val="0034569A"/>
    <w:rsid w:val="00351974"/>
    <w:rsid w:val="00367F3E"/>
    <w:rsid w:val="0038606B"/>
    <w:rsid w:val="003914FC"/>
    <w:rsid w:val="003A2F6F"/>
    <w:rsid w:val="00416612"/>
    <w:rsid w:val="00416957"/>
    <w:rsid w:val="004277C5"/>
    <w:rsid w:val="00433A6B"/>
    <w:rsid w:val="00441164"/>
    <w:rsid w:val="00453FB1"/>
    <w:rsid w:val="00455942"/>
    <w:rsid w:val="004B4562"/>
    <w:rsid w:val="004E7F1E"/>
    <w:rsid w:val="00515207"/>
    <w:rsid w:val="00522E00"/>
    <w:rsid w:val="00537F77"/>
    <w:rsid w:val="005813D4"/>
    <w:rsid w:val="005A7E43"/>
    <w:rsid w:val="005B3328"/>
    <w:rsid w:val="005D0AFA"/>
    <w:rsid w:val="005E1F59"/>
    <w:rsid w:val="005F1FB0"/>
    <w:rsid w:val="00607FC6"/>
    <w:rsid w:val="006177AC"/>
    <w:rsid w:val="006201EE"/>
    <w:rsid w:val="00620988"/>
    <w:rsid w:val="00637D3E"/>
    <w:rsid w:val="006444AE"/>
    <w:rsid w:val="00665611"/>
    <w:rsid w:val="0067072B"/>
    <w:rsid w:val="006A36B3"/>
    <w:rsid w:val="006C2A60"/>
    <w:rsid w:val="00706951"/>
    <w:rsid w:val="00716ACD"/>
    <w:rsid w:val="00722DD9"/>
    <w:rsid w:val="0072463E"/>
    <w:rsid w:val="00751482"/>
    <w:rsid w:val="007653B8"/>
    <w:rsid w:val="00791993"/>
    <w:rsid w:val="007B605B"/>
    <w:rsid w:val="007D08DD"/>
    <w:rsid w:val="007D17D2"/>
    <w:rsid w:val="007F0B90"/>
    <w:rsid w:val="007F2996"/>
    <w:rsid w:val="0080197C"/>
    <w:rsid w:val="00816D61"/>
    <w:rsid w:val="00822933"/>
    <w:rsid w:val="008845C0"/>
    <w:rsid w:val="00891F4B"/>
    <w:rsid w:val="008A16A8"/>
    <w:rsid w:val="008B6141"/>
    <w:rsid w:val="00924DEB"/>
    <w:rsid w:val="00936A6A"/>
    <w:rsid w:val="0096339F"/>
    <w:rsid w:val="009846E9"/>
    <w:rsid w:val="00996BD1"/>
    <w:rsid w:val="009A1B7F"/>
    <w:rsid w:val="009E1638"/>
    <w:rsid w:val="009F4DE1"/>
    <w:rsid w:val="00A02B3B"/>
    <w:rsid w:val="00A54F6F"/>
    <w:rsid w:val="00A56DB1"/>
    <w:rsid w:val="00A71DCB"/>
    <w:rsid w:val="00A90DA9"/>
    <w:rsid w:val="00A96AB3"/>
    <w:rsid w:val="00AB4B80"/>
    <w:rsid w:val="00AB4D36"/>
    <w:rsid w:val="00AC36EF"/>
    <w:rsid w:val="00AD3A35"/>
    <w:rsid w:val="00AE1968"/>
    <w:rsid w:val="00AF611D"/>
    <w:rsid w:val="00B05A32"/>
    <w:rsid w:val="00B24479"/>
    <w:rsid w:val="00B26CD0"/>
    <w:rsid w:val="00B3123F"/>
    <w:rsid w:val="00B52EFE"/>
    <w:rsid w:val="00BF1A60"/>
    <w:rsid w:val="00C4222F"/>
    <w:rsid w:val="00C438C8"/>
    <w:rsid w:val="00C72113"/>
    <w:rsid w:val="00C87D9E"/>
    <w:rsid w:val="00CF0E77"/>
    <w:rsid w:val="00CF3712"/>
    <w:rsid w:val="00D023C3"/>
    <w:rsid w:val="00D121E8"/>
    <w:rsid w:val="00D1522F"/>
    <w:rsid w:val="00D4047E"/>
    <w:rsid w:val="00D60CA6"/>
    <w:rsid w:val="00D70543"/>
    <w:rsid w:val="00D931FF"/>
    <w:rsid w:val="00DA0B81"/>
    <w:rsid w:val="00DB771C"/>
    <w:rsid w:val="00DC4682"/>
    <w:rsid w:val="00DD56E3"/>
    <w:rsid w:val="00E21F4C"/>
    <w:rsid w:val="00E555DC"/>
    <w:rsid w:val="00E668A3"/>
    <w:rsid w:val="00E8007A"/>
    <w:rsid w:val="00EA213D"/>
    <w:rsid w:val="00EA33C4"/>
    <w:rsid w:val="00EA4C8F"/>
    <w:rsid w:val="00EC3858"/>
    <w:rsid w:val="00EE0D5A"/>
    <w:rsid w:val="00F31896"/>
    <w:rsid w:val="00F631C1"/>
    <w:rsid w:val="00F75A4D"/>
    <w:rsid w:val="00F826FB"/>
    <w:rsid w:val="00FA7300"/>
    <w:rsid w:val="00FC4053"/>
    <w:rsid w:val="00FC6EB1"/>
    <w:rsid w:val="00FD2A57"/>
    <w:rsid w:val="00FD76C6"/>
    <w:rsid w:val="00FF4B41"/>
    <w:rsid w:val="028A21AA"/>
    <w:rsid w:val="065C363E"/>
    <w:rsid w:val="06C323F1"/>
    <w:rsid w:val="0AE00993"/>
    <w:rsid w:val="0DDF64DA"/>
    <w:rsid w:val="0EA7164B"/>
    <w:rsid w:val="0EC8654C"/>
    <w:rsid w:val="0F5C0611"/>
    <w:rsid w:val="0F77BEB8"/>
    <w:rsid w:val="11B3214E"/>
    <w:rsid w:val="126E7D99"/>
    <w:rsid w:val="12BD1E00"/>
    <w:rsid w:val="19550999"/>
    <w:rsid w:val="1D604B73"/>
    <w:rsid w:val="1D7C3EC2"/>
    <w:rsid w:val="1F3F33F9"/>
    <w:rsid w:val="21151AA9"/>
    <w:rsid w:val="22EB0ED1"/>
    <w:rsid w:val="22F4097F"/>
    <w:rsid w:val="27955A77"/>
    <w:rsid w:val="2B6A0E1D"/>
    <w:rsid w:val="2C673F8F"/>
    <w:rsid w:val="2CF63955"/>
    <w:rsid w:val="2CFBB1F9"/>
    <w:rsid w:val="2D870D8D"/>
    <w:rsid w:val="31CB09FC"/>
    <w:rsid w:val="338E62A6"/>
    <w:rsid w:val="33C85C5B"/>
    <w:rsid w:val="33F7B365"/>
    <w:rsid w:val="3775D3A6"/>
    <w:rsid w:val="39557C35"/>
    <w:rsid w:val="3CD077C9"/>
    <w:rsid w:val="3CF75027"/>
    <w:rsid w:val="3F774FAE"/>
    <w:rsid w:val="404D210C"/>
    <w:rsid w:val="418B5711"/>
    <w:rsid w:val="421D098C"/>
    <w:rsid w:val="426052B1"/>
    <w:rsid w:val="426F296C"/>
    <w:rsid w:val="42B15B0D"/>
    <w:rsid w:val="42BD7D96"/>
    <w:rsid w:val="434F15AD"/>
    <w:rsid w:val="47466018"/>
    <w:rsid w:val="48D83DF3"/>
    <w:rsid w:val="49CD147E"/>
    <w:rsid w:val="4B6E6534"/>
    <w:rsid w:val="517F69E3"/>
    <w:rsid w:val="52B7199D"/>
    <w:rsid w:val="576B22D6"/>
    <w:rsid w:val="57FF8C8E"/>
    <w:rsid w:val="5BA7430C"/>
    <w:rsid w:val="5C0120F2"/>
    <w:rsid w:val="5C190553"/>
    <w:rsid w:val="5C2C0286"/>
    <w:rsid w:val="5D0E59C3"/>
    <w:rsid w:val="5D646DAF"/>
    <w:rsid w:val="5E474C84"/>
    <w:rsid w:val="5EFF9AF8"/>
    <w:rsid w:val="612F58E3"/>
    <w:rsid w:val="61EC126A"/>
    <w:rsid w:val="61F84EF2"/>
    <w:rsid w:val="63F7BE6E"/>
    <w:rsid w:val="64975087"/>
    <w:rsid w:val="64F6347F"/>
    <w:rsid w:val="657C417C"/>
    <w:rsid w:val="6658C909"/>
    <w:rsid w:val="66A67FB7"/>
    <w:rsid w:val="66E26E09"/>
    <w:rsid w:val="6ABD4D30"/>
    <w:rsid w:val="6B3E1D84"/>
    <w:rsid w:val="6C3BBEEA"/>
    <w:rsid w:val="6E1528B4"/>
    <w:rsid w:val="6EF3CDDE"/>
    <w:rsid w:val="6EF6C962"/>
    <w:rsid w:val="71CB475D"/>
    <w:rsid w:val="73F582A1"/>
    <w:rsid w:val="747E651B"/>
    <w:rsid w:val="75DFBB06"/>
    <w:rsid w:val="77605677"/>
    <w:rsid w:val="77DF7D41"/>
    <w:rsid w:val="78520C1D"/>
    <w:rsid w:val="7A555E22"/>
    <w:rsid w:val="7ABF6D19"/>
    <w:rsid w:val="7B7F1D4B"/>
    <w:rsid w:val="7BFF36C5"/>
    <w:rsid w:val="7DA64D51"/>
    <w:rsid w:val="7DFF7BE4"/>
    <w:rsid w:val="7E2E6BB0"/>
    <w:rsid w:val="7E7B441B"/>
    <w:rsid w:val="7E7CAD87"/>
    <w:rsid w:val="7EBF7BBB"/>
    <w:rsid w:val="7FD77D6A"/>
    <w:rsid w:val="7FDFCE2B"/>
    <w:rsid w:val="7FE8EF77"/>
    <w:rsid w:val="7FEE887A"/>
    <w:rsid w:val="7FF39FD2"/>
    <w:rsid w:val="95BF5877"/>
    <w:rsid w:val="969FD0D7"/>
    <w:rsid w:val="9D99D53F"/>
    <w:rsid w:val="9FBF1715"/>
    <w:rsid w:val="A2CF6C0D"/>
    <w:rsid w:val="ADEDF7CB"/>
    <w:rsid w:val="AECBD435"/>
    <w:rsid w:val="AFB74FF0"/>
    <w:rsid w:val="B4FD35DF"/>
    <w:rsid w:val="B6C5014E"/>
    <w:rsid w:val="B7E7AB44"/>
    <w:rsid w:val="BDFDA730"/>
    <w:rsid w:val="BF8D4899"/>
    <w:rsid w:val="BFF9664F"/>
    <w:rsid w:val="BFFE1F0E"/>
    <w:rsid w:val="BFFF94FC"/>
    <w:rsid w:val="D2FD835F"/>
    <w:rsid w:val="D5F7D0A4"/>
    <w:rsid w:val="D7FB4FBE"/>
    <w:rsid w:val="D7FF3804"/>
    <w:rsid w:val="D93C9E80"/>
    <w:rsid w:val="DBDBACF6"/>
    <w:rsid w:val="DFFFE5F7"/>
    <w:rsid w:val="E7E083BB"/>
    <w:rsid w:val="EAFF5ED6"/>
    <w:rsid w:val="ECDD27ED"/>
    <w:rsid w:val="F45F86B5"/>
    <w:rsid w:val="F69ACF7C"/>
    <w:rsid w:val="F76AB32B"/>
    <w:rsid w:val="F89F9B13"/>
    <w:rsid w:val="F9EFAFB2"/>
    <w:rsid w:val="F9F573E0"/>
    <w:rsid w:val="F9FBBD60"/>
    <w:rsid w:val="FAFBD8B0"/>
    <w:rsid w:val="FBFA490D"/>
    <w:rsid w:val="FBFF5D8D"/>
    <w:rsid w:val="FCFDE4EE"/>
    <w:rsid w:val="FD7557AC"/>
    <w:rsid w:val="FDB6C867"/>
    <w:rsid w:val="FDD7082E"/>
    <w:rsid w:val="FDEF0561"/>
    <w:rsid w:val="FE6D1CA7"/>
    <w:rsid w:val="FE76363E"/>
    <w:rsid w:val="FE7B4881"/>
    <w:rsid w:val="FE7FBB6A"/>
    <w:rsid w:val="FEFF7A88"/>
    <w:rsid w:val="FF74CB4A"/>
    <w:rsid w:val="FFBF6D2A"/>
    <w:rsid w:val="FFDF33B4"/>
    <w:rsid w:val="FFDFFD14"/>
    <w:rsid w:val="FFED5F94"/>
    <w:rsid w:val="FFFF2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adjustRightInd w:val="0"/>
      <w:spacing w:line="560" w:lineRule="exact"/>
      <w:ind w:firstLine="632" w:firstLineChars="200"/>
      <w:jc w:val="both"/>
    </w:pPr>
    <w:rPr>
      <w:rFonts w:ascii="Times New Roman" w:hAnsi="Times New Roman" w:eastAsia="仿宋_GB2312" w:cs="Times New Roman"/>
      <w:kern w:val="2"/>
      <w:sz w:val="32"/>
      <w:szCs w:val="32"/>
      <w:lang w:val="en-US" w:eastAsia="zh-CN" w:bidi="ar-SA"/>
    </w:rPr>
  </w:style>
  <w:style w:type="paragraph" w:styleId="2">
    <w:name w:val="heading 3"/>
    <w:basedOn w:val="1"/>
    <w:next w:val="1"/>
    <w:link w:val="16"/>
    <w:qFormat/>
    <w:uiPriority w:val="9"/>
    <w:pPr>
      <w:spacing w:beforeAutospacing="1" w:afterAutospacing="1"/>
      <w:outlineLvl w:val="2"/>
    </w:pPr>
    <w:rPr>
      <w:rFonts w:hint="eastAsia" w:ascii="宋体" w:hAnsi="宋体"/>
      <w:sz w:val="18"/>
      <w:szCs w:val="1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rFonts w:eastAsia="文星仿宋"/>
    </w:rPr>
  </w:style>
  <w:style w:type="paragraph" w:styleId="4">
    <w:name w:val="Body Text Indent"/>
    <w:basedOn w:val="1"/>
    <w:qFormat/>
    <w:uiPriority w:val="0"/>
    <w:pPr>
      <w:spacing w:after="120"/>
      <w:ind w:left="420" w:leftChars="200"/>
    </w:pPr>
  </w:style>
  <w:style w:type="paragraph" w:styleId="5">
    <w:name w:val="toc 3"/>
    <w:next w:val="1"/>
    <w:qFormat/>
    <w:uiPriority w:val="0"/>
    <w:pPr>
      <w:widowControl w:val="0"/>
      <w:ind w:left="420"/>
      <w:jc w:val="both"/>
    </w:pPr>
    <w:rPr>
      <w:rFonts w:ascii="等线" w:hAnsi="等线" w:eastAsia="等线" w:cs="Times New Roman"/>
      <w:b/>
      <w:kern w:val="2"/>
      <w:sz w:val="30"/>
      <w:szCs w:val="30"/>
      <w:lang w:val="en-US" w:eastAsia="zh-CN" w:bidi="ar-SA"/>
    </w:rPr>
  </w:style>
  <w:style w:type="paragraph" w:styleId="6">
    <w:name w:val="Plain Text"/>
    <w:basedOn w:val="1"/>
    <w:qFormat/>
    <w:uiPriority w:val="0"/>
    <w:rPr>
      <w:rFonts w:ascii="宋体" w:hAnsi="Courier New"/>
    </w:rPr>
  </w:style>
  <w:style w:type="paragraph" w:styleId="7">
    <w:name w:val="Balloon Text"/>
    <w:basedOn w:val="1"/>
    <w:next w:val="1"/>
    <w:link w:val="25"/>
    <w:qFormat/>
    <w:uiPriority w:val="0"/>
    <w:pPr>
      <w:spacing w:line="240" w:lineRule="auto"/>
    </w:pPr>
    <w:rPr>
      <w:sz w:val="18"/>
      <w:szCs w:val="18"/>
    </w:rPr>
  </w:style>
  <w:style w:type="paragraph" w:styleId="8">
    <w:name w:val="footer"/>
    <w:basedOn w:val="1"/>
    <w:link w:val="21"/>
    <w:qFormat/>
    <w:uiPriority w:val="99"/>
    <w:pPr>
      <w:tabs>
        <w:tab w:val="center" w:pos="4153"/>
        <w:tab w:val="right" w:pos="8306"/>
      </w:tabs>
      <w:snapToGrid w:val="0"/>
      <w:jc w:val="left"/>
    </w:pPr>
    <w:rPr>
      <w:rFonts w:asciiTheme="minorHAnsi" w:hAnsiTheme="minorHAnsi"/>
      <w:sz w:val="28"/>
    </w:rPr>
  </w:style>
  <w:style w:type="paragraph" w:styleId="9">
    <w:name w:val="header"/>
    <w:basedOn w:val="1"/>
    <w:link w:val="2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0">
    <w:name w:val="Normal (Web)"/>
    <w:basedOn w:val="1"/>
    <w:qFormat/>
    <w:uiPriority w:val="0"/>
    <w:pPr>
      <w:spacing w:beforeAutospacing="1" w:afterAutospacing="1"/>
      <w:jc w:val="left"/>
    </w:pPr>
    <w:rPr>
      <w:kern w:val="0"/>
      <w:sz w:val="24"/>
    </w:rPr>
  </w:style>
  <w:style w:type="paragraph" w:styleId="11">
    <w:name w:val="Title"/>
    <w:basedOn w:val="1"/>
    <w:link w:val="23"/>
    <w:qFormat/>
    <w:uiPriority w:val="10"/>
    <w:pPr>
      <w:overflowPunct/>
      <w:topLinePunct w:val="0"/>
      <w:adjustRightInd/>
      <w:spacing w:before="240" w:after="60" w:line="240" w:lineRule="auto"/>
      <w:ind w:firstLine="0" w:firstLineChars="0"/>
      <w:jc w:val="center"/>
      <w:outlineLvl w:val="0"/>
    </w:pPr>
    <w:rPr>
      <w:rFonts w:ascii="Arial" w:hAnsi="Arial" w:eastAsia="宋体"/>
      <w:b/>
      <w:szCs w:val="24"/>
    </w:rPr>
  </w:style>
  <w:style w:type="paragraph" w:styleId="12">
    <w:name w:val="Body Text First Indent 2"/>
    <w:basedOn w:val="4"/>
    <w:unhideWhenUsed/>
    <w:qFormat/>
    <w:uiPriority w:val="0"/>
    <w:pPr>
      <w:ind w:firstLine="420"/>
    </w:pPr>
    <w:rPr>
      <w:rFonts w:ascii="宋体" w:hAnsi="Calibri" w:eastAsia="宋体"/>
    </w:rPr>
  </w:style>
  <w:style w:type="character" w:styleId="15">
    <w:name w:val="page number"/>
    <w:qFormat/>
    <w:uiPriority w:val="0"/>
  </w:style>
  <w:style w:type="character" w:customStyle="1" w:styleId="16">
    <w:name w:val="标题 3 Char"/>
    <w:basedOn w:val="14"/>
    <w:link w:val="2"/>
    <w:qFormat/>
    <w:uiPriority w:val="0"/>
    <w:rPr>
      <w:b/>
      <w:kern w:val="2"/>
      <w:sz w:val="32"/>
      <w:szCs w:val="32"/>
    </w:rPr>
  </w:style>
  <w:style w:type="paragraph" w:customStyle="1" w:styleId="17">
    <w:name w:val="公文标题 3"/>
    <w:qFormat/>
    <w:uiPriority w:val="0"/>
    <w:pPr>
      <w:widowControl w:val="0"/>
      <w:numPr>
        <w:ilvl w:val="0"/>
        <w:numId w:val="1"/>
      </w:numPr>
      <w:overflowPunct w:val="0"/>
      <w:topLinePunct/>
      <w:jc w:val="both"/>
    </w:pPr>
    <w:rPr>
      <w:rFonts w:ascii="Times New Roman" w:hAnsi="Times New Roman" w:eastAsia="方正仿宋_GBK" w:cs="Times New Roman"/>
      <w:kern w:val="2"/>
      <w:sz w:val="32"/>
      <w:szCs w:val="32"/>
      <w:lang w:val="en-US" w:eastAsia="zh-CN" w:bidi="ar-SA"/>
    </w:rPr>
  </w:style>
  <w:style w:type="paragraph" w:customStyle="1" w:styleId="18">
    <w:name w:val="公文标题 1"/>
    <w:qFormat/>
    <w:uiPriority w:val="0"/>
    <w:pPr>
      <w:widowControl w:val="0"/>
      <w:numPr>
        <w:ilvl w:val="0"/>
        <w:numId w:val="2"/>
      </w:numPr>
      <w:overflowPunct w:val="0"/>
      <w:topLinePunct/>
      <w:jc w:val="both"/>
    </w:pPr>
    <w:rPr>
      <w:rFonts w:ascii="Times New Roman" w:hAnsi="Times New Roman" w:eastAsia="方正黑体_GBK" w:cs="Times New Roman"/>
      <w:kern w:val="2"/>
      <w:sz w:val="32"/>
      <w:szCs w:val="32"/>
      <w:lang w:val="en-US" w:eastAsia="zh-CN" w:bidi="ar-SA"/>
    </w:rPr>
  </w:style>
  <w:style w:type="paragraph" w:customStyle="1" w:styleId="19">
    <w:name w:val="公文标题 4"/>
    <w:qFormat/>
    <w:uiPriority w:val="0"/>
    <w:pPr>
      <w:widowControl w:val="0"/>
      <w:numPr>
        <w:ilvl w:val="0"/>
        <w:numId w:val="3"/>
      </w:numPr>
      <w:overflowPunct w:val="0"/>
      <w:topLinePunct/>
      <w:jc w:val="both"/>
    </w:pPr>
    <w:rPr>
      <w:rFonts w:ascii="Times New Roman" w:hAnsi="Times New Roman" w:eastAsia="方正仿宋_GBK" w:cs="Times New Roman"/>
      <w:kern w:val="2"/>
      <w:sz w:val="32"/>
      <w:szCs w:val="32"/>
      <w:lang w:val="en-US" w:eastAsia="zh-CN" w:bidi="ar-SA"/>
    </w:rPr>
  </w:style>
  <w:style w:type="paragraph" w:customStyle="1" w:styleId="20">
    <w:name w:val="公文标题 2"/>
    <w:qFormat/>
    <w:uiPriority w:val="0"/>
    <w:pPr>
      <w:widowControl w:val="0"/>
      <w:numPr>
        <w:ilvl w:val="0"/>
        <w:numId w:val="4"/>
      </w:numPr>
      <w:overflowPunct w:val="0"/>
      <w:topLinePunct/>
      <w:jc w:val="both"/>
    </w:pPr>
    <w:rPr>
      <w:rFonts w:ascii="Times New Roman" w:hAnsi="Times New Roman" w:eastAsia="方正楷体_GBK" w:cs="Times New Roman"/>
      <w:kern w:val="2"/>
      <w:sz w:val="32"/>
      <w:szCs w:val="32"/>
      <w:lang w:val="en-US" w:eastAsia="zh-CN" w:bidi="ar-SA"/>
    </w:rPr>
  </w:style>
  <w:style w:type="character" w:customStyle="1" w:styleId="21">
    <w:name w:val="页脚 Char"/>
    <w:basedOn w:val="14"/>
    <w:link w:val="8"/>
    <w:qFormat/>
    <w:uiPriority w:val="99"/>
    <w:rPr>
      <w:kern w:val="2"/>
      <w:sz w:val="18"/>
      <w:szCs w:val="24"/>
    </w:rPr>
  </w:style>
  <w:style w:type="character" w:customStyle="1" w:styleId="22">
    <w:name w:val="页眉 Char"/>
    <w:link w:val="9"/>
    <w:qFormat/>
    <w:uiPriority w:val="99"/>
    <w:rPr>
      <w:rFonts w:eastAsia="仿宋_GB2312"/>
      <w:kern w:val="2"/>
      <w:sz w:val="18"/>
      <w:szCs w:val="32"/>
    </w:rPr>
  </w:style>
  <w:style w:type="character" w:customStyle="1" w:styleId="23">
    <w:name w:val="标题 Char"/>
    <w:basedOn w:val="14"/>
    <w:link w:val="11"/>
    <w:qFormat/>
    <w:uiPriority w:val="10"/>
    <w:rPr>
      <w:rFonts w:ascii="Arial" w:hAnsi="Arial"/>
      <w:b/>
      <w:kern w:val="2"/>
      <w:sz w:val="32"/>
      <w:szCs w:val="24"/>
    </w:rPr>
  </w:style>
  <w:style w:type="paragraph" w:customStyle="1" w:styleId="24">
    <w:name w:val="无间隔1"/>
    <w:qFormat/>
    <w:uiPriority w:val="0"/>
    <w:pPr>
      <w:widowControl w:val="0"/>
      <w:spacing w:line="560" w:lineRule="exact"/>
      <w:ind w:firstLine="200" w:firstLineChars="200"/>
      <w:jc w:val="both"/>
      <w:outlineLvl w:val="0"/>
    </w:pPr>
    <w:rPr>
      <w:rFonts w:ascii="Times New Roman" w:hAnsi="Times New Roman" w:eastAsia="方正黑体_GBK" w:cs="Arial"/>
      <w:kern w:val="2"/>
      <w:sz w:val="32"/>
      <w:szCs w:val="22"/>
      <w:lang w:val="en-US" w:eastAsia="zh-CN" w:bidi="ar-SA"/>
    </w:rPr>
  </w:style>
  <w:style w:type="character" w:customStyle="1" w:styleId="25">
    <w:name w:val="批注框文本 Char"/>
    <w:basedOn w:val="14"/>
    <w:link w:val="7"/>
    <w:qFormat/>
    <w:uiPriority w:val="0"/>
    <w:rPr>
      <w:rFonts w:eastAsia="仿宋_GB2312"/>
      <w:kern w:val="2"/>
      <w:sz w:val="18"/>
      <w:szCs w:val="18"/>
    </w:rPr>
  </w:style>
  <w:style w:type="character" w:customStyle="1" w:styleId="26">
    <w:name w:val="15"/>
    <w:basedOn w:val="14"/>
    <w:qFormat/>
    <w:uiPriority w:val="0"/>
    <w:rPr>
      <w:rFonts w:hint="eastAsia" w:ascii="仿宋_GB2312" w:eastAsia="仿宋_GB2312"/>
      <w:color w:val="000000"/>
      <w:sz w:val="32"/>
      <w:szCs w:val="32"/>
    </w:rPr>
  </w:style>
  <w:style w:type="paragraph" w:customStyle="1" w:styleId="27">
    <w:name w:val="无间隔2"/>
    <w:qFormat/>
    <w:uiPriority w:val="0"/>
    <w:pPr>
      <w:widowControl w:val="0"/>
      <w:spacing w:line="560" w:lineRule="exact"/>
      <w:ind w:firstLine="200" w:firstLineChars="200"/>
      <w:jc w:val="both"/>
      <w:outlineLvl w:val="0"/>
    </w:pPr>
    <w:rPr>
      <w:rFonts w:ascii="Times New Roman" w:hAnsi="Times New Roman" w:eastAsia="方正黑体_GBK" w:cs="Arial"/>
      <w:kern w:val="2"/>
      <w:sz w:val="32"/>
      <w:szCs w:val="22"/>
      <w:lang w:val="en-US" w:eastAsia="zh-CN" w:bidi="ar-SA"/>
    </w:rPr>
  </w:style>
  <w:style w:type="paragraph" w:customStyle="1" w:styleId="28">
    <w:name w:val="Char"/>
    <w:basedOn w:val="1"/>
    <w:qFormat/>
    <w:uiPriority w:val="0"/>
    <w:pPr>
      <w:overflowPunct/>
      <w:topLinePunct w:val="0"/>
      <w:adjustRightInd/>
      <w:spacing w:line="240" w:lineRule="auto"/>
      <w:ind w:firstLine="0" w:firstLineChars="0"/>
    </w:pPr>
    <w:rPr>
      <w:rFonts w:ascii="Calibri" w:hAnsi="Calibri" w:eastAsia="宋体" w:cs="黑体"/>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19</Pages>
  <Words>9173</Words>
  <Characters>9349</Characters>
  <Lines>69</Lines>
  <Paragraphs>19</Paragraphs>
  <TotalTime>178</TotalTime>
  <ScaleCrop>false</ScaleCrop>
  <LinksUpToDate>false</LinksUpToDate>
  <CharactersWithSpaces>9398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2023-11-30T02:26:00Z</dcterms:created>
  <dc:creator>scw</dc:creator>
  <cp:lastModifiedBy>晴</cp:lastModifiedBy>
  <cp:lastPrinted>2024-09-25T02:03:00Z</cp:lastPrinted>
  <dcterms:modified xsi:type="dcterms:W3CDTF">2024-10-14T09:06:15Z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21E39BE64A1D4365AEE6951B7F72DD1E_13</vt:lpwstr>
  </property>
</Properties>
</file>