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autoSpaceDE/>
        <w:autoSpaceDN/>
        <w:bidi w:val="0"/>
        <w:snapToGrid/>
        <w:spacing w:before="0" w:after="0" w:line="540" w:lineRule="exact"/>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val="en-US" w:eastAsia="zh-CN"/>
        </w:rPr>
        <w:t>成人</w:t>
      </w:r>
      <w:r>
        <w:rPr>
          <w:rFonts w:hint="eastAsia" w:asciiTheme="majorEastAsia" w:hAnsiTheme="majorEastAsia" w:eastAsiaTheme="majorEastAsia" w:cstheme="majorEastAsia"/>
          <w:b/>
          <w:bCs/>
          <w:sz w:val="44"/>
          <w:szCs w:val="44"/>
        </w:rPr>
        <w:t>肌少症食养指南</w:t>
      </w:r>
      <w:r>
        <w:rPr>
          <w:rFonts w:hint="eastAsia" w:asciiTheme="majorEastAsia" w:hAnsiTheme="majorEastAsia" w:eastAsiaTheme="majorEastAsia" w:cstheme="majorEastAsia"/>
          <w:b/>
          <w:bCs/>
          <w:sz w:val="44"/>
          <w:szCs w:val="44"/>
          <w:lang w:eastAsia="zh-CN"/>
        </w:rPr>
        <w:t>（征求意见稿）</w:t>
      </w:r>
    </w:p>
    <w:p>
      <w:pPr>
        <w:pStyle w:val="20"/>
        <w:keepNext w:val="0"/>
        <w:keepLines w:val="0"/>
        <w:pageBreakBefore w:val="0"/>
        <w:widowControl w:val="0"/>
        <w:kinsoku/>
        <w:wordWrap/>
        <w:overflowPunct/>
        <w:topLinePunct w:val="0"/>
        <w:autoSpaceDE/>
        <w:autoSpaceDN/>
        <w:bidi w:val="0"/>
        <w:snapToGrid/>
        <w:spacing w:before="0" w:after="0" w:line="540" w:lineRule="exact"/>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编制说明</w:t>
      </w:r>
    </w:p>
    <w:p>
      <w:pPr>
        <w:keepNext w:val="0"/>
        <w:keepLines w:val="0"/>
        <w:pageBreakBefore w:val="0"/>
        <w:widowControl w:val="0"/>
        <w:kinsoku/>
        <w:wordWrap/>
        <w:overflowPunct/>
        <w:topLinePunct w:val="0"/>
        <w:autoSpaceDE/>
        <w:autoSpaceDN/>
        <w:bidi w:val="0"/>
        <w:snapToGrid/>
        <w:spacing w:line="540" w:lineRule="exact"/>
        <w:textAlignment w:val="auto"/>
      </w:pPr>
    </w:p>
    <w:p>
      <w:pPr>
        <w:pStyle w:val="3"/>
        <w:keepNext w:val="0"/>
        <w:keepLines w:val="0"/>
        <w:pageBreakBefore w:val="0"/>
        <w:widowControl w:val="0"/>
        <w:numPr>
          <w:ilvl w:val="0"/>
          <w:numId w:val="0"/>
        </w:numPr>
        <w:kinsoku/>
        <w:wordWrap/>
        <w:overflowPunct/>
        <w:topLinePunct w:val="0"/>
        <w:autoSpaceDE/>
        <w:autoSpaceDN/>
        <w:bidi w:val="0"/>
        <w:snapToGrid/>
        <w:spacing w:before="0" w:after="0" w:line="540" w:lineRule="exact"/>
        <w:ind w:left="0" w:firstLine="640" w:firstLineChars="200"/>
        <w:jc w:val="both"/>
        <w:textAlignment w:val="auto"/>
        <w:rPr>
          <w:rFonts w:hint="eastAsia" w:ascii="黑体" w:hAnsi="黑体"/>
          <w:b w:val="0"/>
          <w:bCs w:val="0"/>
          <w:sz w:val="32"/>
          <w:szCs w:val="32"/>
          <w:lang w:val="en-US" w:eastAsia="zh-CN"/>
        </w:rPr>
      </w:pPr>
      <w:bookmarkStart w:id="0" w:name="_Toc9502"/>
      <w:r>
        <w:rPr>
          <w:rFonts w:hint="eastAsia" w:ascii="黑体" w:hAnsi="黑体"/>
          <w:b w:val="0"/>
          <w:bCs w:val="0"/>
          <w:sz w:val="32"/>
          <w:szCs w:val="32"/>
          <w:lang w:val="en-US" w:eastAsia="zh-CN"/>
        </w:rPr>
        <w:t>一、编制目标和适用人群</w:t>
      </w:r>
      <w:bookmarkEnd w:id="0"/>
    </w:p>
    <w:p>
      <w:pPr>
        <w:pStyle w:val="12"/>
        <w:keepNext w:val="0"/>
        <w:keepLines w:val="0"/>
        <w:pageBreakBefore w:val="0"/>
        <w:widowControl w:val="0"/>
        <w:kinsoku/>
        <w:wordWrap/>
        <w:overflowPunct/>
        <w:topLinePunct w:val="0"/>
        <w:autoSpaceDE/>
        <w:autoSpaceDN/>
        <w:bidi w:val="0"/>
        <w:snapToGrid/>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为预防和控制我国</w:t>
      </w:r>
      <w:r>
        <w:rPr>
          <w:rFonts w:hint="eastAsia" w:eastAsia="仿宋_GB2312" w:cs="仿宋_GB2312"/>
          <w:color w:val="000000" w:themeColor="text1"/>
          <w:kern w:val="0"/>
          <w:sz w:val="32"/>
          <w:szCs w:val="32"/>
          <w:lang w:val="en-US" w:eastAsia="zh-CN" w:bidi="ar"/>
          <w14:textFill>
            <w14:solidFill>
              <w14:schemeClr w14:val="tx1"/>
            </w14:solidFill>
          </w14:textFill>
        </w:rPr>
        <w:t>成人肌少症的</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发生发展，调整日常膳食结构，提高居民营养健康水平，发展传统食养食疗服务，根据《健康中国行动</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2019</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2030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年</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w:t>
      </w:r>
      <w:r>
        <w:rPr>
          <w:rFonts w:hint="eastAsia" w:eastAsia="仿宋_GB2312" w:cs="仿宋_GB2312"/>
          <w:color w:val="000000" w:themeColor="text1"/>
          <w:kern w:val="0"/>
          <w:sz w:val="32"/>
          <w:szCs w:val="32"/>
          <w:lang w:val="en-US" w:eastAsia="zh-CN" w:bidi="ar"/>
          <w14:textFill>
            <w14:solidFill>
              <w14:schemeClr w14:val="tx1"/>
            </w14:solidFill>
          </w14:textFill>
        </w:rPr>
        <w:t>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《国民营养计划</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2017</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2030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年</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》相关要求，制定</w:t>
      </w:r>
      <w:r>
        <w:rPr>
          <w:rFonts w:hint="eastAsia" w:eastAsia="仿宋_GB2312" w:cs="仿宋_GB2312"/>
          <w:color w:val="000000" w:themeColor="text1"/>
          <w:kern w:val="0"/>
          <w:sz w:val="32"/>
          <w:szCs w:val="32"/>
          <w:lang w:val="en-US" w:eastAsia="zh-CN" w:bidi="ar"/>
          <w14:textFill>
            <w14:solidFill>
              <w14:schemeClr w14:val="tx1"/>
            </w14:solidFill>
          </w14:textFill>
        </w:rPr>
        <w:t>《成人肌少症食养指南》（以下</w:t>
      </w:r>
      <w:r>
        <w:rPr>
          <w:rFonts w:hint="default" w:eastAsia="仿宋_GB2312" w:cs="仿宋_GB2312"/>
          <w:color w:val="000000" w:themeColor="text1"/>
          <w:kern w:val="0"/>
          <w:sz w:val="32"/>
          <w:szCs w:val="32"/>
          <w:lang w:eastAsia="zh-CN" w:bidi="ar"/>
          <w14:textFill>
            <w14:solidFill>
              <w14:schemeClr w14:val="tx1"/>
            </w14:solidFill>
          </w14:textFill>
        </w:rPr>
        <w:t>简</w:t>
      </w:r>
      <w:r>
        <w:rPr>
          <w:rFonts w:hint="eastAsia" w:eastAsia="仿宋_GB2312" w:cs="仿宋_GB2312"/>
          <w:color w:val="000000" w:themeColor="text1"/>
          <w:kern w:val="0"/>
          <w:sz w:val="32"/>
          <w:szCs w:val="32"/>
          <w:lang w:val="en-US" w:eastAsia="zh-CN" w:bidi="ar"/>
          <w14:textFill>
            <w14:solidFill>
              <w14:schemeClr w14:val="tx1"/>
            </w14:solidFill>
          </w14:textFill>
        </w:rPr>
        <w:t>称《指南》）</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。本指南以食养为基础，依据现代营养学理论和相关证据，以及我国传统医学的理念和调养方案，提出具有多学科优势互补的成人</w:t>
      </w:r>
      <w:r>
        <w:rPr>
          <w:rFonts w:hint="eastAsia" w:eastAsia="仿宋_GB2312" w:cs="仿宋_GB2312"/>
          <w:color w:val="000000" w:themeColor="text1"/>
          <w:kern w:val="0"/>
          <w:sz w:val="32"/>
          <w:szCs w:val="32"/>
          <w:lang w:val="en-US" w:eastAsia="zh-CN" w:bidi="ar"/>
          <w14:textFill>
            <w14:solidFill>
              <w14:schemeClr w14:val="tx1"/>
            </w14:solidFill>
          </w14:textFill>
        </w:rPr>
        <w:t>肌少症</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患者食养基本原则和食谱示例。</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本指南</w:t>
      </w:r>
      <w:r>
        <w:rPr>
          <w:rFonts w:hint="eastAsia" w:eastAsia="仿宋_GB2312" w:cs="仿宋_GB2312"/>
          <w:color w:val="000000" w:themeColor="text1"/>
          <w:kern w:val="0"/>
          <w:sz w:val="32"/>
          <w:szCs w:val="32"/>
          <w:lang w:val="en-US" w:eastAsia="zh-CN" w:bidi="ar"/>
          <w14:textFill>
            <w14:solidFill>
              <w14:schemeClr w14:val="tx1"/>
            </w14:solidFill>
          </w14:textFill>
        </w:rPr>
        <w:t>编制</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目标为研究制定适用于以预防和改善为目的</w:t>
      </w:r>
      <w:r>
        <w:rPr>
          <w:rFonts w:hint="eastAsia" w:eastAsia="仿宋_GB2312" w:cs="仿宋_GB2312"/>
          <w:color w:val="000000" w:themeColor="text1"/>
          <w:kern w:val="0"/>
          <w:sz w:val="32"/>
          <w:szCs w:val="32"/>
          <w:lang w:val="en-US" w:eastAsia="zh-CN" w:bidi="ar"/>
          <w14:textFill>
            <w14:solidFill>
              <w14:schemeClr w14:val="tx1"/>
            </w14:solidFill>
          </w14:textFill>
        </w:rPr>
        <w:t>的成人肌少症</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患者的食养指南和饮食套餐，并通过科普宣教积极推广，不断提升目标人群的健康状况，减少疾病负担，推进健康中国建设。</w:t>
      </w:r>
    </w:p>
    <w:p>
      <w:pPr>
        <w:pStyle w:val="12"/>
        <w:pageBreakBefore w:val="0"/>
        <w:kinsoku/>
        <w:overflowPunct/>
        <w:bidi w:val="0"/>
        <w:spacing w:before="0" w:after="0" w:line="540" w:lineRule="exact"/>
        <w:ind w:left="0" w:firstLine="480"/>
        <w:jc w:val="both"/>
        <w:textAlignment w:val="auto"/>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本指南主要面向基层卫生工作者</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包括营养指导人员</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、无合并症和并发症的成人</w:t>
      </w:r>
      <w:r>
        <w:rPr>
          <w:rFonts w:hint="eastAsia" w:eastAsia="仿宋_GB2312" w:cs="仿宋_GB2312"/>
          <w:color w:val="000000" w:themeColor="text1"/>
          <w:kern w:val="0"/>
          <w:sz w:val="32"/>
          <w:szCs w:val="32"/>
          <w:lang w:val="en-US" w:eastAsia="zh-CN" w:bidi="ar"/>
          <w14:textFill>
            <w14:solidFill>
              <w14:schemeClr w14:val="tx1"/>
            </w14:solidFill>
          </w14:textFill>
        </w:rPr>
        <w:t>肌少</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症患者，为</w:t>
      </w:r>
      <w:r>
        <w:rPr>
          <w:rFonts w:hint="eastAsia" w:eastAsia="仿宋_GB2312" w:cs="仿宋_GB2312"/>
          <w:color w:val="000000" w:themeColor="text1"/>
          <w:kern w:val="0"/>
          <w:sz w:val="32"/>
          <w:szCs w:val="32"/>
          <w:lang w:val="en-US" w:eastAsia="zh-CN" w:bidi="ar"/>
          <w14:textFill>
            <w14:solidFill>
              <w14:schemeClr w14:val="tx1"/>
            </w14:solidFill>
          </w14:textFill>
        </w:rPr>
        <w:t>肌少症</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防控提供食养指导。</w:t>
      </w:r>
      <w:r>
        <w:rPr>
          <w:rFonts w:hint="eastAsia" w:eastAsia="仿宋_GB2312" w:cs="仿宋_GB2312"/>
          <w:color w:val="000000" w:themeColor="text1"/>
          <w:kern w:val="0"/>
          <w:sz w:val="32"/>
          <w:szCs w:val="32"/>
          <w:lang w:val="en-US" w:eastAsia="zh-CN" w:bidi="ar"/>
          <w14:textFill>
            <w14:solidFill>
              <w14:schemeClr w14:val="tx1"/>
            </w14:solidFill>
          </w14:textFill>
        </w:rPr>
        <w:t>肌少</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症合并其他急或慢性病的患者或有并发症者，在医师或营养指导人员等专业人员的指导下，也可参考本指南，根据患者具体情况设计个性化食养方案。</w:t>
      </w:r>
    </w:p>
    <w:p>
      <w:pPr>
        <w:pStyle w:val="3"/>
        <w:pageBreakBefore w:val="0"/>
        <w:numPr>
          <w:ilvl w:val="0"/>
          <w:numId w:val="0"/>
        </w:numPr>
        <w:kinsoku/>
        <w:overflowPunct/>
        <w:bidi w:val="0"/>
        <w:snapToGrid/>
        <w:spacing w:before="0" w:after="0" w:line="540" w:lineRule="exact"/>
        <w:ind w:left="0" w:firstLine="640" w:firstLineChars="200"/>
        <w:jc w:val="both"/>
        <w:textAlignment w:val="auto"/>
        <w:rPr>
          <w:rFonts w:hint="eastAsia" w:ascii="黑体" w:hAnsi="黑体"/>
          <w:b w:val="0"/>
          <w:bCs w:val="0"/>
          <w:sz w:val="32"/>
          <w:szCs w:val="32"/>
          <w:lang w:val="en-US" w:eastAsia="zh-CN"/>
        </w:rPr>
      </w:pPr>
      <w:bookmarkStart w:id="1" w:name="_Toc31822"/>
      <w:r>
        <w:rPr>
          <w:rFonts w:hint="eastAsia" w:ascii="黑体" w:hAnsi="黑体"/>
          <w:b w:val="0"/>
          <w:bCs w:val="0"/>
          <w:sz w:val="32"/>
          <w:szCs w:val="32"/>
          <w:lang w:val="en-US" w:eastAsia="zh-CN"/>
        </w:rPr>
        <w:t>二、指南起草基本情况</w:t>
      </w:r>
      <w:bookmarkEnd w:id="1"/>
    </w:p>
    <w:p>
      <w:pPr>
        <w:pStyle w:val="4"/>
        <w:pageBreakBefore w:val="0"/>
        <w:numPr>
          <w:ilvl w:val="0"/>
          <w:numId w:val="0"/>
        </w:numPr>
        <w:kinsoku/>
        <w:overflowPunct/>
        <w:bidi w:val="0"/>
        <w:spacing w:before="0" w:line="540" w:lineRule="exact"/>
        <w:ind w:left="0" w:leftChars="0" w:firstLine="640" w:firstLineChars="200"/>
        <w:jc w:val="both"/>
        <w:textAlignment w:val="auto"/>
        <w:rPr>
          <w:rFonts w:hint="default" w:ascii="楷体" w:hAnsi="楷体" w:eastAsia="楷体" w:cs="楷体"/>
          <w:sz w:val="32"/>
          <w:szCs w:val="32"/>
          <w:lang w:val="en-US" w:eastAsia="zh-CN"/>
        </w:rPr>
      </w:pPr>
      <w:bookmarkStart w:id="2" w:name="_Toc21126"/>
      <w:r>
        <w:rPr>
          <w:rFonts w:hint="eastAsia" w:ascii="楷体" w:hAnsi="楷体" w:eastAsia="楷体" w:cs="楷体"/>
          <w:sz w:val="32"/>
          <w:szCs w:val="32"/>
          <w:lang w:val="en-US" w:eastAsia="zh-CN"/>
        </w:rPr>
        <w:t>（一）编写过程</w:t>
      </w:r>
      <w:bookmarkEnd w:id="2"/>
    </w:p>
    <w:p>
      <w:pPr>
        <w:pStyle w:val="12"/>
        <w:pageBreakBefore w:val="0"/>
        <w:kinsoku/>
        <w:overflowPunct/>
        <w:bidi w:val="0"/>
        <w:spacing w:before="0" w:after="0" w:line="540" w:lineRule="exact"/>
        <w:ind w:left="0" w:firstLine="480"/>
        <w:jc w:val="both"/>
        <w:textAlignment w:val="auto"/>
        <w:rPr>
          <w:rFonts w:hint="eastAsia"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2024</w:t>
      </w:r>
      <w:r>
        <w:rPr>
          <w:rFonts w:hint="eastAsia" w:eastAsia="仿宋_GB2312" w:cs="仿宋_GB2312"/>
          <w:color w:val="000000" w:themeColor="text1"/>
          <w:kern w:val="0"/>
          <w:sz w:val="32"/>
          <w:szCs w:val="32"/>
          <w:lang w:val="en-US" w:eastAsia="zh-CN" w:bidi="ar"/>
          <w14:textFill>
            <w14:solidFill>
              <w14:schemeClr w14:val="tx1"/>
            </w14:solidFill>
          </w14:textFill>
        </w:rPr>
        <w:t>年</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11</w:t>
      </w:r>
      <w:r>
        <w:rPr>
          <w:rFonts w:hint="eastAsia" w:eastAsia="仿宋_GB2312" w:cs="仿宋_GB2312"/>
          <w:color w:val="000000" w:themeColor="text1"/>
          <w:kern w:val="0"/>
          <w:sz w:val="32"/>
          <w:szCs w:val="32"/>
          <w:lang w:val="en-US" w:eastAsia="zh-CN" w:bidi="ar"/>
          <w14:textFill>
            <w14:solidFill>
              <w14:schemeClr w14:val="tx1"/>
            </w14:solidFill>
          </w14:textFill>
        </w:rPr>
        <w:t>月，中国营养学会接到国民营养健康指导委员会办公室关于编制</w:t>
      </w:r>
      <w:r>
        <w:rPr>
          <w:rFonts w:hint="default" w:eastAsia="仿宋_GB2312" w:cs="仿宋_GB2312"/>
          <w:color w:val="000000" w:themeColor="text1"/>
          <w:kern w:val="0"/>
          <w:sz w:val="32"/>
          <w:szCs w:val="32"/>
          <w:lang w:eastAsia="zh-CN" w:bidi="ar"/>
          <w14:textFill>
            <w14:solidFill>
              <w14:schemeClr w14:val="tx1"/>
            </w14:solidFill>
          </w14:textFill>
        </w:rPr>
        <w:t>食养指南</w:t>
      </w:r>
      <w:r>
        <w:rPr>
          <w:rFonts w:hint="eastAsia" w:eastAsia="仿宋_GB2312" w:cs="仿宋_GB2312"/>
          <w:color w:val="000000" w:themeColor="text1"/>
          <w:kern w:val="0"/>
          <w:sz w:val="32"/>
          <w:szCs w:val="32"/>
          <w:lang w:val="en-US" w:eastAsia="zh-CN" w:bidi="ar"/>
          <w14:textFill>
            <w14:solidFill>
              <w14:schemeClr w14:val="tx1"/>
            </w14:solidFill>
          </w14:textFill>
        </w:rPr>
        <w:t>相关工作指示后，即开始组建专家队伍、整理材料和起草工作思路，撰写工作方案及指南框架。</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本指南起草工作由中国营养学会老年营养分会组织，主要起草人涵盖了营养学、老年营养与老年医学、中医中药学领域的专家</w:t>
      </w:r>
      <w:r>
        <w:rPr>
          <w:rFonts w:hint="eastAsia" w:eastAsia="仿宋_GB2312" w:cs="仿宋_GB2312"/>
          <w:color w:val="000000" w:themeColor="text1"/>
          <w:kern w:val="0"/>
          <w:sz w:val="32"/>
          <w:szCs w:val="32"/>
          <w:lang w:val="en-US" w:eastAsia="zh-CN" w:bidi="ar"/>
          <w14:textFill>
            <w14:solidFill>
              <w14:schemeClr w14:val="tx1"/>
            </w14:solidFill>
          </w14:textFill>
        </w:rPr>
        <w:t>及工作人员</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，项目组主要人员有：孙建琴、何梅、</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杨月欣、</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马爱国、</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沈红艺、沈秀华</w:t>
      </w:r>
      <w:r>
        <w:rPr>
          <w:rFonts w:hint="eastAsia" w:eastAsia="仿宋_GB2312" w:cs="仿宋_GB2312"/>
          <w:color w:val="000000" w:themeColor="text1"/>
          <w:kern w:val="0"/>
          <w:sz w:val="32"/>
          <w:szCs w:val="32"/>
          <w:lang w:val="en-US" w:eastAsia="zh-CN" w:bidi="ar"/>
          <w14:textFill>
            <w14:solidFill>
              <w14:schemeClr w14:val="tx1"/>
            </w14:solidFill>
          </w14:textFill>
        </w:rPr>
        <w:t>及</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其团队</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、韩军花、任茜、黄磊、</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陈洁、</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王晓黎、辛宝、李洪梅</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、陈艳秋</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袁武科、</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郭春雷</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、虞培丽、</w:t>
      </w:r>
      <w:r>
        <w:rPr>
          <w:rFonts w:hint="eastAsia" w:eastAsia="仿宋_GB2312" w:cs="仿宋_GB2312"/>
          <w:color w:val="000000" w:themeColor="text1"/>
          <w:kern w:val="0"/>
          <w:sz w:val="32"/>
          <w:szCs w:val="32"/>
          <w:lang w:val="en-US" w:eastAsia="zh-CN" w:bidi="ar"/>
          <w14:textFill>
            <w14:solidFill>
              <w14:schemeClr w14:val="tx1"/>
            </w14:solidFill>
          </w14:textFill>
        </w:rPr>
        <w:t>魏九玲及其团队</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等。</w:t>
      </w:r>
    </w:p>
    <w:p>
      <w:pPr>
        <w:pStyle w:val="12"/>
        <w:pageBreakBefore w:val="0"/>
        <w:kinsoku/>
        <w:overflowPunct/>
        <w:bidi w:val="0"/>
        <w:spacing w:before="0" w:after="0" w:line="540" w:lineRule="exact"/>
        <w:ind w:left="0" w:firstLine="480"/>
        <w:jc w:val="both"/>
        <w:textAlignment w:val="auto"/>
        <w:rPr>
          <w:rFonts w:hint="default" w:ascii="Times New Roman" w:hAnsi="Times New Roman" w:eastAsia="仿宋_GB2312" w:cs="仿宋_GB2312"/>
          <w:color w:val="000000" w:themeColor="text1"/>
          <w:kern w:val="0"/>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2025年1月</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，中国营养学会组织召开“成人肌少症食养指南编写启动研讨会”。会议由韩军花秘书长和何梅</w:t>
      </w:r>
      <w:r>
        <w:rPr>
          <w:rFonts w:hint="eastAsia" w:eastAsia="仿宋_GB2312" w:cs="仿宋_GB2312"/>
          <w:color w:val="000000" w:themeColor="text1"/>
          <w:kern w:val="0"/>
          <w:sz w:val="32"/>
          <w:szCs w:val="32"/>
          <w:lang w:val="en-US" w:eastAsia="zh-CN" w:bidi="ar"/>
          <w14:textFill>
            <w14:solidFill>
              <w14:schemeClr w14:val="tx1"/>
            </w14:solidFill>
          </w14:textFill>
        </w:rPr>
        <w:t>研究员</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主持，</w:t>
      </w:r>
      <w:r>
        <w:rPr>
          <w:rFonts w:hint="eastAsia" w:eastAsia="仿宋_GB2312" w:cs="仿宋_GB2312"/>
          <w:color w:val="000000" w:themeColor="text1"/>
          <w:kern w:val="0"/>
          <w:sz w:val="32"/>
          <w:szCs w:val="32"/>
          <w:lang w:val="en-US" w:eastAsia="zh-CN" w:bidi="ar"/>
          <w14:textFill>
            <w14:solidFill>
              <w14:schemeClr w14:val="tx1"/>
            </w14:solidFill>
          </w14:textFill>
        </w:rPr>
        <w:t>杨月欣理事长和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孙建琴教授作为</w:t>
      </w:r>
      <w:r>
        <w:rPr>
          <w:rFonts w:hint="eastAsia" w:eastAsia="仿宋_GB2312" w:cs="仿宋_GB2312"/>
          <w:color w:val="000000" w:themeColor="text1"/>
          <w:kern w:val="0"/>
          <w:sz w:val="32"/>
          <w:szCs w:val="32"/>
          <w:lang w:val="en-US" w:eastAsia="zh-CN" w:bidi="ar"/>
          <w14:textFill>
            <w14:solidFill>
              <w14:schemeClr w14:val="tx1"/>
            </w14:solidFill>
          </w14:textFill>
        </w:rPr>
        <w:t>项目总</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顾问</w:t>
      </w:r>
      <w:r>
        <w:rPr>
          <w:rFonts w:hint="default"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来自老年营养与老年医学、中医中药学领域的</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名专家和秘书组成员参加了线上会议，围绕指南工作方案、指南框架、任务分工以及指南起草思路进一步讨论和商定。经过充分讨论，任务分工如下</w:t>
      </w:r>
      <w:r>
        <w:rPr>
          <w:rFonts w:hint="default" w:eastAsia="仿宋_GB2312" w:cs="仿宋_GB2312"/>
          <w:color w:val="000000" w:themeColor="text1"/>
          <w:kern w:val="0"/>
          <w:sz w:val="32"/>
          <w:szCs w:val="32"/>
          <w:lang w:eastAsia="zh-CN" w:bidi="ar"/>
          <w14:textFill>
            <w14:solidFill>
              <w14:schemeClr w14:val="tx1"/>
            </w14:solidFill>
          </w14:textFill>
        </w:rPr>
        <w:t>：</w:t>
      </w:r>
    </w:p>
    <w:p>
      <w:pPr>
        <w:pStyle w:val="12"/>
        <w:pageBreakBefore w:val="0"/>
        <w:kinsoku/>
        <w:overflowPunct/>
        <w:bidi w:val="0"/>
        <w:spacing w:before="0" w:after="0" w:line="540" w:lineRule="exact"/>
        <w:ind w:left="0" w:firstLine="480"/>
        <w:jc w:val="both"/>
        <w:textAlignment w:val="auto"/>
        <w:rPr>
          <w:rFonts w:hint="default"/>
          <w:lang w:val="en-US" w:eastAsia="zh-CN"/>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孙建琴教授</w:t>
      </w:r>
      <w:r>
        <w:rPr>
          <w:rFonts w:hint="eastAsia" w:eastAsia="仿宋_GB2312" w:cs="仿宋_GB2312"/>
          <w:color w:val="000000" w:themeColor="text1"/>
          <w:kern w:val="0"/>
          <w:sz w:val="32"/>
          <w:szCs w:val="32"/>
          <w:lang w:val="en-US" w:eastAsia="zh-CN" w:bidi="ar"/>
          <w14:textFill>
            <w14:solidFill>
              <w14:schemeClr w14:val="tx1"/>
            </w14:solidFill>
          </w14:textFill>
        </w:rPr>
        <w:t>和杨月欣研究员作为</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科学顾问</w:t>
      </w:r>
      <w:r>
        <w:rPr>
          <w:rFonts w:hint="eastAsia" w:eastAsia="仿宋_GB2312" w:cs="仿宋_GB2312"/>
          <w:color w:val="000000" w:themeColor="text1"/>
          <w:kern w:val="0"/>
          <w:sz w:val="32"/>
          <w:szCs w:val="32"/>
          <w:lang w:val="en-US" w:eastAsia="zh-CN" w:bidi="ar"/>
          <w14:textFill>
            <w14:solidFill>
              <w14:schemeClr w14:val="tx1"/>
            </w14:solidFill>
          </w14:textFill>
        </w:rPr>
        <w:t>把握指南的总体框架和科学性；</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前言由</w:t>
      </w:r>
      <w:r>
        <w:rPr>
          <w:rFonts w:hint="eastAsia" w:eastAsia="仿宋_GB2312" w:cs="仿宋_GB2312"/>
          <w:color w:val="000000" w:themeColor="text1"/>
          <w:kern w:val="0"/>
          <w:sz w:val="32"/>
          <w:szCs w:val="32"/>
          <w:lang w:val="en-US" w:eastAsia="zh-CN" w:bidi="ar"/>
          <w14:textFill>
            <w14:solidFill>
              <w14:schemeClr w14:val="tx1"/>
            </w14:solidFill>
          </w14:textFill>
        </w:rPr>
        <w:t>何梅、马爱国、韩军花、</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任茜</w:t>
      </w:r>
      <w:r>
        <w:rPr>
          <w:rFonts w:hint="eastAsia" w:eastAsia="仿宋_GB2312" w:cs="仿宋_GB2312"/>
          <w:color w:val="000000" w:themeColor="text1"/>
          <w:kern w:val="0"/>
          <w:sz w:val="32"/>
          <w:szCs w:val="32"/>
          <w:lang w:val="en-US" w:eastAsia="zh-CN" w:bidi="ar"/>
          <w14:textFill>
            <w14:solidFill>
              <w14:schemeClr w14:val="tx1"/>
            </w14:solidFill>
          </w14:textFill>
        </w:rPr>
        <w:t>和陈洁</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负责；疾病特点与分型由孙建琴、任茜、何梅、沈红艺、李洪梅、辛宝负责；食养原则和建议分别由何梅、任茜、陈艳秋、沈红艺、李洪梅、辛宝、黄磊、</w:t>
      </w:r>
      <w:r>
        <w:rPr>
          <w:rFonts w:hint="eastAsia" w:eastAsia="仿宋_GB2312" w:cs="仿宋_GB2312"/>
          <w:color w:val="000000" w:themeColor="text1"/>
          <w:kern w:val="0"/>
          <w:sz w:val="32"/>
          <w:szCs w:val="32"/>
          <w:lang w:val="en-US" w:eastAsia="zh-CN" w:bidi="ar"/>
          <w14:textFill>
            <w14:solidFill>
              <w14:schemeClr w14:val="tx1"/>
            </w14:solidFill>
          </w14:textFill>
        </w:rPr>
        <w:t>韩军花、</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陈洁、王晓黎、袁武科负责；成人肌少症患者的食物选择由何梅、黄磊、郭春雷、沈红艺、李洪梅</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王晓黎负责；不同地区食谱示例由沈秀华及其团队、沈红艺、王晓黎负责编制，魏九玲及其团队负责食谱核查；成人肌少症食养方举例由沈红艺、李洪梅和辛宝负责；肌少症风险筛查和评估由任茜、陈艳秋、王晓黎、袁武科负责；郭春雷、虞培丽、</w:t>
      </w:r>
      <w:r>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t>牛杨，茅晓蒙，顾秋云</w:t>
      </w:r>
      <w:r>
        <w:rPr>
          <w:rFonts w:hint="eastAsia" w:eastAsia="仿宋_GB2312" w:cs="仿宋_GB2312"/>
          <w:color w:val="000000" w:themeColor="text1"/>
          <w:kern w:val="0"/>
          <w:sz w:val="32"/>
          <w:szCs w:val="32"/>
          <w:lang w:val="en-US" w:eastAsia="zh-CN" w:bidi="ar"/>
          <w14:textFill>
            <w14:solidFill>
              <w14:schemeClr w14:val="tx1"/>
            </w14:solidFill>
          </w14:textFill>
        </w:rPr>
        <w:t>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许凯婕作为秘书和联络员，负责联络、统稿、组织内外审等具体事宜，</w:t>
      </w:r>
      <w:r>
        <w:rPr>
          <w:rFonts w:hint="eastAsia" w:eastAsia="仿宋_GB2312" w:cs="仿宋_GB2312"/>
          <w:color w:val="000000" w:themeColor="text1"/>
          <w:kern w:val="0"/>
          <w:sz w:val="32"/>
          <w:szCs w:val="32"/>
          <w:lang w:val="en-US" w:eastAsia="zh-CN" w:bidi="ar"/>
          <w14:textFill>
            <w14:solidFill>
              <w14:schemeClr w14:val="tx1"/>
            </w14:solidFill>
          </w14:textFill>
        </w:rPr>
        <w:t>杨晓光、常翠青和柳鹏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负责指南的总体审核。</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经过查阅大量材料和召开三次工作组内部专家研讨会，</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2025年4月</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初形成初稿，由中国营养学会老年营养分会（食养指南秘书组）进行统稿。</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2025年4月14日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，参加国家卫生健康委食品司工作汇报会，听取司领导对于指南的修改建议，进一步修改指南。</w:t>
      </w:r>
    </w:p>
    <w:p>
      <w:pPr>
        <w:pStyle w:val="12"/>
        <w:pageBreakBefore w:val="0"/>
        <w:kinsoku/>
        <w:overflowPunct/>
        <w:bidi w:val="0"/>
        <w:spacing w:before="0" w:after="0" w:line="540" w:lineRule="exact"/>
        <w:ind w:left="0" w:firstLine="480"/>
        <w:jc w:val="both"/>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2025年7月25日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，起草组赴国家卫生健康委食品司参加“新版食养指南编制工作推进会”。中国营养学会汇报了指南编制进展情况、编制工作中出现的问题及下一步工作安排。</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7月28日</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8月14日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，按</w:t>
      </w:r>
      <w:r>
        <w:rPr>
          <w:rFonts w:hint="eastAsia" w:eastAsia="仿宋_GB2312" w:cs="仿宋_GB2312"/>
          <w:color w:val="000000" w:themeColor="text1"/>
          <w:kern w:val="0"/>
          <w:sz w:val="32"/>
          <w:szCs w:val="32"/>
          <w:lang w:val="en-US" w:eastAsia="zh-CN" w:bidi="ar"/>
          <w14:textFill>
            <w14:solidFill>
              <w14:schemeClr w14:val="tx1"/>
            </w14:solidFill>
          </w14:textFill>
        </w:rPr>
        <w:t>卫健委及专家的</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指示，对指南的</w:t>
      </w:r>
      <w:r>
        <w:rPr>
          <w:rFonts w:hint="eastAsia" w:eastAsia="仿宋_GB2312" w:cs="仿宋_GB2312"/>
          <w:color w:val="000000" w:themeColor="text1"/>
          <w:kern w:val="0"/>
          <w:sz w:val="32"/>
          <w:szCs w:val="32"/>
          <w:lang w:val="en-US" w:eastAsia="zh-CN" w:bidi="ar"/>
          <w14:textFill>
            <w14:solidFill>
              <w14:schemeClr w14:val="tx1"/>
            </w14:solidFill>
          </w14:textFill>
        </w:rPr>
        <w:t>科学细节和食养原则等内容</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进行完善。</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2025年8月15日</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10月10日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，组织</w:t>
      </w:r>
      <w:r>
        <w:rPr>
          <w:rFonts w:hint="eastAsia" w:eastAsia="仿宋_GB2312" w:cs="仿宋_GB2312"/>
          <w:color w:val="000000" w:themeColor="text1"/>
          <w:kern w:val="0"/>
          <w:sz w:val="32"/>
          <w:szCs w:val="32"/>
          <w:lang w:val="en-US" w:eastAsia="zh-CN" w:bidi="ar"/>
          <w14:textFill>
            <w14:solidFill>
              <w14:schemeClr w14:val="tx1"/>
            </w14:solidFill>
          </w14:textFill>
        </w:rPr>
        <w:t>各组的</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参编专家进行</w:t>
      </w:r>
      <w:r>
        <w:rPr>
          <w:rFonts w:hint="eastAsia" w:eastAsia="仿宋_GB2312" w:cs="仿宋_GB2312"/>
          <w:color w:val="000000" w:themeColor="text1"/>
          <w:kern w:val="0"/>
          <w:sz w:val="32"/>
          <w:szCs w:val="32"/>
          <w:lang w:val="en-US" w:eastAsia="zh-CN" w:bidi="ar"/>
          <w14:textFill>
            <w14:solidFill>
              <w14:schemeClr w14:val="tx1"/>
            </w14:solidFill>
          </w14:textFill>
        </w:rPr>
        <w:t>各部分交叉</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内审，对</w:t>
      </w:r>
      <w:r>
        <w:rPr>
          <w:rFonts w:hint="eastAsia" w:eastAsia="仿宋_GB2312" w:cs="仿宋_GB2312"/>
          <w:color w:val="000000" w:themeColor="text1"/>
          <w:kern w:val="0"/>
          <w:sz w:val="32"/>
          <w:szCs w:val="32"/>
          <w:lang w:val="en-US" w:eastAsia="zh-CN" w:bidi="ar"/>
          <w14:textFill>
            <w14:solidFill>
              <w14:schemeClr w14:val="tx1"/>
            </w14:solidFill>
          </w14:textFill>
        </w:rPr>
        <w:t>发现的问题</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进一步完善与规范，</w:t>
      </w:r>
      <w:r>
        <w:rPr>
          <w:rFonts w:hint="eastAsia" w:eastAsia="仿宋_GB2312" w:cs="仿宋_GB2312"/>
          <w:color w:val="000000" w:themeColor="text1"/>
          <w:kern w:val="0"/>
          <w:sz w:val="32"/>
          <w:szCs w:val="32"/>
          <w:lang w:val="en-US" w:eastAsia="zh-CN" w:bidi="ar"/>
          <w14:textFill>
            <w14:solidFill>
              <w14:schemeClr w14:val="tx1"/>
            </w14:solidFill>
          </w14:textFill>
        </w:rPr>
        <w:t>对七个</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地区食谱</w:t>
      </w:r>
      <w:r>
        <w:rPr>
          <w:rFonts w:hint="eastAsia" w:eastAsia="仿宋_GB2312" w:cs="仿宋_GB2312"/>
          <w:color w:val="000000" w:themeColor="text1"/>
          <w:kern w:val="0"/>
          <w:sz w:val="32"/>
          <w:szCs w:val="32"/>
          <w:lang w:val="en-US" w:eastAsia="zh-CN" w:bidi="ar"/>
          <w14:textFill>
            <w14:solidFill>
              <w14:schemeClr w14:val="tx1"/>
            </w14:solidFill>
          </w14:textFill>
        </w:rPr>
        <w:t>示例的计算结果</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进行</w:t>
      </w:r>
      <w:r>
        <w:rPr>
          <w:rFonts w:hint="eastAsia" w:eastAsia="仿宋_GB2312" w:cs="仿宋_GB2312"/>
          <w:color w:val="000000" w:themeColor="text1"/>
          <w:kern w:val="0"/>
          <w:sz w:val="32"/>
          <w:szCs w:val="32"/>
          <w:lang w:val="en-US" w:eastAsia="zh-CN" w:bidi="ar"/>
          <w14:textFill>
            <w14:solidFill>
              <w14:schemeClr w14:val="tx1"/>
            </w14:solidFill>
          </w14:textFill>
        </w:rPr>
        <w:t>校核</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w:t>
      </w:r>
    </w:p>
    <w:p>
      <w:pPr>
        <w:pStyle w:val="12"/>
        <w:pageBreakBefore w:val="0"/>
        <w:kinsoku/>
        <w:overflowPunct/>
        <w:bidi w:val="0"/>
        <w:spacing w:before="0" w:after="0" w:line="540" w:lineRule="exact"/>
        <w:ind w:left="0" w:firstLine="480"/>
        <w:jc w:val="both"/>
        <w:textAlignment w:val="auto"/>
        <w:rPr>
          <w:rFonts w:hint="default"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2025年10月23日</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10月24日</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起草组赴国家卫生健康委食品司参加“食养指南</w:t>
      </w:r>
      <w:r>
        <w:rPr>
          <w:rFonts w:hint="eastAsia" w:eastAsia="仿宋_GB2312" w:cs="仿宋_GB2312"/>
          <w:color w:val="000000" w:themeColor="text1"/>
          <w:kern w:val="0"/>
          <w:sz w:val="32"/>
          <w:szCs w:val="32"/>
          <w:lang w:val="en-US" w:eastAsia="zh-CN" w:bidi="ar"/>
          <w14:textFill>
            <w14:solidFill>
              <w14:schemeClr w14:val="tx1"/>
            </w14:solidFill>
          </w14:textFill>
        </w:rPr>
        <w:t>的</w:t>
      </w:r>
      <w:r>
        <w:rPr>
          <w:rFonts w:hint="default" w:eastAsia="仿宋_GB2312" w:cs="仿宋_GB2312"/>
          <w:color w:val="000000" w:themeColor="text1"/>
          <w:kern w:val="0"/>
          <w:sz w:val="32"/>
          <w:szCs w:val="32"/>
          <w:lang w:eastAsia="zh-CN" w:bidi="ar"/>
          <w14:textFill>
            <w14:solidFill>
              <w14:schemeClr w14:val="tx1"/>
            </w14:solidFill>
          </w14:textFill>
        </w:rPr>
        <w:t>审</w:t>
      </w:r>
      <w:r>
        <w:rPr>
          <w:rFonts w:hint="eastAsia" w:eastAsia="仿宋_GB2312" w:cs="仿宋_GB2312"/>
          <w:color w:val="000000" w:themeColor="text1"/>
          <w:kern w:val="0"/>
          <w:sz w:val="32"/>
          <w:szCs w:val="32"/>
          <w:lang w:val="en-US" w:eastAsia="zh-CN" w:bidi="ar"/>
          <w14:textFill>
            <w14:solidFill>
              <w14:schemeClr w14:val="tx1"/>
            </w14:solidFill>
          </w14:textFill>
        </w:rPr>
        <w:t>稿会</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”。中国营养学会汇报了指南</w:t>
      </w:r>
      <w:r>
        <w:rPr>
          <w:rFonts w:hint="eastAsia" w:eastAsia="仿宋_GB2312" w:cs="仿宋_GB2312"/>
          <w:color w:val="000000" w:themeColor="text1"/>
          <w:kern w:val="0"/>
          <w:sz w:val="32"/>
          <w:szCs w:val="32"/>
          <w:lang w:val="en-US" w:eastAsia="zh-CN" w:bidi="ar"/>
          <w14:textFill>
            <w14:solidFill>
              <w14:schemeClr w14:val="tx1"/>
            </w14:solidFill>
          </w14:textFill>
        </w:rPr>
        <w:t>最新</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编制</w:t>
      </w:r>
      <w:r>
        <w:rPr>
          <w:rFonts w:hint="eastAsia" w:eastAsia="仿宋_GB2312" w:cs="仿宋_GB2312"/>
          <w:color w:val="000000" w:themeColor="text1"/>
          <w:kern w:val="0"/>
          <w:sz w:val="32"/>
          <w:szCs w:val="32"/>
          <w:lang w:val="en-US" w:eastAsia="zh-CN" w:bidi="ar"/>
          <w14:textFill>
            <w14:solidFill>
              <w14:schemeClr w14:val="tx1"/>
            </w14:solidFill>
          </w14:textFill>
        </w:rPr>
        <w:t>状况。卫健委及专家们对修订稿提出了明确的完善要求，对附录</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w:t>
      </w:r>
      <w:r>
        <w:rPr>
          <w:rFonts w:hint="eastAsia" w:eastAsia="仿宋_GB2312" w:cs="仿宋_GB2312"/>
          <w:color w:val="000000" w:themeColor="text1"/>
          <w:kern w:val="0"/>
          <w:sz w:val="32"/>
          <w:szCs w:val="32"/>
          <w:lang w:val="en-US" w:eastAsia="zh-CN" w:bidi="ar"/>
          <w14:textFill>
            <w14:solidFill>
              <w14:schemeClr w14:val="tx1"/>
            </w14:solidFill>
          </w14:textFill>
        </w:rPr>
        <w:t>示例的食谱提出了需要三个能量等级食谱的要求。</w:t>
      </w:r>
    </w:p>
    <w:p>
      <w:pPr>
        <w:pStyle w:val="12"/>
        <w:pageBreakBefore w:val="0"/>
        <w:kinsoku/>
        <w:overflowPunct/>
        <w:bidi w:val="0"/>
        <w:spacing w:before="0" w:after="0" w:line="540" w:lineRule="exact"/>
        <w:ind w:left="0" w:firstLine="480"/>
        <w:jc w:val="both"/>
        <w:textAlignment w:val="auto"/>
        <w:rPr>
          <w:rFonts w:hint="eastAsia"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2025年10月24日</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11月4日</w:t>
      </w:r>
      <w:r>
        <w:rPr>
          <w:rFonts w:hint="eastAsia" w:eastAsia="仿宋_GB2312" w:cs="仿宋_GB2312"/>
          <w:color w:val="000000" w:themeColor="text1"/>
          <w:kern w:val="0"/>
          <w:sz w:val="32"/>
          <w:szCs w:val="32"/>
          <w:lang w:val="en-US" w:eastAsia="zh-CN" w:bidi="ar"/>
          <w14:textFill>
            <w14:solidFill>
              <w14:schemeClr w14:val="tx1"/>
            </w14:solidFill>
          </w14:textFill>
        </w:rPr>
        <w:t>，起草组按照</w:t>
      </w:r>
      <w:r>
        <w:rPr>
          <w:rFonts w:hint="default" w:eastAsia="仿宋_GB2312" w:cs="仿宋_GB2312"/>
          <w:color w:val="000000" w:themeColor="text1"/>
          <w:kern w:val="0"/>
          <w:sz w:val="32"/>
          <w:szCs w:val="32"/>
          <w:lang w:eastAsia="zh-CN" w:bidi="ar"/>
          <w14:textFill>
            <w14:solidFill>
              <w14:schemeClr w14:val="tx1"/>
            </w14:solidFill>
          </w14:textFill>
        </w:rPr>
        <w:t>审</w:t>
      </w:r>
      <w:r>
        <w:rPr>
          <w:rFonts w:hint="eastAsia" w:eastAsia="仿宋_GB2312" w:cs="仿宋_GB2312"/>
          <w:color w:val="000000" w:themeColor="text1"/>
          <w:kern w:val="0"/>
          <w:sz w:val="32"/>
          <w:szCs w:val="32"/>
          <w:lang w:val="en-US" w:eastAsia="zh-CN" w:bidi="ar"/>
          <w14:textFill>
            <w14:solidFill>
              <w14:schemeClr w14:val="tx1"/>
            </w14:solidFill>
          </w14:textFill>
        </w:rPr>
        <w:t>稿会的建议进一步完善，食谱示例增加到三个能量等级，并对计算结果进行核查。最终形成指南征求意见稿文本并提交。</w:t>
      </w:r>
    </w:p>
    <w:p>
      <w:pPr>
        <w:keepNext w:val="0"/>
        <w:keepLines w:val="0"/>
        <w:pageBreakBefore w:val="0"/>
        <w:widowControl/>
        <w:kinsoku/>
        <w:wordWrap/>
        <w:overflowPunct/>
        <w:topLinePunct w:val="0"/>
        <w:autoSpaceDE/>
        <w:autoSpaceDN/>
        <w:bidi w:val="0"/>
        <w:adjustRightInd/>
        <w:snapToGrid w:val="0"/>
        <w:spacing w:line="540" w:lineRule="exact"/>
        <w:ind w:left="0" w:firstLine="640" w:firstLineChars="200"/>
        <w:jc w:val="both"/>
        <w:textAlignment w:val="auto"/>
        <w:rPr>
          <w:rFonts w:hint="eastAsia" w:ascii="Times New Roman" w:hAnsi="Times New Roman" w:eastAsia="仿宋_GB2312" w:cs="仿宋_GB2312"/>
          <w:color w:val="000000" w:themeColor="text1"/>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2025年11月-12月</w:t>
      </w:r>
      <w:r>
        <w:rPr>
          <w:rFonts w:hint="eastAsia" w:ascii="Times New Roman" w:hAnsi="Times New Roman" w:eastAsia="仿宋_GB2312" w:cs="仿宋_GB2312"/>
          <w:color w:val="000000" w:themeColor="text1"/>
          <w:sz w:val="32"/>
          <w:szCs w:val="32"/>
          <w:lang w:bidi="ar"/>
          <w14:textFill>
            <w14:solidFill>
              <w14:schemeClr w14:val="tx1"/>
            </w14:solidFill>
          </w14:textFill>
        </w:rPr>
        <w:t>，食品司组织将《成人</w:t>
      </w:r>
      <w:r>
        <w:rPr>
          <w:rFonts w:hint="eastAsia" w:ascii="Times New Roman" w:hAnsi="Times New Roman" w:eastAsia="仿宋_GB2312" w:cs="仿宋_GB2312"/>
          <w:color w:val="000000" w:themeColor="text1"/>
          <w:sz w:val="32"/>
          <w:szCs w:val="32"/>
          <w:lang w:eastAsia="zh-CN" w:bidi="ar"/>
          <w14:textFill>
            <w14:solidFill>
              <w14:schemeClr w14:val="tx1"/>
            </w14:solidFill>
          </w14:textFill>
        </w:rPr>
        <w:t>肌少症</w:t>
      </w:r>
      <w:r>
        <w:rPr>
          <w:rFonts w:hint="eastAsia" w:ascii="Times New Roman" w:hAnsi="Times New Roman" w:eastAsia="仿宋_GB2312" w:cs="仿宋_GB2312"/>
          <w:color w:val="000000" w:themeColor="text1"/>
          <w:sz w:val="32"/>
          <w:szCs w:val="32"/>
          <w:lang w:bidi="ar"/>
          <w14:textFill>
            <w14:solidFill>
              <w14:schemeClr w14:val="tx1"/>
            </w14:solidFill>
          </w14:textFill>
        </w:rPr>
        <w:t>食养指南》等三</w:t>
      </w:r>
      <w:r>
        <w:rPr>
          <w:rFonts w:hint="eastAsia" w:ascii="Times New Roman" w:hAnsi="Times New Roman" w:eastAsia="仿宋_GB2312" w:cs="仿宋_GB2312"/>
          <w:color w:val="000000" w:themeColor="text1"/>
          <w:sz w:val="32"/>
          <w:szCs w:val="32"/>
          <w:highlight w:val="none"/>
          <w:lang w:bidi="ar"/>
          <w14:textFill>
            <w14:solidFill>
              <w14:schemeClr w14:val="tx1"/>
            </w14:solidFill>
          </w14:textFill>
        </w:rPr>
        <w:t>项指南征求相关部委、委相关司局及省级卫生健康委</w:t>
      </w:r>
      <w:r>
        <w:rPr>
          <w:rFonts w:hint="default" w:ascii="Times New Roman" w:hAnsi="Times New Roman" w:eastAsia="仿宋_GB2312" w:cs="仿宋_GB2312"/>
          <w:color w:val="000000" w:themeColor="text1"/>
          <w:sz w:val="32"/>
          <w:szCs w:val="32"/>
          <w:highlight w:val="none"/>
          <w:lang w:bidi="ar"/>
          <w14:textFill>
            <w14:solidFill>
              <w14:schemeClr w14:val="tx1"/>
            </w14:solidFill>
          </w14:textFill>
        </w:rPr>
        <w:t>意见</w:t>
      </w:r>
      <w:r>
        <w:rPr>
          <w:rFonts w:hint="eastAsia" w:ascii="Times New Roman" w:hAnsi="Times New Roman" w:eastAsia="仿宋_GB2312" w:cs="仿宋_GB2312"/>
          <w:color w:val="000000" w:themeColor="text1"/>
          <w:sz w:val="32"/>
          <w:szCs w:val="32"/>
          <w:highlight w:val="none"/>
          <w:lang w:bidi="ar"/>
          <w14:textFill>
            <w14:solidFill>
              <w14:schemeClr w14:val="tx1"/>
            </w14:solidFill>
          </w14:textFill>
        </w:rPr>
        <w:t>。起草单位</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整理了反馈意见近</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140条</w:t>
      </w:r>
      <w:r>
        <w:rPr>
          <w:rFonts w:hint="eastAsia" w:eastAsia="仿宋_GB2312" w:cs="仿宋_GB2312"/>
          <w:color w:val="000000" w:themeColor="text1"/>
          <w:kern w:val="0"/>
          <w:sz w:val="32"/>
          <w:szCs w:val="32"/>
          <w:highlight w:val="none"/>
          <w:lang w:val="en-US" w:eastAsia="zh-CN" w:bidi="ar"/>
          <w14:textFill>
            <w14:solidFill>
              <w14:schemeClr w14:val="tx1"/>
            </w14:solidFill>
          </w14:textFill>
        </w:rPr>
        <w:t>，并</w:t>
      </w:r>
      <w:r>
        <w:rPr>
          <w:rFonts w:hint="eastAsia" w:ascii="Times New Roman" w:hAnsi="Times New Roman" w:eastAsia="仿宋_GB2312" w:cs="仿宋_GB2312"/>
          <w:color w:val="000000" w:themeColor="text1"/>
          <w:sz w:val="32"/>
          <w:szCs w:val="32"/>
          <w:lang w:bidi="ar"/>
          <w14:textFill>
            <w14:solidFill>
              <w14:schemeClr w14:val="tx1"/>
            </w14:solidFill>
          </w14:textFill>
        </w:rPr>
        <w:t>对收集到的意见进行逐条研究处理，修改完善后，再次将指南文本、问答及编制说明报送食品司。</w:t>
      </w:r>
    </w:p>
    <w:p>
      <w:pPr>
        <w:pStyle w:val="4"/>
        <w:pageBreakBefore w:val="0"/>
        <w:numPr>
          <w:ilvl w:val="0"/>
          <w:numId w:val="0"/>
        </w:numPr>
        <w:kinsoku/>
        <w:overflowPunct/>
        <w:bidi w:val="0"/>
        <w:spacing w:before="0" w:line="540" w:lineRule="exact"/>
        <w:ind w:left="0" w:leftChars="0" w:firstLine="640" w:firstLineChars="200"/>
        <w:jc w:val="both"/>
        <w:textAlignment w:val="auto"/>
        <w:rPr>
          <w:rFonts w:hint="eastAsia" w:ascii="楷体" w:hAnsi="楷体" w:eastAsia="楷体" w:cs="楷体"/>
          <w:sz w:val="32"/>
          <w:szCs w:val="32"/>
          <w:lang w:val="en-US" w:eastAsia="zh-CN"/>
        </w:rPr>
      </w:pPr>
      <w:bookmarkStart w:id="3" w:name="_Toc31030"/>
      <w:r>
        <w:rPr>
          <w:rFonts w:hint="eastAsia" w:ascii="楷体" w:hAnsi="楷体" w:eastAsia="楷体" w:cs="楷体"/>
          <w:sz w:val="32"/>
          <w:szCs w:val="32"/>
          <w:lang w:val="en-US" w:eastAsia="zh-CN"/>
        </w:rPr>
        <w:t>（二）编制工作概况和依据</w:t>
      </w:r>
      <w:bookmarkEnd w:id="3"/>
    </w:p>
    <w:p>
      <w:pPr>
        <w:pageBreakBefore w:val="0"/>
        <w:widowControl/>
        <w:kinsoku/>
        <w:overflowPunct/>
        <w:bidi w:val="0"/>
        <w:adjustRightInd w:val="0"/>
        <w:snapToGrid/>
        <w:spacing w:line="540" w:lineRule="exact"/>
        <w:ind w:left="0" w:firstLine="640" w:firstLineChars="20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本指南在编制过程中查阅文献，参考国内外法规、指南、标准等资料，重点参考了以下国内外的指南和共识。</w:t>
      </w:r>
    </w:p>
    <w:p>
      <w:pPr>
        <w:pageBreakBefore w:val="0"/>
        <w:widowControl/>
        <w:kinsoku/>
        <w:overflowPunct/>
        <w:bidi w:val="0"/>
        <w:adjustRightInd w:val="0"/>
        <w:snapToGrid/>
        <w:spacing w:line="540" w:lineRule="exact"/>
        <w:ind w:left="0" w:firstLine="640" w:firstLineChars="200"/>
        <w:jc w:val="both"/>
        <w:textAlignment w:val="auto"/>
        <w:rPr>
          <w:color w:val="000000"/>
          <w:sz w:val="32"/>
          <w:szCs w:val="32"/>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国际相关法律法规和标准：</w:t>
      </w:r>
      <w:bookmarkStart w:id="4" w:name="_Hlk187666839"/>
      <w:r>
        <w:rPr>
          <w:rFonts w:hint="eastAsia" w:ascii="仿宋_GB2312" w:hAnsi="仿宋_GB2312" w:eastAsia="仿宋_GB2312" w:cs="仿宋_GB2312"/>
          <w:color w:val="000000" w:themeColor="text1"/>
          <w:sz w:val="32"/>
          <w:szCs w:val="32"/>
          <w:lang w:bidi="ar"/>
          <w14:textFill>
            <w14:solidFill>
              <w14:schemeClr w14:val="tx1"/>
            </w14:solidFill>
          </w14:textFill>
        </w:rPr>
        <w:t>International Clinical Practice Guidelines for Sarcopenia (ICFSR): Screening, Diagnosis and Management</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Asian Working Group for Sarcopenia</w:t>
      </w:r>
      <w:bookmarkEnd w:id="4"/>
      <w:r>
        <w:rPr>
          <w:rFonts w:hint="eastAsia" w:ascii="仿宋_GB2312" w:hAnsi="仿宋_GB2312" w:eastAsia="仿宋_GB2312" w:cs="仿宋_GB2312"/>
          <w:color w:val="000000" w:themeColor="text1"/>
          <w:sz w:val="32"/>
          <w:szCs w:val="32"/>
          <w:lang w:bidi="ar"/>
          <w14:textFill>
            <w14:solidFill>
              <w14:schemeClr w14:val="tx1"/>
            </w14:solidFill>
          </w14:textFill>
        </w:rPr>
        <w:t>: 2019 Consensus Update on Sarcopenia Diagnosis and Treatment</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Sarcopenia: revised European consensus on definition and diagnosis</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Singapore Clinical Practice Guidelines For Sarcopenia: Screening, Diagnosis, Management and Prevention</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Roles of nutrition in muscle health of community-dwelling older adults: evidence-based expert consensus from Asian Working Group for Sarcopenia</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Definition and diagnostic criteria for sarcopenic obesity: ESPEN and EASO consensus statement.</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我国有关</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指南和共识：</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肌少症膳食营养处方及运动干预中国专家共识（</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2025</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老年人肌少症门诊管理规范中国专家共识（</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2024</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中国肌肉减少症诊疗指南（</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2024</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老年人肌少症防控干预中国专家共识</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2023</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中国老年人肌少症诊疗专家共识</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2021</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老年人肌少症口服营养补充中国专家共识</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2019</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慢性肾脏病肌少症诊断、治疗与预防专家共识（</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2024</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年版）</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本指南在编制过程中，根据《卫生部关于进一步规范保健食品原料管理的通知（卫法监发</w:t>
      </w:r>
      <w:r>
        <w:rPr>
          <w:rFonts w:ascii="仿宋_GB2312" w:hAnsi="Times New Roman" w:cs="Times New Roman"/>
          <w:sz w:val="32"/>
          <w:szCs w:val="32"/>
        </w:rPr>
        <w:t>[2002]</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51</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号</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关于当归等</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6</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种新增按照传统既是食品又是中药材的物质公告（</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2019年第8</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号公告）</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关于党参等</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9</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种新增按照传统既是食品</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又是中药材的物质公告（2023年第9号）》《关于地黄等4种按照传统既是食品又是中药材的物质的公告（2024年第4号）》等相关规定对食药物质名单进行梳理，分析它们对不同</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证型成人肌少症人群的适用性，列出可供选择的食药物质、食谱示例和食养方举例。</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《指南》的内容与这些共识的科学性相一致，重在对于老年肌少症膳食营养管理的可操作性和规范化。《指南》将指导性与实用性相结合，为肌少症的预防和改善提供科学的食养指导。</w:t>
      </w:r>
    </w:p>
    <w:p>
      <w:pPr>
        <w:pStyle w:val="4"/>
        <w:pageBreakBefore w:val="0"/>
        <w:numPr>
          <w:ilvl w:val="0"/>
          <w:numId w:val="1"/>
        </w:numPr>
        <w:kinsoku/>
        <w:overflowPunct/>
        <w:bidi w:val="0"/>
        <w:spacing w:before="0" w:line="540" w:lineRule="exact"/>
        <w:ind w:left="0" w:leftChars="0" w:firstLine="640" w:firstLineChars="200"/>
        <w:jc w:val="both"/>
        <w:textAlignment w:val="auto"/>
        <w:rPr>
          <w:rFonts w:hint="eastAsia" w:ascii="楷体" w:hAnsi="楷体" w:eastAsia="楷体" w:cs="楷体"/>
          <w:sz w:val="32"/>
          <w:szCs w:val="32"/>
          <w:highlight w:val="none"/>
          <w:lang w:val="en-US" w:eastAsia="zh-CN"/>
        </w:rPr>
      </w:pPr>
      <w:bookmarkStart w:id="5" w:name="_Toc4874"/>
      <w:r>
        <w:rPr>
          <w:rFonts w:hint="eastAsia" w:ascii="楷体" w:hAnsi="楷体" w:eastAsia="楷体" w:cs="楷体"/>
          <w:sz w:val="32"/>
          <w:szCs w:val="32"/>
          <w:highlight w:val="none"/>
          <w:lang w:val="en-US" w:eastAsia="zh-CN"/>
        </w:rPr>
        <w:t>征求意见处理情况</w:t>
      </w:r>
      <w:bookmarkEnd w:id="5"/>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eastAsia="仿宋_GB2312" w:cs="仿宋_GB2312"/>
          <w:snapToGrid w:val="0"/>
          <w:color w:val="000000" w:themeColor="text1"/>
          <w:kern w:val="0"/>
          <w:sz w:val="32"/>
          <w:szCs w:val="32"/>
          <w:lang w:val="en-US" w:eastAsia="zh-CN" w:bidi="ar"/>
          <w14:textFill>
            <w14:solidFill>
              <w14:schemeClr w14:val="tx1"/>
            </w14:solidFill>
          </w14:textFill>
        </w:rPr>
        <w:t>在国家卫生健康委的组织下，本指南分别在</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2025年4月、7月和10月</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面向权威专家征求意见。专家们就《指南》的科学性、指导性、科普性以及技术细节等提出了宝贵的意见。经过项目组的认真学习和修订，形成对外发布的征求意见稿。</w:t>
      </w:r>
    </w:p>
    <w:p>
      <w:pPr>
        <w:pStyle w:val="12"/>
        <w:pageBreakBefore w:val="0"/>
        <w:kinsoku/>
        <w:overflowPunct/>
        <w:bidi w:val="0"/>
        <w:spacing w:before="0" w:after="0" w:line="540" w:lineRule="exact"/>
        <w:ind w:left="0" w:firstLine="480"/>
        <w:jc w:val="both"/>
        <w:textAlignment w:val="auto"/>
        <w:rPr>
          <w:rFonts w:hint="default"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2025年11月</w:t>
      </w:r>
      <w:r>
        <w:rPr>
          <w:rFonts w:hint="eastAsia" w:eastAsia="仿宋_GB2312" w:cs="仿宋_GB2312"/>
          <w:color w:val="000000" w:themeColor="text1"/>
          <w:kern w:val="0"/>
          <w:sz w:val="32"/>
          <w:szCs w:val="32"/>
          <w:lang w:val="en-US" w:eastAsia="zh-CN" w:bidi="ar"/>
          <w14:textFill>
            <w14:solidFill>
              <w14:schemeClr w14:val="tx1"/>
            </w14:solidFill>
          </w14:textFill>
        </w:rPr>
        <w:t>，起草组提交了《成人肌少症食养指南》征求意见稿，由国家卫健委向各省及自治区卫健委征求意见。</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2025年12月</w:t>
      </w:r>
      <w:r>
        <w:rPr>
          <w:rFonts w:hint="eastAsia" w:eastAsia="仿宋_GB2312" w:cs="仿宋_GB2312"/>
          <w:color w:val="000000" w:themeColor="text1"/>
          <w:kern w:val="0"/>
          <w:sz w:val="32"/>
          <w:szCs w:val="32"/>
          <w:lang w:val="en-US" w:eastAsia="zh-CN" w:bidi="ar"/>
          <w14:textFill>
            <w14:solidFill>
              <w14:schemeClr w14:val="tx1"/>
            </w14:solidFill>
          </w14:textFill>
        </w:rPr>
        <w:t>共收到全国卫生系统的反馈意见近</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140</w:t>
      </w:r>
      <w:r>
        <w:rPr>
          <w:rFonts w:hint="eastAsia" w:eastAsia="仿宋_GB2312" w:cs="仿宋_GB2312"/>
          <w:color w:val="000000" w:themeColor="text1"/>
          <w:kern w:val="0"/>
          <w:sz w:val="32"/>
          <w:szCs w:val="32"/>
          <w:lang w:val="en-US" w:eastAsia="zh-CN" w:bidi="ar"/>
          <w14:textFill>
            <w14:solidFill>
              <w14:schemeClr w14:val="tx1"/>
            </w14:solidFill>
          </w14:textFill>
        </w:rPr>
        <w:t>条。经对所有反馈意见进行逐一讨论。对于共性问题与国家卫健委和专家组进行沟通统一修改原则；拟采纳的意见，对食养指南的文稿进行修改；拟不采纳的意见也给予了理由说明。最终形成《成人肌少症食养指南》征求意见稿修订版，并提交。</w:t>
      </w:r>
    </w:p>
    <w:p>
      <w:pPr>
        <w:pStyle w:val="3"/>
        <w:pageBreakBefore w:val="0"/>
        <w:numPr>
          <w:ilvl w:val="0"/>
          <w:numId w:val="0"/>
        </w:numPr>
        <w:kinsoku/>
        <w:overflowPunct/>
        <w:bidi w:val="0"/>
        <w:snapToGrid/>
        <w:spacing w:before="0" w:after="0" w:line="540" w:lineRule="exact"/>
        <w:ind w:left="0" w:firstLine="640" w:firstLineChars="200"/>
        <w:jc w:val="both"/>
        <w:textAlignment w:val="auto"/>
        <w:rPr>
          <w:rFonts w:hint="eastAsia" w:ascii="黑体" w:hAnsi="黑体"/>
          <w:b w:val="0"/>
          <w:bCs w:val="0"/>
          <w:sz w:val="32"/>
          <w:szCs w:val="32"/>
          <w:lang w:val="en-US" w:eastAsia="zh-CN"/>
        </w:rPr>
      </w:pPr>
      <w:bookmarkStart w:id="6" w:name="_Toc15894"/>
      <w:r>
        <w:rPr>
          <w:rFonts w:hint="eastAsia" w:ascii="黑体" w:hAnsi="黑体"/>
          <w:b w:val="0"/>
          <w:bCs w:val="0"/>
          <w:sz w:val="32"/>
          <w:szCs w:val="32"/>
          <w:lang w:val="en-US" w:eastAsia="zh-CN"/>
        </w:rPr>
        <w:t>三、国内外相关共识、指南和标准情况</w:t>
      </w:r>
      <w:bookmarkEnd w:id="6"/>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eastAsia="仿宋_GB2312" w:cs="仿宋_GB2312"/>
          <w:snapToGrid w:val="0"/>
          <w:color w:val="000000" w:themeColor="text1"/>
          <w:kern w:val="0"/>
          <w:sz w:val="32"/>
          <w:szCs w:val="32"/>
          <w:lang w:val="en-US" w:eastAsia="zh-CN" w:bidi="ar"/>
          <w14:textFill>
            <w14:solidFill>
              <w14:schemeClr w14:val="tx1"/>
            </w14:solidFill>
          </w14:textFill>
        </w:rPr>
        <w:t>国际相关法律法规和标准：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A focus shift from sarcopenia to muscle health in the Asian Working Group for Sarcopenia 2025 Consensus Update</w:t>
      </w:r>
    </w:p>
    <w:p>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International Clinical Practice Guidelines for Sarcopenia (ICFSR): Screening, Diagnosis and Management</w:t>
      </w:r>
    </w:p>
    <w:p>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Asian Working Group for Sarcopenia: 2019 Consensus Update on Sarcopenia Diagnosis and Treatment.</w:t>
      </w:r>
    </w:p>
    <w:p>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Sarcopenia: revised European consensus on definition and diagnosis. </w:t>
      </w:r>
    </w:p>
    <w:p>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Singapore Clinical Practice Guidelines For Sarcopenia: Screening, Diagnosis, Management and Prevention.</w:t>
      </w:r>
    </w:p>
    <w:p>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Roles of nutrition in muscle health of community-dwelling older adults: evidence-based expert consensus from Asian Working Group for Sarcopenia</w:t>
      </w:r>
    </w:p>
    <w:p>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Definition and diagnostic criteria for sarcopenic obesity: ESPEN and EASO consensus statement. </w:t>
      </w:r>
    </w:p>
    <w:p>
      <w:pPr>
        <w:pStyle w:val="12"/>
        <w:pageBreakBefore w:val="0"/>
        <w:kinsoku/>
        <w:overflowPunct/>
        <w:bidi w:val="0"/>
        <w:spacing w:before="0" w:after="0" w:line="540" w:lineRule="exact"/>
        <w:ind w:left="0" w:firstLine="480"/>
        <w:jc w:val="both"/>
        <w:textAlignment w:val="auto"/>
        <w:rPr>
          <w:rFonts w:hint="default" w:ascii="Times New Roman" w:hAnsi="Times New Roman" w:eastAsia="仿宋_GB2312" w:cs="仿宋_GB2312"/>
          <w:snapToGrid w:val="0"/>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我国相关</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专家共识：</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老年人肌少症口服营养补充中国专家共识</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2019</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中国老年人肌少症诊疗专家共识</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2021</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老年人肌少症防控干预中国专家共识</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2023</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老年人肌少症门诊管理规范中国专家共识（</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2024</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中国肌肉减少症诊疗指南（</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2024</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26" w:firstLineChars="200"/>
        <w:jc w:val="both"/>
        <w:textAlignment w:val="auto"/>
        <w:rPr>
          <w:rFonts w:hint="eastAsia" w:ascii="Times New Roman" w:hAnsi="Times New Roman" w:eastAsia="仿宋_GB2312" w:cs="仿宋_GB2312"/>
          <w:snapToGrid w:val="0"/>
          <w:color w:val="000000" w:themeColor="text1"/>
          <w:w w:val="98"/>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w w:val="98"/>
          <w:kern w:val="0"/>
          <w:sz w:val="32"/>
          <w:szCs w:val="32"/>
          <w:lang w:val="en-US" w:eastAsia="zh-CN" w:bidi="ar"/>
          <w14:textFill>
            <w14:solidFill>
              <w14:schemeClr w14:val="tx1"/>
            </w14:solidFill>
          </w14:textFill>
        </w:rPr>
        <w:t>慢性肾脏病肌少症诊断、治疗与预防专家共识（</w:t>
      </w:r>
      <w:r>
        <w:rPr>
          <w:rFonts w:hint="eastAsia" w:ascii="仿宋_GB2312" w:hAnsi="仿宋_GB2312" w:eastAsia="仿宋_GB2312" w:cs="仿宋_GB2312"/>
          <w:snapToGrid/>
          <w:color w:val="000000" w:themeColor="text1"/>
          <w:w w:val="98"/>
          <w:kern w:val="0"/>
          <w:sz w:val="32"/>
          <w:szCs w:val="32"/>
          <w:lang w:val="en-US" w:eastAsia="zh-CN" w:bidi="ar"/>
          <w14:textFill>
            <w14:solidFill>
              <w14:schemeClr w14:val="tx1"/>
            </w14:solidFill>
          </w14:textFill>
        </w:rPr>
        <w:t>2024</w:t>
      </w:r>
      <w:r>
        <w:rPr>
          <w:rFonts w:hint="eastAsia" w:ascii="Times New Roman" w:hAnsi="Times New Roman" w:eastAsia="仿宋_GB2312" w:cs="仿宋_GB2312"/>
          <w:snapToGrid w:val="0"/>
          <w:color w:val="000000" w:themeColor="text1"/>
          <w:w w:val="98"/>
          <w:kern w:val="0"/>
          <w:sz w:val="32"/>
          <w:szCs w:val="32"/>
          <w:lang w:val="en-US" w:eastAsia="zh-CN" w:bidi="ar"/>
          <w14:textFill>
            <w14:solidFill>
              <w14:schemeClr w14:val="tx1"/>
            </w14:solidFill>
          </w14:textFill>
        </w:rPr>
        <w:t>年版）</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肌少症膳食营养处方及运动干预中国专家共识（</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2025</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line="540" w:lineRule="exact"/>
        <w:ind w:firstLine="626" w:firstLineChars="200"/>
        <w:jc w:val="both"/>
        <w:textAlignment w:val="auto"/>
        <w:rPr>
          <w:rFonts w:hint="eastAsia" w:ascii="Times New Roman" w:hAnsi="Times New Roman" w:eastAsia="仿宋_GB2312" w:cs="仿宋_GB2312"/>
          <w:snapToGrid w:val="0"/>
          <w:color w:val="000000" w:themeColor="text1"/>
          <w:w w:val="98"/>
          <w:kern w:val="0"/>
          <w:sz w:val="32"/>
          <w:szCs w:val="32"/>
          <w:lang w:val="en-US" w:eastAsia="zh-CN" w:bidi="ar"/>
          <w14:textFill>
            <w14:solidFill>
              <w14:schemeClr w14:val="tx1"/>
            </w14:solidFill>
          </w14:textFill>
        </w:rPr>
      </w:pPr>
    </w:p>
    <w:p>
      <w:pPr>
        <w:keepNext w:val="0"/>
        <w:keepLines w:val="0"/>
        <w:pageBreakBefore w:val="0"/>
        <w:widowControl/>
        <w:numPr>
          <w:ilvl w:val="0"/>
          <w:numId w:val="0"/>
        </w:numPr>
        <w:kinsoku/>
        <w:wordWrap/>
        <w:overflowPunct/>
        <w:topLinePunct w:val="0"/>
        <w:bidi w:val="0"/>
        <w:adjustRightInd/>
        <w:snapToGrid/>
        <w:spacing w:line="540" w:lineRule="exact"/>
        <w:ind w:left="0"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在标准层面，国家卫健委开展了特殊医学用途肌少症全营养配方食品的国家标准制定工作。中国营养学会于</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2025</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年</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8</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月发布了《肌少症膳食营养管理规范》团体标准。</w:t>
      </w:r>
    </w:p>
    <w:p>
      <w:pPr>
        <w:pStyle w:val="3"/>
        <w:pageBreakBefore w:val="0"/>
        <w:numPr>
          <w:ilvl w:val="0"/>
          <w:numId w:val="0"/>
        </w:numPr>
        <w:kinsoku/>
        <w:overflowPunct/>
        <w:bidi w:val="0"/>
        <w:snapToGrid/>
        <w:spacing w:before="0" w:after="0" w:line="540" w:lineRule="exact"/>
        <w:ind w:left="0" w:firstLine="640" w:firstLineChars="200"/>
        <w:jc w:val="both"/>
        <w:textAlignment w:val="auto"/>
        <w:rPr>
          <w:rFonts w:hint="eastAsia" w:ascii="黑体" w:hAnsi="黑体"/>
          <w:b w:val="0"/>
          <w:bCs w:val="0"/>
          <w:sz w:val="32"/>
          <w:szCs w:val="32"/>
          <w:lang w:val="en-US" w:eastAsia="zh-CN"/>
        </w:rPr>
      </w:pPr>
      <w:bookmarkStart w:id="7" w:name="_Toc11467"/>
      <w:r>
        <w:rPr>
          <w:rFonts w:hint="eastAsia" w:ascii="黑体" w:hAnsi="黑体"/>
          <w:b w:val="0"/>
          <w:bCs w:val="0"/>
          <w:sz w:val="32"/>
          <w:szCs w:val="32"/>
          <w:lang w:val="en-US" w:eastAsia="zh-CN"/>
        </w:rPr>
        <w:t>四、主要技术内容的说明</w:t>
      </w:r>
      <w:bookmarkEnd w:id="7"/>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随着全球老龄化加剧，肌少症成为日益显著的公共健康问题。我国研究报道</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，60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岁以上人群总体发病率为</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9.8%</w:t>
      </w:r>
      <w:r>
        <w:rPr>
          <w:rFonts w:hint="eastAsia"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男性</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6.7%，</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女性</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12.0%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。肌少症造成行动障碍、生活质量下降，并导致跌倒、残疾、衰弱甚至死亡等不良结局，致使医疗费用明显上升，已成为全球范围的重要公共健康问题之一。</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肌少症不仅影响老年人的生活质量，还增加了跌倒、虚弱、住院和死亡的风险。如何通过食养和运动干预有效预防和改善肌少症，是当前亟待解决的问题。</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2024</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年，全球领导层倡议（</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GLIS</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）首次明确肌少症属于可逆性增龄性全身肌肉疾病，强调通过规范干预可实现有效防治。</w:t>
      </w:r>
    </w:p>
    <w:p>
      <w:pPr>
        <w:pStyle w:val="12"/>
        <w:pageBreakBefore w:val="0"/>
        <w:kinsoku/>
        <w:overflowPunct/>
        <w:bidi w:val="0"/>
        <w:spacing w:before="0" w:after="0" w:line="540" w:lineRule="exact"/>
        <w:ind w:left="0" w:firstLine="480"/>
        <w:jc w:val="both"/>
        <w:textAlignment w:val="auto"/>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本指南充分发挥现代营养学和传统食养的各</w:t>
      </w:r>
      <w:r>
        <w:rPr>
          <w:rFonts w:hint="eastAsia" w:eastAsia="仿宋_GB2312" w:cs="仿宋_GB2312"/>
          <w:color w:val="000000" w:themeColor="text1"/>
          <w:kern w:val="0"/>
          <w:sz w:val="32"/>
          <w:szCs w:val="32"/>
          <w:lang w:val="en-US" w:eastAsia="zh-CN" w:bidi="ar"/>
          <w14:textFill>
            <w14:solidFill>
              <w14:schemeClr w14:val="tx1"/>
            </w14:solidFill>
          </w14:textFill>
        </w:rPr>
        <w:t>方面</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优势，基于营养学、老年医学、食品学、中医学理论及最新文献证据，并结合我国实际情况提出了针对肌少症患者的日常食养原则和建议。结合不同证型人群、不同地区、不同季节的特点，提供了可选择的食物推荐、食谱和食养方示例，方便使用者根据具体情况参考选用。</w:t>
      </w:r>
    </w:p>
    <w:p>
      <w:pPr>
        <w:pStyle w:val="4"/>
        <w:pageBreakBefore w:val="0"/>
        <w:numPr>
          <w:ilvl w:val="0"/>
          <w:numId w:val="0"/>
        </w:numPr>
        <w:kinsoku/>
        <w:overflowPunct/>
        <w:bidi w:val="0"/>
        <w:spacing w:before="0" w:line="540" w:lineRule="exact"/>
        <w:ind w:left="0" w:leftChars="0" w:firstLine="640" w:firstLineChars="200"/>
        <w:jc w:val="both"/>
        <w:textAlignment w:val="auto"/>
        <w:rPr>
          <w:rFonts w:hint="eastAsia" w:ascii="楷体" w:hAnsi="楷体" w:eastAsia="楷体" w:cs="楷体"/>
          <w:sz w:val="32"/>
          <w:szCs w:val="32"/>
          <w:lang w:val="en-US" w:eastAsia="zh-CN"/>
        </w:rPr>
      </w:pPr>
      <w:bookmarkStart w:id="8" w:name="_Toc17616"/>
      <w:r>
        <w:rPr>
          <w:rFonts w:hint="eastAsia" w:ascii="楷体" w:hAnsi="楷体" w:eastAsia="楷体" w:cs="楷体"/>
          <w:sz w:val="32"/>
          <w:szCs w:val="32"/>
          <w:lang w:val="en-US" w:eastAsia="zh-CN"/>
        </w:rPr>
        <w:t>（一）肌少症的定义和分型和诊断</w:t>
      </w:r>
      <w:bookmarkEnd w:id="8"/>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随着全球人口老龄化的加速，肌少症的发病率呈现上升趋势，对老年人的生活质量构成严重威胁，并显著增加了医疗系统的负担。</w:t>
      </w:r>
    </w:p>
    <w:p>
      <w:pPr>
        <w:pStyle w:val="28"/>
        <w:pageBreakBefore w:val="0"/>
        <w:kinsoku/>
        <w:overflowPunct/>
        <w:bidi w:val="0"/>
        <w:spacing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为解决上述问题，本指南在肌少症概述部分进行了阐述。通过</w:t>
      </w:r>
      <w:r>
        <w:rPr>
          <w:rFonts w:hint="default"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t>对</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定义、病因和发病机制的介绍，提高公众对肌少症的认识，并促进早期筛查和干预意识的普及。文本中定义：是一种与增龄和/或疾病相关的进行性骨骼肌量减少、肌肉力量下降和/或身体活动能力减退的综合征。依据：</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2010</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年欧洲肌少症工作组（</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EWGSOP</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）首先发表了肌少症共识，定义肌少症为一种增龄相关的肌肉量减少、肌肉力量下降和/或身体活动能力减退的老年综合征。</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eastAsia="仿宋_GB2312" w:cs="仿宋_GB2312"/>
          <w:snapToGrid w:val="0"/>
          <w:color w:val="000000" w:themeColor="text1"/>
          <w:kern w:val="0"/>
          <w:sz w:val="32"/>
          <w:szCs w:val="32"/>
          <w:lang w:val="en-US" w:eastAsia="zh-CN" w:bidi="ar"/>
          <w14:textFill>
            <w14:solidFill>
              <w14:schemeClr w14:val="tx1"/>
            </w14:solidFill>
          </w14:textFill>
        </w:rPr>
        <w:t>参考</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AWGS</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于</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2025</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年发表的肌少症最新共识，</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附录</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5</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明确了肌少症的诊断标准和分类，为临床医生提供了准确的诊断依据，从而避免误诊和漏诊。</w:t>
      </w:r>
    </w:p>
    <w:p>
      <w:pPr>
        <w:pStyle w:val="4"/>
        <w:pageBreakBefore w:val="0"/>
        <w:numPr>
          <w:ilvl w:val="0"/>
          <w:numId w:val="0"/>
        </w:numPr>
        <w:kinsoku/>
        <w:overflowPunct/>
        <w:bidi w:val="0"/>
        <w:spacing w:before="0" w:line="540" w:lineRule="exact"/>
        <w:ind w:left="0" w:leftChars="0" w:firstLine="640" w:firstLineChars="200"/>
        <w:jc w:val="both"/>
        <w:textAlignment w:val="auto"/>
        <w:rPr>
          <w:rFonts w:hint="eastAsia" w:ascii="楷体" w:hAnsi="楷体" w:eastAsia="楷体" w:cs="楷体"/>
          <w:sz w:val="32"/>
          <w:szCs w:val="32"/>
          <w:lang w:val="en-US" w:eastAsia="zh-CN"/>
        </w:rPr>
      </w:pPr>
      <w:bookmarkStart w:id="9" w:name="_Toc30021"/>
      <w:r>
        <w:rPr>
          <w:rFonts w:hint="eastAsia" w:ascii="楷体" w:hAnsi="楷体" w:eastAsia="楷体" w:cs="楷体"/>
          <w:sz w:val="32"/>
          <w:szCs w:val="32"/>
          <w:lang w:val="en-US" w:eastAsia="zh-CN"/>
        </w:rPr>
        <w:t>（二）肌少症的中医辨证分型</w:t>
      </w:r>
      <w:bookmarkEnd w:id="9"/>
      <w:r>
        <w:rPr>
          <w:rFonts w:hint="eastAsia" w:ascii="楷体" w:hAnsi="楷体" w:eastAsia="楷体" w:cs="楷体"/>
          <w:sz w:val="32"/>
          <w:szCs w:val="32"/>
          <w:lang w:val="en-US" w:eastAsia="zh-CN"/>
        </w:rPr>
        <w:t xml:space="preserve"> </w:t>
      </w:r>
    </w:p>
    <w:p>
      <w:pPr>
        <w:pStyle w:val="12"/>
        <w:pageBreakBefore w:val="0"/>
        <w:kinsoku/>
        <w:overflowPunct/>
        <w:bidi w:val="0"/>
        <w:spacing w:before="0" w:after="0" w:line="540" w:lineRule="exact"/>
        <w:ind w:left="0" w:firstLine="480"/>
        <w:jc w:val="both"/>
        <w:textAlignment w:val="auto"/>
        <w:rPr>
          <w:rFonts w:hint="default"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在中医辨证分型时，团队深入研究了国内外有关肌少症的现代医学文献，在掌握其发病机制、诊断标准和治疗方法，将中医</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辨证</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分型与现代医学进行融合。广泛借鉴历代医</w:t>
      </w:r>
      <w:r>
        <w:rPr>
          <w:rFonts w:hint="default" w:eastAsia="仿宋_GB2312" w:cs="仿宋_GB2312"/>
          <w:snapToGrid w:val="0"/>
          <w:color w:val="000000" w:themeColor="text1"/>
          <w:kern w:val="0"/>
          <w:sz w:val="32"/>
          <w:szCs w:val="32"/>
          <w:lang w:eastAsia="zh-CN" w:bidi="ar"/>
          <w14:textFill>
            <w14:solidFill>
              <w14:schemeClr w14:val="tx1"/>
            </w14:solidFill>
          </w14:textFill>
        </w:rPr>
        <w:t>学</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家临床经验，以及各类学术文献、临床指南的内容，以此为基础，确立了肌少症的中医</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辨证</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分型，充分保障了分型依据的可靠性，以及分型在临床应用中的科学性与实用性，目前国内没有正式的肌少症中医类指南，我们在综合文献的基础上，考量病症发生的相关因素、食养指南的适用性等问题，最终以脾胃虚弱证、肝肾不足证、脾胃湿热证三个证型为主要证型，在临床表现上做到能与现代医学诊断评估病症的维度有所相关，除证候为主外，三个证型都以肌肉痿废不用为主症突出中医对于肌少症病症肌肉功能性表现的关注。</w:t>
      </w:r>
    </w:p>
    <w:p>
      <w:pPr>
        <w:pStyle w:val="4"/>
        <w:pageBreakBefore w:val="0"/>
        <w:numPr>
          <w:ilvl w:val="0"/>
          <w:numId w:val="0"/>
        </w:numPr>
        <w:kinsoku/>
        <w:overflowPunct/>
        <w:bidi w:val="0"/>
        <w:spacing w:before="0" w:line="540" w:lineRule="exact"/>
        <w:ind w:left="0" w:leftChars="0" w:firstLine="640" w:firstLineChars="200"/>
        <w:jc w:val="both"/>
        <w:textAlignment w:val="auto"/>
        <w:rPr>
          <w:rFonts w:hint="eastAsia" w:ascii="楷体" w:hAnsi="楷体" w:eastAsia="楷体" w:cs="楷体"/>
          <w:sz w:val="32"/>
          <w:szCs w:val="32"/>
          <w:lang w:val="en-US" w:eastAsia="zh-CN"/>
        </w:rPr>
      </w:pPr>
      <w:bookmarkStart w:id="10" w:name="_Toc19340"/>
      <w:r>
        <w:rPr>
          <w:rFonts w:hint="eastAsia" w:ascii="楷体" w:hAnsi="楷体" w:eastAsia="楷体" w:cs="楷体"/>
          <w:sz w:val="32"/>
          <w:szCs w:val="32"/>
          <w:lang w:val="en-US" w:eastAsia="zh-CN"/>
        </w:rPr>
        <w:t>（三）食养原则和建议</w:t>
      </w:r>
      <w:bookmarkEnd w:id="10"/>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随着全球老龄化趋势，肌少症成为影响老年人健康和生活质量的重要问题。尽管国际权威组织（如</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EWGSOP、AWGS、SDOC</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等）和我国已发布多部专家共识，强调营养与运动干预的重要性，但老年人群的膳食指导仍面临科学性和操作性不足的挑战。为解决这一问题，本指南基于营养学、老年医学、食品学和中医学理论，并结合国内外最新循证证据和我国老年人的饮食文化及健康需求，制定科学、实用、系统、规范的食养指南，为肌少症患者的日常饮食提供指导。</w:t>
      </w:r>
    </w:p>
    <w:p>
      <w:pPr>
        <w:pStyle w:val="12"/>
        <w:pageBreakBefore w:val="0"/>
        <w:kinsoku/>
        <w:overflowPunct/>
        <w:bidi w:val="0"/>
        <w:spacing w:before="0" w:after="0" w:line="540" w:lineRule="exact"/>
        <w:ind w:left="0" w:firstLine="480"/>
        <w:jc w:val="both"/>
        <w:textAlignment w:val="auto"/>
        <w:rPr>
          <w:rFonts w:hint="default"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基于保证蛋白质摄入量、提高食物营养密度、及时口服营养补充、结合运动、个性化干预、早期筛查和靶向补充营养素</w:t>
      </w:r>
      <w:r>
        <w:rPr>
          <w:rFonts w:hint="default" w:eastAsia="仿宋_GB2312" w:cs="仿宋_GB2312"/>
          <w:snapToGrid w:val="0"/>
          <w:color w:val="000000" w:themeColor="text1"/>
          <w:kern w:val="0"/>
          <w:sz w:val="32"/>
          <w:szCs w:val="32"/>
          <w:lang w:eastAsia="zh-CN" w:bidi="ar"/>
          <w14:textFill>
            <w14:solidFill>
              <w14:schemeClr w14:val="tx1"/>
            </w14:solidFill>
          </w14:textFill>
        </w:rPr>
        <w:t>为核心</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本</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指南提出了</w:t>
      </w:r>
      <w:r>
        <w:rPr>
          <w:rFonts w:hint="default" w:eastAsia="仿宋_GB2312" w:cs="仿宋_GB2312"/>
          <w:snapToGrid w:val="0"/>
          <w:color w:val="000000" w:themeColor="text1"/>
          <w:kern w:val="0"/>
          <w:sz w:val="32"/>
          <w:szCs w:val="32"/>
          <w:lang w:eastAsia="zh-CN" w:bidi="ar"/>
          <w14:textFill>
            <w14:solidFill>
              <w14:schemeClr w14:val="tx1"/>
            </w14:solidFill>
          </w14:textFill>
        </w:rPr>
        <w:t>以下</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七条原则</w:t>
      </w:r>
      <w:r>
        <w:rPr>
          <w:rFonts w:hint="default" w:eastAsia="仿宋_GB2312" w:cs="仿宋_GB2312"/>
          <w:snapToGrid w:val="0"/>
          <w:color w:val="000000" w:themeColor="text1"/>
          <w:kern w:val="0"/>
          <w:sz w:val="32"/>
          <w:szCs w:val="32"/>
          <w:lang w:eastAsia="zh-CN" w:bidi="ar"/>
          <w14:textFill>
            <w14:solidFill>
              <w14:schemeClr w14:val="tx1"/>
            </w14:solidFill>
          </w14:textFill>
        </w:rPr>
        <w:t>：</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bookmarkStart w:id="11" w:name="OLE_LINK7"/>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1.蛋白</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优质足量，三餐均衡分配</w:t>
      </w:r>
      <w:bookmarkEnd w:id="11"/>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强调蛋白质摄入的重要性，推荐每日摄入量，并指导优质蛋白的选择和分配，为肌肉合成提供充足原料。</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充足的蛋白质摄入能增加肌肉蛋白、肝脏急性期蛋白、免疫系统蛋白的合成，减少机体蛋白的净丢失。</w: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t>对于明确诊断为肌肉减少症患者建议每日膳食蛋白质摄入量</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1.2</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1.5g/kg</w: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t>，而对合并严重营养不良的肌肉减少症患者每日蛋白质则需要补充到</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1.5g/kg</w: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t>以上。这个目标蛋白质摄入量应主要通过饮食来实现，如果不可能，则可以考虑补充</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优质</w: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t>蛋白质</w: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fldChar w:fldCharType="begin">
          <w:fldData xml:space="preserve">PEVuZE5vdGU+PENpdGU+PEF1dGhvcj5DaGVuPC9BdXRob3I+PFllYXI+MjAyMjwvWWVhcj48UmVj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</w:fldData>
        </w:fldChar>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instrText xml:space="preserve"> ADDIN EN.CITE </w:instrTex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fldChar w:fldCharType="begin">
          <w:fldData xml:space="preserve">PEVuZE5vdGU+PENpdGU+PEF1dGhvcj5DaGVuPC9BdXRob3I+PFllYXI+MjAyMjwvWWVhcj48UmVj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</w:fldData>
        </w:fldChar>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instrText xml:space="preserve"> ADDIN EN.CITE.DATA </w:instrTex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fldChar w:fldCharType="end"/>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fldChar w:fldCharType="separate"/>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fldChar w:fldCharType="end"/>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t>。需将每日蛋白质的摄入均衡分配到一日三餐中，均衡分配比集中在单餐能获得更大的肌肉蛋白质合成速率，如果需要额外蛋白质补充，推荐应在餐间补充。</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肌少症者的膳食应特别关注提供优质蛋白质。优质蛋白质，也称完全蛋白质，是指蛋白质中所含的必需氨基酸种类齐全、数量充足、比例适当，如动物来源的蛋白质（如乳类、蛋类、肉类等）和大豆蛋白等都属于优质蛋白质。如通过膳食摄入量达不到需求则应口服营养补充。</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2.增</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加营养密度，膳食细软好吸收</w:t>
      </w:r>
    </w:p>
    <w:p>
      <w:pPr>
        <w:pStyle w:val="12"/>
        <w:pageBreakBefore w:val="0"/>
        <w:numPr>
          <w:ilvl w:val="0"/>
          <w:numId w:val="0"/>
        </w:numPr>
        <w:kinsoku/>
        <w:overflowPunct/>
        <w:bidi w:val="0"/>
        <w:spacing w:before="0" w:after="0" w:line="540" w:lineRule="exact"/>
        <w:ind w:left="0"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提倡选择高营养密度食物，保证膳食多样性，为身体提供丰富的营养素。素食人群是指以不食畜肉、家禽、海鲜、蛋、奶等动物性食物为饮食方式的人群。完全戒食动物性食品及其产品的为全素人群；不戒食蛋奶类及其相关产品的为蛋奶素人群。由于膳食组成中缺乏动物性食物，如果素食者膳食安排不合理，容易引起维生素</w:t>
      </w:r>
      <w:r>
        <w:rPr>
          <w:rFonts w:hint="eastAsia" w:ascii="仿宋_GB2312" w:hAnsi="仿宋_GB2312" w:eastAsia="仿宋_GB2312" w:cs="仿宋_GB2312"/>
          <w:snapToGrid/>
          <w:color w:val="000000" w:themeColor="text1"/>
          <w:kern w:val="0"/>
          <w:sz w:val="32"/>
          <w:szCs w:val="32"/>
          <w:lang w:val="en" w:eastAsia="zh-CN" w:bidi="ar"/>
          <w14:textFill>
            <w14:solidFill>
              <w14:schemeClr w14:val="tx1"/>
            </w14:solidFill>
          </w14:textFill>
        </w:rPr>
        <w:t>B</w:t>
      </w:r>
      <w:r>
        <w:rPr>
          <w:rFonts w:hint="eastAsia" w:ascii="仿宋_GB2312" w:hAnsi="仿宋_GB2312" w:eastAsia="仿宋_GB2312" w:cs="仿宋_GB2312"/>
          <w:snapToGrid/>
          <w:color w:val="000000" w:themeColor="text1"/>
          <w:kern w:val="0"/>
          <w:sz w:val="32"/>
          <w:szCs w:val="32"/>
          <w:vertAlign w:val="subscript"/>
          <w:lang w:val="en" w:eastAsia="zh-CN" w:bidi="ar"/>
          <w14:textFill>
            <w14:solidFill>
              <w14:schemeClr w14:val="tx1"/>
            </w14:solidFill>
          </w14:textFill>
        </w:rPr>
        <w:t>12</w:t>
      </w:r>
      <w:r>
        <w:rPr>
          <w:rFonts w:hint="eastAsia" w:ascii="Times New Roman" w:hAnsi="Times New Roman" w:eastAsia="仿宋_GB2312" w:cs="仿宋_GB2312"/>
          <w:snapToGrid w:val="0"/>
          <w:color w:val="000000" w:themeColor="text1"/>
          <w:kern w:val="0"/>
          <w:sz w:val="32"/>
          <w:szCs w:val="32"/>
          <w:lang w:val="en"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 w:eastAsia="zh-CN" w:bidi="ar"/>
          <w14:textFill>
            <w14:solidFill>
              <w14:schemeClr w14:val="tx1"/>
            </w14:solidFill>
          </w14:textFill>
        </w:rPr>
        <w:t>n-3</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多不饱和脂肪酸、铁、锌、蛋白质等营养素摄入不足，从而增加这些营养素缺乏的风险。基于信仰等因素已经选择素食者应给予尊重，对于自由选择者，建议选择蛋奶素，不推荐老年人和体质虚弱者选择全素膳食</w:t>
      </w:r>
      <w:r>
        <w:rPr>
          <w:rFonts w:ascii="Times New Roman" w:hAnsi="Times New Roman" w:cs="Times New Roman"/>
          <w:color w:val="auto"/>
          <w:sz w:val="24"/>
        </w:rPr>
        <w:t>。</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3.适时</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补充营养，精准增加肌肉</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针对膳食摄入不足的情况，推荐使用口服营养补充剂，确保营养素摄入充足；基于最新研究，推荐靶向补充肌肉靶向营养素，满足老年人肌肉代谢和功能的特殊需求。</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衰老的肌肉需要更多的氨基酸来最大限度地刺激肌肉蛋白质合成，以应对高氨基酸血症，这种现象被称为合成代谢抵抗。必需氨基酸，尤其亮氨酸，是蛋白质合成的主要刺激物。亮氨酸对肌肉蛋白质合成能力的刺激作用随年龄增长而下降，老年人亮氨酸推荐摄入量为</w:t>
      </w:r>
      <w:r>
        <w:rPr>
          <w:rFonts w:hint="default" w:eastAsia="仿宋_GB2312" w:cs="仿宋_GB2312"/>
          <w:snapToGrid w:val="0"/>
          <w:color w:val="000000" w:themeColor="text1"/>
          <w:kern w:val="0"/>
          <w:sz w:val="32"/>
          <w:szCs w:val="32"/>
          <w:lang w:eastAsia="zh-CN" w:bidi="ar"/>
          <w14:textFill>
            <w14:solidFill>
              <w14:schemeClr w14:val="tx1"/>
            </w14:solidFill>
          </w14:textFill>
        </w:rPr>
        <w:t>每天</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81m</w:t>
      </w:r>
      <w:r>
        <w:rPr>
          <w:rFonts w:hint="eastAsia" w:ascii="仿宋_GB2312" w:hAnsi="仿宋_GB2312" w:eastAsia="仿宋_GB2312" w:cs="仿宋_GB2312"/>
          <w:snapToGrid/>
          <w:color w:val="000000" w:themeColor="text1"/>
          <w:kern w:val="0"/>
          <w:sz w:val="32"/>
          <w:szCs w:val="32"/>
          <w:highlight w:val="none"/>
          <w:lang w:val="en-US" w:eastAsia="zh-CN" w:bidi="ar"/>
          <w14:textFill>
            <w14:solidFill>
              <w14:schemeClr w14:val="tx1"/>
            </w14:solidFill>
          </w14:textFill>
        </w:rPr>
        <w:t>g/kg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。研究表明，老年人</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每天</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补充</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1.2</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6g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亮氨酸耐受性良好，可以显著改善肌少症。食品中氨基酸的检验方法为《食品中氨基酸的测定》（</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GB 5009.124-2016</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β-羟基-β-</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甲基丁酸盐（</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β-hydroxy β-methyl butyrate，HMB</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）是亮氨酸在合成蛋白质过程中的活性代谢产物，具有促进肌肉蛋白合成、抑制肌肉蛋白分解、降低炎症反应、稳定细胞膜等作用。在有肌肉减少症风险的老年人群中，</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HMB</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干预对四肢肌肉力量有促进作用。补充</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HMB</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和含有</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HMB</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成分的制剂有助于增加老年人群的肌肉力量，增加血液中促肾上腺皮质激素水平，减少机体蛋白质的分解代谢作用。单独服用</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HMB</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或含有</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HMB</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的补充剂显示出良好的安全性。作为</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HMB</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的应用形式，</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β-羟基-β-甲</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基丁酸钙</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CaHMB</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在卫健委</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2025年第1号</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三新食品公告中的推荐食用量为</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每天</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≤6</w:t>
      </w:r>
      <w:r>
        <w:rPr>
          <w:rFonts w:hint="default" w:ascii="仿宋_GB2312" w:hAnsi="仿宋_GB2312" w:eastAsia="仿宋_GB2312" w:cs="仿宋_GB2312"/>
          <w:snapToGrid/>
          <w:color w:val="000000" w:themeColor="text1"/>
          <w:kern w:val="0"/>
          <w:sz w:val="32"/>
          <w:szCs w:val="32"/>
          <w:lang w:eastAsia="zh-CN" w:bidi="ar"/>
          <w14:textFill>
            <w14:solidFill>
              <w14:schemeClr w14:val="tx1"/>
            </w14:solidFill>
          </w14:textFill>
        </w:rPr>
        <w:t>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p>
    <w:p>
      <w:pPr>
        <w:pStyle w:val="12"/>
        <w:keepNext w:val="0"/>
        <w:keepLines w:val="0"/>
        <w:pageBreakBefore w:val="0"/>
        <w:widowControl w:val="0"/>
        <w:kinsoku/>
        <w:wordWrap w:val="0"/>
        <w:overflowPunct/>
        <w:topLinePunct/>
        <w:autoSpaceDE/>
        <w:autoSpaceDN/>
        <w:bidi w:val="0"/>
        <w:adjustRightInd w:val="0"/>
        <w:snapToGrid/>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在体内的生物合成可以在一定程度上防止肌肉出现萎缩，其主要作用机制包括：血浆</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Ca</w:t>
      </w:r>
      <w:r>
        <w:rPr>
          <w:rFonts w:hint="eastAsia" w:ascii="仿宋_GB2312" w:hAnsi="仿宋_GB2312" w:eastAsia="仿宋_GB2312" w:cs="仿宋_GB2312"/>
          <w:snapToGrid/>
          <w:color w:val="000000" w:themeColor="text1"/>
          <w:kern w:val="0"/>
          <w:sz w:val="32"/>
          <w:szCs w:val="32"/>
          <w:vertAlign w:val="superscript"/>
          <w:lang w:val="en-US" w:eastAsia="zh-CN" w:bidi="ar"/>
          <w14:textFill>
            <w14:solidFill>
              <w14:schemeClr w14:val="tx1"/>
            </w14:solidFill>
          </w14:textFill>
        </w:rPr>
        <w:t>2+</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稳态调节、抗氧化应激反应、线粒体功能调节等。研究发现，维生素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可通过稳定血液中钙、磷水平间接作用于骨骼肌，从而保持其正常的肌肉功能。此外，维生素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可影响成肌细胞增殖、分化，促进骨骼肌Ⅱ型肌纤维数量增加及体积增大。维生素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缺乏与有关衰老相关的骨骼肌组织学改变有着密切关系，可加快肌肉细胞内蛋白质的降解，最终导致老年人的肌肉减少症。干预研究表明补充维生素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可改善老年人的身体功能、肌肉量和肌肉力量。对于有营养不良或肌肉减少症风险的患者，可以考</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虑测定血清25-羟基维生素D[25(OH)D]水平。</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老年人肌少症患者血清</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25(OH)D&lt;50nmol/L</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时，应予补充维生素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进行纠正。缺乏</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25(OH)D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的人可能需要更高的剂量</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fldChar w:fldCharType="begin">
          <w:fldData xml:space="preserve">PEVuZE5vdGU+PENpdGU+PEF1dGhvcj5DaGVuPC9BdXRob3I+PFllYXI+MjAyMjwvWWVhcj48UmVj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</w:fldData>
        </w:fldChar>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instrText xml:space="preserve"> ADDIN EN.CITE </w:instrTex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fldChar w:fldCharType="begin">
          <w:fldData xml:space="preserve">PEVuZE5vdGU+PENpdGU+PEF1dGhvcj5DaGVuPC9BdXRob3I+PFllYXI+MjAyMjwvWWVhcj48UmVj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</w:fldData>
        </w:fldChar>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instrText xml:space="preserve"> ADDIN EN.CITE.DATA </w:instrTex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fldChar w:fldCharType="end"/>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fldChar w:fldCharType="separate"/>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fldChar w:fldCharType="end"/>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。食品中维生素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的检测方法为《食品中维生素</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的测定》（</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GB 5009.296-2023</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4.</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主动多元运动，强化抗阻锻炼</w:t>
      </w:r>
    </w:p>
    <w:p>
      <w:pPr>
        <w:pStyle w:val="12"/>
        <w:pageBreakBefore w:val="0"/>
        <w:numPr>
          <w:ilvl w:val="0"/>
          <w:numId w:val="0"/>
        </w:numPr>
        <w:kinsoku/>
        <w:overflowPunct/>
        <w:bidi w:val="0"/>
        <w:spacing w:before="0" w:after="0" w:line="540" w:lineRule="exact"/>
        <w:ind w:left="0"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推荐以抗阻运动为主的运动方案，并结合其他运动方式，促进肌肉生长和功能提升。</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与单独进行肌肉强化运动或单纯补充蛋白质等营养素</w:t>
      </w:r>
      <w:bookmarkStart w:id="18" w:name="_GoBack"/>
      <w:bookmarkEnd w:id="18"/>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相比，运动</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营养联合干预更有利于老年人的肌肉力量和质量；身体活动能力的增加，将更有助于社区老年人预防肌肉衰减症的发生，改善肌肉衰减症老年人的骨骼肌质量和功能，因此推荐营养补充与运动相结合的综合干预措施。</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运动管理作为一种非药物治疗方式，在老年肌少症营养管理中发挥着重要作用。老年肌少症运动管理的目标是通过科学合理的运动干预，逆转或减缓患者肌肉量减少的趋势，增强肌肉力量，改善身体活动能力，从而提高患者的生活质量和健康结局。</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运动评估：需要由专业人员根据个体当前活动水平、基础疾病，以及个体期望的运动强度、肌肉状态进行运动前健康筛查和风险评估（包括运动中心血管事件风险、运动损伤风险、运动性病症风险），确定安全、个性化有效的运动处方。</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运动方式：抗阻运动和有氧运动均对老年肌少症患者有显著的效果。抗阻运动对于延缓肌少症的发生最为重要，能增强骨骼肌蛋白质合成，刺激肌肉生长，提高肌肉力量和耐力，减缓肌肉质量的流失。有氧运动能提高肌肉耐力水平和肌肉收缩能力，从而维持肌肉功能、提高心肺耐力。</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建议加强抗阻运动为主，联合其他多种运动方式干预肌少症，如抗阻运动+有氧运动、抗阻运动+平衡运动+步态训练、抗阻运动+户外活动等。此外，为降低肌少症患者跌倒风险，建议进行平衡训练，如交叉踱步、打太极拳等。联合多种运动，可以全面改善患者的身体功能和生活质量。</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运动注意事项与风险控制：鉴于老年群体的个体差异大，且通常合并多种慢性疾病，运动方案的制定应始终将安全性放在首位。建议在健康、运动评估的基础上，根据每个人的实际情况量身定制运动方案。为减少运动可能引发的心血管事件和身体损伤风险，特别是在那些没有规律运动习惯的人群中，应采取从低起点开始，逐步缓慢增加强度的策略，即“低起点，缓慢加”，以渐进的方式达到推荐的运动量。</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bookmarkStart w:id="12" w:name="OLE_LINK4"/>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5.调理</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脾胃为本，科学选用食药物质</w:t>
      </w:r>
      <w:bookmarkEnd w:id="12"/>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根据不同证型选择食药物质，促进肌肉健康，以调理脾胃为核心的食养原则，具有一定的理论依据与临床实践支撑。在食药物质的选用这一原则上，“适用”的提出意在提示要充分考虑食材的安全性、易获取性以及制作的简便性，以提升患者的接受度与依从性，搭配适宜的食药物质，旨在通过日常饮食调养，改善患者脾胃功能，促进肌肉的生长与修复，使中医食养在肌少症的防治中发挥重要作用，与现代医学的诊断评估及治疗形成有效互补，共同为肌少症患者提供更科学、更实用的康复方案。</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bookmarkStart w:id="13" w:name="OLE_LINK5"/>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6.</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管控基础疾病，合理调整食养方案</w:t>
      </w:r>
      <w:bookmarkEnd w:id="13"/>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针对合并基础疾病的肌少症患者，提供个性化食养指导，确保营养干预方案安全有效。</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老年肌少症合并慢性基础性疾病，或其他疾病如肝、肾功能受损者，其病情往往涉及多系统、多器官功能，较为错综复杂。在蛋白质代谢方面，肌少症患者需要高蛋白饮食来促进肌肉合成，而合并基础性疾病，尤其是肝肾功能受损时，需要限制蛋白质摄入以避免产生过多的代谢废物，从而加重器官损伤。故而建议咨询专科临床医师进行评估、诊断和膳食营养治疗。</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7.监测肌</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少风险，早筛早诊早</w:t>
      </w:r>
      <w:r>
        <w:rPr>
          <w:rFonts w:hint="eastAsia" w:eastAsia="仿宋_GB2312" w:cs="仿宋_GB2312"/>
          <w:b/>
          <w:bCs/>
          <w:color w:val="000000" w:themeColor="text1"/>
          <w:kern w:val="0"/>
          <w:sz w:val="32"/>
          <w:szCs w:val="32"/>
          <w:lang w:val="en-US" w:eastAsia="zh-CN" w:bidi="ar"/>
          <w14:textFill>
            <w14:solidFill>
              <w14:schemeClr w14:val="tx1"/>
            </w14:solidFill>
          </w14:textFill>
        </w:rPr>
        <w:t>干预</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强调定期进行肌少症筛查，及时发现风险因素，进行早期干预。</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肌少症食养指南的七条原则，旨在为肌少症患者提供全面、科学的膳食指导，从蛋白质摄入、营养密度、运动、中医食养、基础疾病管控、风险监测和靶向补充等多个方面入手，构建起一套系统、规范的食养体系。这些原则相互关联、相互促进，共同构成了肌少症防治的基石。</w:t>
      </w:r>
    </w:p>
    <w:p>
      <w:pPr>
        <w:pStyle w:val="12"/>
        <w:pageBreakBefore w:val="0"/>
        <w:kinsoku/>
        <w:overflowPunct/>
        <w:bidi w:val="0"/>
        <w:spacing w:before="0" w:after="0" w:line="540" w:lineRule="exact"/>
        <w:ind w:left="0" w:firstLine="48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本指南附录中提供了上述原则的具体操作方法和详细阐述，包括食物选择、食谱示例、中医食养方，以及风险筛查、临床评估和诊断分级方法等，旨在帮助老年人更好地筛查评估肌少症风险，实施食养方案，改善肌肉健康，提升生活质量，助力实现健康老龄化。</w:t>
      </w:r>
    </w:p>
    <w:p>
      <w:pPr>
        <w:pStyle w:val="4"/>
        <w:pageBreakBefore w:val="0"/>
        <w:numPr>
          <w:ilvl w:val="0"/>
          <w:numId w:val="0"/>
        </w:numPr>
        <w:kinsoku/>
        <w:overflowPunct/>
        <w:bidi w:val="0"/>
        <w:spacing w:before="0" w:line="540" w:lineRule="exact"/>
        <w:ind w:left="0" w:leftChars="0" w:firstLine="640" w:firstLineChars="200"/>
        <w:jc w:val="both"/>
        <w:textAlignment w:val="auto"/>
        <w:rPr>
          <w:rFonts w:hint="eastAsia" w:ascii="楷体" w:hAnsi="楷体" w:eastAsia="楷体" w:cs="楷体"/>
          <w:sz w:val="32"/>
          <w:szCs w:val="32"/>
          <w:lang w:val="en-US" w:eastAsia="zh-CN"/>
        </w:rPr>
      </w:pPr>
      <w:bookmarkStart w:id="14" w:name="_Toc24110"/>
      <w:r>
        <w:rPr>
          <w:rFonts w:hint="eastAsia" w:ascii="楷体" w:hAnsi="楷体" w:eastAsia="楷体" w:cs="楷体"/>
          <w:sz w:val="32"/>
          <w:szCs w:val="32"/>
          <w:lang w:val="en-US" w:eastAsia="zh-CN"/>
        </w:rPr>
        <w:t>（四）附录</w:t>
      </w:r>
      <w:bookmarkEnd w:id="14"/>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附</w:t>
      </w:r>
      <w:r>
        <w:rPr>
          <w:rFonts w:hint="eastAsia" w:ascii="仿宋_GB2312" w:hAnsi="仿宋_GB2312" w:eastAsia="仿宋_GB2312" w:cs="仿宋_GB2312"/>
          <w:b/>
          <w:bCs/>
          <w:snapToGrid/>
          <w:color w:val="000000" w:themeColor="text1"/>
          <w:kern w:val="0"/>
          <w:sz w:val="32"/>
          <w:szCs w:val="32"/>
          <w:lang w:val="en-US" w:eastAsia="zh-CN" w:bidi="ar"/>
          <w14:textFill>
            <w14:solidFill>
              <w14:schemeClr w14:val="tx1"/>
            </w14:solidFill>
          </w14:textFill>
        </w:rPr>
        <w:t xml:space="preserve">录1 </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肌少症的食物选择</w:t>
      </w:r>
    </w:p>
    <w:p>
      <w:pPr>
        <w:pStyle w:val="12"/>
        <w:pageBreakBefore w:val="0"/>
        <w:kinsoku/>
        <w:overflowPunct/>
        <w:bidi w:val="0"/>
        <w:spacing w:before="0" w:after="0" w:line="540" w:lineRule="exact"/>
        <w:ind w:left="0" w:leftChars="0" w:firstLine="640" w:firstLineChars="200"/>
        <w:jc w:val="both"/>
        <w:textAlignment w:val="auto"/>
        <w:rPr>
          <w:rFonts w:hint="eastAsia"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食物选择</w:t>
      </w:r>
    </w:p>
    <w:p>
      <w:pPr>
        <w:pStyle w:val="12"/>
        <w:pageBreakBefore w:val="0"/>
        <w:kinsoku/>
        <w:overflowPunct/>
        <w:bidi w:val="0"/>
        <w:spacing w:before="0" w:after="0" w:line="540" w:lineRule="exact"/>
        <w:ind w:left="0"/>
        <w:jc w:val="both"/>
        <w:textAlignment w:val="auto"/>
        <w:rPr>
          <w:rFonts w:hint="eastAsia"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eastAsia="仿宋_GB2312" w:cs="仿宋_GB2312"/>
          <w:snapToGrid w:val="0"/>
          <w:color w:val="000000" w:themeColor="text1"/>
          <w:kern w:val="0"/>
          <w:sz w:val="32"/>
          <w:szCs w:val="32"/>
          <w:lang w:val="en-US" w:eastAsia="zh-CN" w:bidi="ar"/>
          <w14:textFill>
            <w14:solidFill>
              <w14:schemeClr w14:val="tx1"/>
            </w14:solidFill>
          </w14:textFill>
        </w:rPr>
        <w:t>肌少症食养指南建议的八条原则中的第一条、第二条，要求</w:t>
      </w:r>
      <w:r>
        <w:rPr>
          <w:rFonts w:hint="eastAsia" w:eastAsia="仿宋_GB2312" w:cs="仿宋_GB2312"/>
          <w:snapToGrid w:val="0"/>
          <w:color w:val="000000" w:themeColor="text1"/>
          <w:kern w:val="0"/>
          <w:sz w:val="32"/>
          <w:szCs w:val="32"/>
          <w:lang w:bidi="ar"/>
          <w14:textFill>
            <w14:solidFill>
              <w14:schemeClr w14:val="tx1"/>
            </w14:solidFill>
          </w14:textFill>
        </w:rPr>
        <w:t>蛋白优质足量</w:t>
      </w:r>
      <w:r>
        <w:rPr>
          <w:rFonts w:hint="eastAsia" w:eastAsia="仿宋_GB2312" w:cs="仿宋_GB2312"/>
          <w:snapToGrid w:val="0"/>
          <w:color w:val="000000" w:themeColor="text1"/>
          <w:kern w:val="0"/>
          <w:sz w:val="32"/>
          <w:szCs w:val="32"/>
          <w:lang w:eastAsia="zh-CN" w:bidi="ar"/>
          <w14:textFill>
            <w14:solidFill>
              <w14:schemeClr w14:val="tx1"/>
            </w14:solidFill>
          </w14:textFill>
        </w:rPr>
        <w:t>，</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增加营养密度。项目组给出了优质蛋白含量丰满且密度高的食物名单，见表</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1.1</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。根据八条原则中的第三条，在表</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1.2</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中，给出了口服营养补充的食品名单。</w:t>
      </w:r>
    </w:p>
    <w:p>
      <w:pPr>
        <w:pStyle w:val="12"/>
        <w:pageBreakBefore w:val="0"/>
        <w:kinsoku/>
        <w:overflowPunct/>
        <w:bidi w:val="0"/>
        <w:spacing w:before="0" w:after="0" w:line="540" w:lineRule="exact"/>
        <w:ind w:left="0"/>
        <w:jc w:val="both"/>
        <w:textAlignment w:val="auto"/>
        <w:rPr>
          <w:rFonts w:hint="eastAsia"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肌少症不同证型食药物质推荐</w:t>
      </w:r>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肌少症归属于中医学“痿证”“虚劳”“羸瘦”等范畴。临床主要表现为形体消瘦，肢体酸软乏力，肌肉痿废不用。中医学认为肌少症的发生与年老体弱、饮食不节、劳逸失常等有关，其病位在肌肉，与脾、肾、肝三脏密切相关。肌少症的主要病因病机为脾失健运，或肝肾不足，生化乏源，精血亏虚，导致肌肉失养，痿废不用。常见</w:t>
      </w:r>
      <w:r>
        <w:rPr>
          <w:rFonts w:hint="eastAsia" w:eastAsia="仿宋_GB2312" w:cs="仿宋_GB2312"/>
          <w:snapToGrid w:val="0"/>
          <w:color w:val="000000" w:themeColor="text1"/>
          <w:kern w:val="0"/>
          <w:sz w:val="32"/>
          <w:szCs w:val="32"/>
          <w:lang w:eastAsia="zh-CN" w:bidi="ar"/>
          <w14:textFill>
            <w14:solidFill>
              <w14:schemeClr w14:val="tx1"/>
            </w14:solidFill>
          </w14:textFill>
        </w:rPr>
        <w:t>辨证</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分型</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为</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脾胃虚弱证</w:t>
      </w:r>
      <w:r>
        <w:rPr>
          <w:rFonts w:hint="eastAsia"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肝肾不足证</w:t>
      </w:r>
      <w:r>
        <w:rPr>
          <w:rFonts w:hint="eastAsia"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脾胃湿热证</w:t>
      </w:r>
      <w:r>
        <w:rPr>
          <w:rFonts w:hint="eastAsia"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根据不同证型</w:t>
      </w:r>
      <w:r>
        <w:rPr>
          <w:rFonts w:hint="eastAsia" w:ascii="Times New Roman" w:hAnsi="Times New Roman" w:eastAsia="仿宋_GB2312" w:cs="仿宋_GB2312"/>
          <w:b w:val="0"/>
          <w:bCs w:val="0"/>
          <w:snapToGrid w:val="0"/>
          <w:color w:val="000000" w:themeColor="text1"/>
          <w:kern w:val="0"/>
          <w:sz w:val="32"/>
          <w:szCs w:val="32"/>
          <w:lang w:val="en-US" w:eastAsia="zh-CN" w:bidi="ar"/>
          <w14:textFill>
            <w14:solidFill>
              <w14:schemeClr w14:val="tx1"/>
            </w14:solidFill>
          </w14:textFill>
        </w:rPr>
        <w:t>在表</w:t>
      </w:r>
      <w:r>
        <w:rPr>
          <w:rFonts w:hint="eastAsia" w:ascii="仿宋_GB2312" w:hAnsi="仿宋_GB2312" w:eastAsia="仿宋_GB2312" w:cs="仿宋_GB2312"/>
          <w:b w:val="0"/>
          <w:bCs w:val="0"/>
          <w:snapToGrid/>
          <w:color w:val="000000" w:themeColor="text1"/>
          <w:kern w:val="0"/>
          <w:sz w:val="32"/>
          <w:szCs w:val="32"/>
          <w:lang w:val="en-US" w:eastAsia="zh-CN" w:bidi="ar"/>
          <w14:textFill>
            <w14:solidFill>
              <w14:schemeClr w14:val="tx1"/>
            </w14:solidFill>
          </w14:textFill>
        </w:rPr>
        <w:t>1.3</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做了</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食药物质推荐</w:t>
      </w:r>
      <w:r>
        <w:rPr>
          <w:rFonts w:hint="eastAsia" w:eastAsia="仿宋_GB2312" w:cs="仿宋_GB2312"/>
          <w:snapToGrid w:val="0"/>
          <w:color w:val="000000" w:themeColor="text1"/>
          <w:kern w:val="0"/>
          <w:sz w:val="32"/>
          <w:szCs w:val="32"/>
          <w:lang w:eastAsia="zh-CN" w:bidi="ar"/>
          <w14:textFill>
            <w14:solidFill>
              <w14:schemeClr w14:val="tx1"/>
            </w14:solidFill>
          </w14:textFill>
        </w:rPr>
        <w:t>。</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附录</w:t>
      </w:r>
      <w:r>
        <w:rPr>
          <w:rFonts w:hint="eastAsia" w:ascii="仿宋_GB2312" w:hAnsi="仿宋_GB2312" w:eastAsia="仿宋_GB2312" w:cs="仿宋_GB2312"/>
          <w:b/>
          <w:bCs/>
          <w:snapToGrid/>
          <w:color w:val="000000" w:themeColor="text1"/>
          <w:kern w:val="0"/>
          <w:sz w:val="32"/>
          <w:szCs w:val="32"/>
          <w:lang w:val="en-US" w:eastAsia="zh-CN" w:bidi="ar"/>
          <w14:textFill>
            <w14:solidFill>
              <w14:schemeClr w14:val="tx1"/>
            </w14:solidFill>
          </w14:textFill>
        </w:rPr>
        <w:t>2</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 xml:space="preserve"> 常见食物交换表</w:t>
      </w:r>
    </w:p>
    <w:p>
      <w:pPr>
        <w:pStyle w:val="12"/>
        <w:pageBreakBefore w:val="0"/>
        <w:kinsoku/>
        <w:overflowPunct/>
        <w:bidi w:val="0"/>
        <w:spacing w:before="0" w:after="0" w:line="540" w:lineRule="exact"/>
        <w:ind w:left="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为保证食养推荐的第一条“蛋白优质足量”，针对肌少症的特定需求，设计了以蛋白质为核心的交换系统，保证蛋白质摄入量，并指导优质蛋白的选择和分配，为肌肉合成提供充足原料。蛋白质交换份：每份含一定量蛋白质（按蛋白质的食物来源的类别，分别如</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10g、5g或2g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），同时标注能量，便于同时获得能量摄入的水平。以蛋白质为基础设计食物交换份是本食养指南对于膳食设计的一个新切入点，具有创新性。</w:t>
      </w:r>
    </w:p>
    <w:p>
      <w:pPr>
        <w:pStyle w:val="12"/>
        <w:pageBreakBefore w:val="0"/>
        <w:kinsoku/>
        <w:overflowPunct/>
        <w:bidi w:val="0"/>
        <w:spacing w:before="0" w:after="0" w:line="540" w:lineRule="exact"/>
        <w:ind w:left="0" w:leftChars="0" w:firstLine="640" w:firstLineChars="200"/>
        <w:jc w:val="both"/>
        <w:textAlignment w:val="auto"/>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提供优质蛋白质的畜肉</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类、禽肉类、鱼类、其他水产品、蛋和蛋制品</w:t>
      </w:r>
      <w:r>
        <w:rPr>
          <w:rFonts w:hint="eastAsia"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乳类及</w:t>
      </w:r>
      <w:r>
        <w:rPr>
          <w:rFonts w:hint="default" w:eastAsia="仿宋_GB2312" w:cs="仿宋_GB2312"/>
          <w:snapToGrid w:val="0"/>
          <w:color w:val="000000" w:themeColor="text1"/>
          <w:kern w:val="0"/>
          <w:sz w:val="32"/>
          <w:szCs w:val="32"/>
          <w:lang w:eastAsia="zh-CN" w:bidi="ar"/>
          <w14:textFill>
            <w14:solidFill>
              <w14:schemeClr w14:val="tx1"/>
            </w14:solidFill>
          </w14:textFill>
        </w:rPr>
        <w:t>其</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制品，以每提供</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10g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蛋白质为一个交换份；</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豆及豆制品</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以提供</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5g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蛋白质为一个交换份；谷类，杂粮类为平衡膳食的基本构成，以提供</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10g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蛋白质为一个交换份；</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坚果类</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以每提供</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2g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蛋白质为一个交换份，其份量基本符合膳食指南推荐量。</w:t>
      </w:r>
    </w:p>
    <w:p>
      <w:pPr>
        <w:pStyle w:val="12"/>
        <w:pageBreakBefore w:val="0"/>
        <w:numPr>
          <w:ilvl w:val="-1"/>
          <w:numId w:val="0"/>
        </w:numPr>
        <w:kinsoku/>
        <w:overflowPunct/>
        <w:bidi w:val="0"/>
        <w:spacing w:before="0" w:after="0" w:line="540" w:lineRule="exact"/>
        <w:ind w:left="0" w:firstLine="640" w:firstLineChars="200"/>
        <w:jc w:val="both"/>
        <w:textAlignment w:val="auto"/>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计算过程：经专家讨论，选择各类食物的常用食物查阅、记录食物成分表中的食部（</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）、蛋白质（</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g/100g</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）、能量</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color w:val="000000" w:themeColor="text1"/>
          <w:kern w:val="0"/>
          <w:sz w:val="32"/>
          <w:szCs w:val="32"/>
          <w:lang w:val="en-US" w:eastAsia="zh-CN" w:bidi="ar"/>
          <w14:textFill>
            <w14:solidFill>
              <w14:schemeClr w14:val="tx1"/>
            </w14:solidFill>
          </w14:textFill>
        </w:rPr>
        <w:t>kcal/100g、kJ/100g</w:t>
      </w:r>
      <w:r>
        <w:rPr>
          <w:rFonts w:hint="eastAsia"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val="en-US" w:eastAsia="zh-CN" w:bidi="ar"/>
          <w14:textFill>
            <w14:solidFill>
              <w14:schemeClr w14:val="tx1"/>
            </w14:solidFill>
          </w14:textFill>
        </w:rPr>
        <w:t>计算满足每一交换份的食物量；</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表中的食物量为实际食物重量，包含不可食部分。</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附</w:t>
      </w:r>
      <w:r>
        <w:rPr>
          <w:rFonts w:hint="eastAsia" w:ascii="仿宋_GB2312" w:hAnsi="仿宋_GB2312" w:eastAsia="仿宋_GB2312" w:cs="仿宋_GB2312"/>
          <w:b/>
          <w:bCs/>
          <w:snapToGrid/>
          <w:color w:val="000000" w:themeColor="text1"/>
          <w:kern w:val="0"/>
          <w:sz w:val="32"/>
          <w:szCs w:val="32"/>
          <w:lang w:val="en-US" w:eastAsia="zh-CN" w:bidi="ar"/>
          <w14:textFill>
            <w14:solidFill>
              <w14:schemeClr w14:val="tx1"/>
            </w14:solidFill>
          </w14:textFill>
        </w:rPr>
        <w:t xml:space="preserve">录3 </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食谱示例</w:t>
      </w:r>
    </w:p>
    <w:p>
      <w:pPr>
        <w:pageBreakBefore w:val="0"/>
        <w:widowControl/>
        <w:kinsoku/>
        <w:overflowPunct/>
        <w:bidi w:val="0"/>
        <w:spacing w:line="540" w:lineRule="exact"/>
        <w:ind w:left="0"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按照成人肌少症食养指南的基本原则，设计了以下适用于全国七个地区，顺应春、夏、秋、冬四个季节气候特点的肌少症患者全天膳食食谱。这些食谱由经验丰富的临床营养工作者按照当地特色食物和烹调方法精心编制，并经过严格的营养成分计算和评估。</w:t>
      </w:r>
    </w:p>
    <w:p>
      <w:pPr>
        <w:pageBreakBefore w:val="0"/>
        <w:widowControl/>
        <w:kinsoku/>
        <w:overflowPunct/>
        <w:bidi w:val="0"/>
        <w:spacing w:line="540" w:lineRule="exact"/>
        <w:ind w:left="0" w:firstLine="640" w:firstLineChars="200"/>
        <w:jc w:val="both"/>
        <w:textAlignment w:val="auto"/>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本食谱以轻体力活动</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水平</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的成人肌少症患者为例进行设计。考虑到老年男女性轻体力</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活动水平</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的能量需求特点，按照《中国居民膳食营养素参考摄入量（</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2023</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版）》设定了三个能量等级</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1500</w:t>
      </w:r>
      <w:r>
        <w:rPr>
          <w:rFonts w:hint="default" w:ascii="仿宋_GB2312" w:hAnsi="仿宋_GB2312" w:eastAsia="仿宋_GB2312" w:cs="仿宋_GB2312"/>
          <w:snapToGrid/>
          <w:color w:val="000000" w:themeColor="text1"/>
          <w:sz w:val="32"/>
          <w:szCs w:val="32"/>
          <w:lang w:eastAsia="zh-CN" w:bidi="ar"/>
          <w14:textFill>
            <w14:solidFill>
              <w14:schemeClr w14:val="tx1"/>
            </w14:solidFill>
          </w14:textFill>
          <w14:ligatures w14:val="none"/>
        </w:rPr>
        <w:t>-</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1600千卡、1700</w:t>
      </w:r>
      <w:r>
        <w:rPr>
          <w:rFonts w:hint="default" w:ascii="仿宋_GB2312" w:hAnsi="仿宋_GB2312" w:eastAsia="仿宋_GB2312" w:cs="仿宋_GB2312"/>
          <w:snapToGrid/>
          <w:color w:val="000000" w:themeColor="text1"/>
          <w:sz w:val="32"/>
          <w:szCs w:val="32"/>
          <w:lang w:eastAsia="zh-CN" w:bidi="ar"/>
          <w14:textFill>
            <w14:solidFill>
              <w14:schemeClr w14:val="tx1"/>
            </w14:solidFill>
          </w14:textFill>
          <w14:ligatures w14:val="none"/>
        </w:rPr>
        <w:t>-</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1800千卡、1900</w:t>
      </w:r>
      <w:r>
        <w:rPr>
          <w:rFonts w:hint="default" w:ascii="仿宋_GB2312" w:hAnsi="仿宋_GB2312" w:eastAsia="仿宋_GB2312" w:cs="仿宋_GB2312"/>
          <w:snapToGrid/>
          <w:color w:val="000000" w:themeColor="text1"/>
          <w:sz w:val="32"/>
          <w:szCs w:val="32"/>
          <w:lang w:eastAsia="zh-CN" w:bidi="ar"/>
          <w14:textFill>
            <w14:solidFill>
              <w14:schemeClr w14:val="tx1"/>
            </w14:solidFill>
          </w14:textFill>
          <w14:ligatures w14:val="none"/>
        </w:rPr>
        <w:t>-</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2000</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千卡），以便不同需求的患者参考使用。</w:t>
      </w:r>
    </w:p>
    <w:p>
      <w:pPr>
        <w:pageBreakBefore w:val="0"/>
        <w:widowControl/>
        <w:kinsoku/>
        <w:overflowPunct/>
        <w:bidi w:val="0"/>
        <w:spacing w:line="540" w:lineRule="exact"/>
        <w:ind w:left="0" w:firstLine="640" w:firstLineChars="200"/>
        <w:jc w:val="both"/>
        <w:textAlignment w:val="auto"/>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食谱的宏量营养素的供能比设定为：蛋白质约占总能量的</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20%，脂肪约占20%</w:t>
      </w:r>
      <w:r>
        <w:rPr>
          <w:rFonts w:hint="default" w:ascii="仿宋_GB2312" w:hAnsi="仿宋_GB2312" w:eastAsia="仿宋_GB2312" w:cs="仿宋_GB2312"/>
          <w:snapToGrid/>
          <w:color w:val="000000" w:themeColor="text1"/>
          <w:sz w:val="32"/>
          <w:szCs w:val="32"/>
          <w:lang w:eastAsia="zh-CN" w:bidi="ar"/>
          <w14:textFill>
            <w14:solidFill>
              <w14:schemeClr w14:val="tx1"/>
            </w14:solidFill>
          </w14:textFill>
          <w14:ligatures w14:val="none"/>
        </w:rPr>
        <w:t>-</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30%，碳水化合物约占50%</w:t>
      </w:r>
      <w:r>
        <w:rPr>
          <w:rFonts w:hint="default" w:ascii="仿宋_GB2312" w:hAnsi="仿宋_GB2312" w:eastAsia="仿宋_GB2312" w:cs="仿宋_GB2312"/>
          <w:snapToGrid/>
          <w:color w:val="000000" w:themeColor="text1"/>
          <w:sz w:val="32"/>
          <w:szCs w:val="32"/>
          <w:lang w:eastAsia="zh-CN" w:bidi="ar"/>
          <w14:textFill>
            <w14:solidFill>
              <w14:schemeClr w14:val="tx1"/>
            </w14:solidFill>
          </w14:textFill>
          <w14:ligatures w14:val="none"/>
        </w:rPr>
        <w:t>-</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60%。同时，全天的食用油用量控制在20</w:t>
      </w:r>
      <w:r>
        <w:rPr>
          <w:rFonts w:hint="default" w:ascii="仿宋_GB2312" w:hAnsi="仿宋_GB2312" w:eastAsia="仿宋_GB2312" w:cs="仿宋_GB2312"/>
          <w:snapToGrid/>
          <w:color w:val="000000" w:themeColor="text1"/>
          <w:sz w:val="32"/>
          <w:szCs w:val="32"/>
          <w:lang w:eastAsia="zh-CN" w:bidi="ar"/>
          <w14:textFill>
            <w14:solidFill>
              <w14:schemeClr w14:val="tx1"/>
            </w14:solidFill>
          </w14:textFill>
          <w14:ligatures w14:val="none"/>
        </w:rPr>
        <w:t>-</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25</w:t>
      </w:r>
      <w:r>
        <w:rPr>
          <w:rFonts w:hint="default" w:ascii="仿宋_GB2312" w:hAnsi="仿宋_GB2312" w:eastAsia="仿宋_GB2312" w:cs="仿宋_GB2312"/>
          <w:snapToGrid/>
          <w:color w:val="000000" w:themeColor="text1"/>
          <w:sz w:val="32"/>
          <w:szCs w:val="32"/>
          <w:lang w:eastAsia="zh-CN" w:bidi="ar"/>
          <w14:textFill>
            <w14:solidFill>
              <w14:schemeClr w14:val="tx1"/>
            </w14:solidFill>
          </w14:textFill>
          <w14:ligatures w14:val="none"/>
        </w:rPr>
        <w:t>g</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，食盐摄入量限制在</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5</w:t>
      </w:r>
      <w:r>
        <w:rPr>
          <w:rFonts w:hint="default" w:ascii="Times New Roman" w:hAnsi="Times New Roman" w:eastAsia="仿宋_GB2312" w:cs="仿宋_GB2312"/>
          <w:snapToGrid w:val="0"/>
          <w:color w:val="000000" w:themeColor="text1"/>
          <w:sz w:val="32"/>
          <w:szCs w:val="32"/>
          <w:lang w:eastAsia="zh-CN" w:bidi="ar"/>
          <w14:textFill>
            <w14:solidFill>
              <w14:schemeClr w14:val="tx1"/>
            </w14:solidFill>
          </w14:textFill>
          <w14:ligatures w14:val="none"/>
        </w:rPr>
        <w:t>g</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以内。</w:t>
      </w:r>
    </w:p>
    <w:p>
      <w:pPr>
        <w:pageBreakBefore w:val="0"/>
        <w:widowControl/>
        <w:kinsoku/>
        <w:overflowPunct/>
        <w:bidi w:val="0"/>
        <w:spacing w:line="540" w:lineRule="exact"/>
        <w:ind w:left="0" w:firstLine="640" w:firstLineChars="200"/>
        <w:jc w:val="both"/>
        <w:textAlignment w:val="auto"/>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本食谱设计以确保足量优质蛋白质摄入并均衡分布至三餐为核心，全面考虑肌少症患者的营养需求和平衡膳食原则，同时结合中医食养理念，选用健脾养胃的食物，并融入针对肌少症的食疗方。</w:t>
      </w:r>
    </w:p>
    <w:p>
      <w:pPr>
        <w:pageBreakBefore w:val="0"/>
        <w:widowControl/>
        <w:kinsoku/>
        <w:overflowPunct/>
        <w:bidi w:val="0"/>
        <w:spacing w:line="540" w:lineRule="exact"/>
        <w:ind w:left="0"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实际应用中，肌少症患者需要在营养指导人员的帮助下，了解自身能量和蛋白质的需要量，选择相应能量等级的食谱。可结合肌少症的食物选择（附录</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1</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）、常见食物交换表（附录</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2</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），对食谱进行蛋白质含量相当的同类食物替换，灵活搭配出个性化的食谱。</w:t>
      </w:r>
    </w:p>
    <w:p>
      <w:pPr>
        <w:pStyle w:val="2"/>
        <w:pageBreakBefore w:val="0"/>
        <w:kinsoku/>
        <w:overflowPunct/>
        <w:bidi w:val="0"/>
        <w:spacing w:before="0" w:line="540" w:lineRule="exact"/>
        <w:ind w:left="0" w:firstLine="642" w:firstLineChars="200"/>
        <w:jc w:val="both"/>
        <w:textAlignment w:val="auto"/>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附</w:t>
      </w:r>
      <w:r>
        <w:rPr>
          <w:rFonts w:hint="eastAsia" w:ascii="仿宋_GB2312" w:hAnsi="仿宋_GB2312" w:eastAsia="仿宋_GB2312" w:cs="仿宋_GB2312"/>
          <w:b/>
          <w:bCs/>
          <w:snapToGrid/>
          <w:color w:val="000000" w:themeColor="text1"/>
          <w:kern w:val="0"/>
          <w:sz w:val="32"/>
          <w:szCs w:val="32"/>
          <w:lang w:val="en-US" w:eastAsia="zh-CN" w:bidi="ar"/>
          <w14:textFill>
            <w14:solidFill>
              <w14:schemeClr w14:val="tx1"/>
            </w14:solidFill>
          </w14:textFill>
        </w:rPr>
        <w:t xml:space="preserve">录4 </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肌少症不同中医证候食养方举例</w:t>
      </w:r>
    </w:p>
    <w:p>
      <w:pPr>
        <w:pageBreakBefore w:val="0"/>
        <w:widowControl/>
        <w:kinsoku/>
        <w:overflowPunct/>
        <w:bidi w:val="0"/>
        <w:spacing w:line="540" w:lineRule="exact"/>
        <w:ind w:left="0" w:firstLine="640" w:firstLineChars="200"/>
        <w:jc w:val="both"/>
        <w:textAlignment w:val="auto"/>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附录</w:t>
      </w:r>
      <w:r>
        <w:rPr>
          <w:rFonts w:hint="eastAsia" w:ascii="仿宋_GB2312" w:hAnsi="仿宋_GB2312" w:eastAsia="仿宋_GB2312" w:cs="仿宋_GB2312"/>
          <w:snapToGrid/>
          <w:color w:val="000000" w:themeColor="text1"/>
          <w:sz w:val="32"/>
          <w:szCs w:val="32"/>
          <w:lang w:val="en-US" w:eastAsia="zh-CN" w:bidi="ar"/>
          <w14:textFill>
            <w14:solidFill>
              <w14:schemeClr w14:val="tx1"/>
            </w14:solidFill>
          </w14:textFill>
          <w14:ligatures w14:val="none"/>
        </w:rPr>
        <w:t>4</w:t>
      </w: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14:ligatures w14:val="none"/>
        </w:rPr>
        <w:t>中的食养方选择和推荐的依据有以下六点：</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仿宋_GB2312" w:hAnsi="仿宋_GB2312" w:eastAsia="仿宋_GB2312" w:cs="仿宋_GB2312"/>
          <w:snapToGrid w:val="0"/>
          <w:color w:val="000000" w:themeColor="text1"/>
          <w:sz w:val="32"/>
          <w:szCs w:val="32"/>
          <w:lang w:val="en-US" w:eastAsia="zh-CN" w:bidi="ar"/>
          <w14:textFill>
            <w14:solidFill>
              <w14:schemeClr w14:val="tx1"/>
            </w14:solidFill>
          </w14:textFill>
          <w14:ligatures w14:val="none"/>
        </w:rPr>
        <w:t>1.食养方中</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使用的食药物质为可食性中药材，根据肌少症的中医</w:t>
      </w:r>
      <w:r>
        <w:rPr>
          <w:rFonts w:hint="eastAsia" w:ascii="Times New Roman" w:hAnsi="Times New Roman" w:eastAsia="仿宋_GB2312" w:cs="仿宋_GB2312"/>
          <w:snapToGrid w:val="0"/>
          <w:color w:val="000000" w:themeColor="text1"/>
          <w:sz w:val="32"/>
          <w:szCs w:val="32"/>
          <w:lang w:eastAsia="zh-CN" w:bidi="ar"/>
          <w14:textFill>
            <w14:solidFill>
              <w14:schemeClr w14:val="tx1"/>
            </w14:solidFill>
          </w14:textFill>
          <w14:ligatures w14:val="none"/>
        </w:rPr>
        <w:t>辨证</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分型，在《按照传统既是食品又是中药材的物质目录》（含新食品原料）中选用具有健脾养胃、补益肝肾、清利湿热传统功效的可食性中药材。</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仿宋_GB2312" w:hAnsi="仿宋_GB2312" w:eastAsia="仿宋_GB2312" w:cs="仿宋_GB2312"/>
          <w:snapToGrid w:val="0"/>
          <w:color w:val="000000" w:themeColor="text1"/>
          <w:sz w:val="32"/>
          <w:szCs w:val="32"/>
          <w:lang w:val="en-US" w:eastAsia="zh-CN" w:bidi="ar"/>
          <w14:textFill>
            <w14:solidFill>
              <w14:schemeClr w14:val="tx1"/>
            </w14:solidFill>
          </w14:textFill>
          <w14:ligatures w14:val="none"/>
        </w:rPr>
        <w:t>2.食养方中食</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药物质的使用剂量符合《中国药典》规范。</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仿宋_GB2312" w:hAnsi="仿宋_GB2312" w:eastAsia="仿宋_GB2312" w:cs="仿宋_GB2312"/>
          <w:snapToGrid w:val="0"/>
          <w:color w:val="000000" w:themeColor="text1"/>
          <w:sz w:val="32"/>
          <w:szCs w:val="32"/>
          <w:lang w:val="en-US" w:eastAsia="zh-CN" w:bidi="ar"/>
          <w14:textFill>
            <w14:solidFill>
              <w14:schemeClr w14:val="tx1"/>
            </w14:solidFill>
          </w14:textFill>
          <w14:ligatures w14:val="none"/>
        </w:rPr>
        <w:t>3.食药物质的</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配伍符合中医辨证施食原则，从而合理发挥食养作用并确保食养安全。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仿宋_GB2312" w:hAnsi="仿宋_GB2312" w:eastAsia="仿宋_GB2312" w:cs="仿宋_GB2312"/>
          <w:snapToGrid w:val="0"/>
          <w:color w:val="000000" w:themeColor="text1"/>
          <w:sz w:val="32"/>
          <w:szCs w:val="32"/>
          <w:lang w:val="en-US" w:eastAsia="zh-CN" w:bidi="ar"/>
          <w14:textFill>
            <w14:solidFill>
              <w14:schemeClr w14:val="tx1"/>
            </w14:solidFill>
          </w14:textFill>
          <w14:ligatures w14:val="none"/>
        </w:rPr>
        <w:t>4.食养方的配方来源如中医古籍、教材、指南、名医经验、临床研究、地方</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传统特色菜肴等，具有可靠性、权威性、安全性。</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仿宋_GB2312" w:hAnsi="仿宋_GB2312" w:eastAsia="仿宋_GB2312" w:cs="仿宋_GB2312"/>
          <w:snapToGrid w:val="0"/>
          <w:color w:val="000000" w:themeColor="text1"/>
          <w:sz w:val="32"/>
          <w:szCs w:val="32"/>
          <w:lang w:val="en-US" w:eastAsia="zh-CN" w:bidi="ar"/>
          <w14:textFill>
            <w14:solidFill>
              <w14:schemeClr w14:val="tx1"/>
            </w14:solidFill>
          </w14:textFill>
          <w14:ligatures w14:val="none"/>
        </w:rPr>
        <w:t>5.食养方以粥类</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、汤羹类为多，烹饪方式以煮、蒸、炖为主。</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pPr>
      <w:r>
        <w:rPr>
          <w:rFonts w:hint="eastAsia" w:ascii="仿宋_GB2312" w:hAnsi="仿宋_GB2312" w:eastAsia="仿宋_GB2312" w:cs="仿宋_GB2312"/>
          <w:snapToGrid w:val="0"/>
          <w:color w:val="000000" w:themeColor="text1"/>
          <w:sz w:val="32"/>
          <w:szCs w:val="32"/>
          <w:lang w:val="en-US" w:eastAsia="zh-CN" w:bidi="ar"/>
          <w14:textFill>
            <w14:solidFill>
              <w14:schemeClr w14:val="tx1"/>
            </w14:solidFill>
          </w14:textFill>
          <w14:ligatures w14:val="none"/>
        </w:rPr>
        <w:t>6.</w:t>
      </w:r>
      <w:r>
        <w:rPr>
          <w:rFonts w:hint="eastAsia" w:ascii="仿宋_GB2312" w:hAnsi="仿宋_GB2312" w:eastAsia="仿宋_GB2312" w:cs="仿宋_GB2312"/>
          <w:snapToGrid w:val="0"/>
          <w:color w:val="000000" w:themeColor="text1"/>
          <w:sz w:val="32"/>
          <w:szCs w:val="32"/>
          <w:lang w:bidi="ar"/>
          <w14:textFill>
            <w14:solidFill>
              <w14:schemeClr w14:val="tx1"/>
            </w14:solidFill>
          </w14:textFill>
          <w14:ligatures w14:val="none"/>
        </w:rPr>
        <w:t>食养方</w:t>
      </w:r>
      <w:r>
        <w:rPr>
          <w:rFonts w:hint="eastAsia" w:ascii="仿宋_GB2312" w:hAnsi="仿宋_GB2312" w:eastAsia="仿宋_GB2312" w:cs="仿宋_GB2312"/>
          <w:snapToGrid w:val="0"/>
          <w:color w:val="000000" w:themeColor="text1"/>
          <w:sz w:val="32"/>
          <w:szCs w:val="32"/>
          <w:lang w:eastAsia="zh-CN" w:bidi="ar"/>
          <w14:textFill>
            <w14:solidFill>
              <w14:schemeClr w14:val="tx1"/>
            </w14:solidFill>
          </w14:textFill>
          <w14:ligatures w14:val="none"/>
        </w:rPr>
        <w:t>兼</w:t>
      </w:r>
      <w:r>
        <w:rPr>
          <w:rFonts w:hint="eastAsia" w:ascii="仿宋_GB2312" w:hAnsi="仿宋_GB2312" w:eastAsia="仿宋_GB2312" w:cs="仿宋_GB2312"/>
          <w:snapToGrid w:val="0"/>
          <w:color w:val="000000" w:themeColor="text1"/>
          <w:sz w:val="32"/>
          <w:szCs w:val="32"/>
          <w:lang w:bidi="ar"/>
          <w14:textFill>
            <w14:solidFill>
              <w14:schemeClr w14:val="tx1"/>
            </w14:solidFill>
          </w14:textFill>
          <w14:ligatures w14:val="none"/>
        </w:rPr>
        <w:t>顾了色泽</w:t>
      </w:r>
      <w:r>
        <w:rPr>
          <w:rFonts w:hint="eastAsia" w:ascii="Times New Roman" w:hAnsi="Times New Roman" w:eastAsia="仿宋_GB2312" w:cs="仿宋_GB2312"/>
          <w:snapToGrid w:val="0"/>
          <w:color w:val="000000" w:themeColor="text1"/>
          <w:sz w:val="32"/>
          <w:szCs w:val="32"/>
          <w:lang w:bidi="ar"/>
          <w14:textFill>
            <w14:solidFill>
              <w14:schemeClr w14:val="tx1"/>
            </w14:solidFill>
          </w14:textFill>
          <w14:ligatures w14:val="none"/>
        </w:rPr>
        <w:t>、外观、气味、口味等感官形态方面的一般要求。</w:t>
      </w:r>
    </w:p>
    <w:p>
      <w:pPr>
        <w:keepNext w:val="0"/>
        <w:keepLines w:val="0"/>
        <w:pageBreakBefore w:val="0"/>
        <w:widowControl/>
        <w:kinsoku/>
        <w:overflowPunct/>
        <w:bidi w:val="0"/>
        <w:adjustRightInd/>
        <w:spacing w:line="540" w:lineRule="exact"/>
        <w:ind w:left="0" w:firstLine="640" w:firstLineChars="200"/>
        <w:jc w:val="both"/>
        <w:textAlignment w:val="auto"/>
        <w:rPr>
          <w:rFonts w:hint="default" w:eastAsia="仿宋_GB2312"/>
          <w:lang w:val="en-US" w:eastAsia="zh-CN"/>
        </w:rPr>
      </w:pPr>
      <w:r>
        <w:rPr>
          <w:rFonts w:hint="eastAsia" w:ascii="Times New Roman" w:hAnsi="Times New Roman" w:eastAsia="仿宋_GB2312" w:cs="仿宋_GB2312"/>
          <w:snapToGrid w:val="0"/>
          <w:color w:val="000000" w:themeColor="text1"/>
          <w:sz w:val="32"/>
          <w:szCs w:val="32"/>
          <w:lang w:val="en-US" w:eastAsia="zh-CN" w:bidi="ar"/>
          <w14:textFill>
            <w14:solidFill>
              <w14:schemeClr w14:val="tx1"/>
            </w14:solidFill>
          </w14:textFill>
        </w:rPr>
        <w:t>为了以防中医证型不对导致错用食养方造成的不良效果，在前言部分特别强调如下：</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如出现各证型相互兼夹或</w:t>
      </w:r>
      <w:r>
        <w:rPr>
          <w:rFonts w:hint="eastAsia"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t>其他证</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型，需在医生的指导下合理选用。有饮食禁忌的慢性病人群，建议咨询专业医师或药师</w:t>
      </w:r>
      <w:r>
        <w:rPr>
          <w:rFonts w:hint="eastAsia" w:ascii="Times New Roman" w:hAnsi="Times New Roman" w:eastAsia="仿宋_GB2312" w:cs="仿宋_GB2312"/>
          <w:snapToGrid w:val="0"/>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根据个人体质和健康状况，合理选择</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食养方</w:t>
      </w:r>
      <w:r>
        <w:rPr>
          <w:rFonts w:hint="eastAsia" w:ascii="Times New Roman" w:hAnsi="Times New Roman" w:eastAsia="仿宋_GB2312" w:cs="仿宋_GB2312"/>
          <w:snapToGrid w:val="0"/>
          <w:color w:val="000000" w:themeColor="text1"/>
          <w:kern w:val="0"/>
          <w:sz w:val="32"/>
          <w:szCs w:val="32"/>
          <w:lang w:bidi="ar"/>
          <w14:textFill>
            <w14:solidFill>
              <w14:schemeClr w14:val="tx1"/>
            </w14:solidFill>
          </w14:textFill>
        </w:rPr>
        <w:t>。</w:t>
      </w:r>
    </w:p>
    <w:p>
      <w:pPr>
        <w:pStyle w:val="2"/>
        <w:pageBreakBefore w:val="0"/>
        <w:kinsoku/>
        <w:overflowPunct/>
        <w:bidi w:val="0"/>
        <w:spacing w:before="0" w:line="540" w:lineRule="exact"/>
        <w:ind w:left="0" w:firstLine="642" w:firstLineChars="200"/>
        <w:jc w:val="both"/>
        <w:textAlignment w:val="auto"/>
        <w:rPr>
          <w:rFonts w:hint="default"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附</w:t>
      </w:r>
      <w:r>
        <w:rPr>
          <w:rFonts w:hint="eastAsia" w:ascii="仿宋_GB2312" w:hAnsi="仿宋_GB2312" w:eastAsia="仿宋_GB2312" w:cs="仿宋_GB2312"/>
          <w:b/>
          <w:bCs/>
          <w:snapToGrid/>
          <w:color w:val="000000" w:themeColor="text1"/>
          <w:kern w:val="0"/>
          <w:sz w:val="32"/>
          <w:szCs w:val="32"/>
          <w:lang w:val="en-US" w:eastAsia="zh-CN" w:bidi="ar"/>
          <w14:textFill>
            <w14:solidFill>
              <w14:schemeClr w14:val="tx1"/>
            </w14:solidFill>
          </w14:textFill>
        </w:rPr>
        <w:t xml:space="preserve">录5 </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肌少症风险筛查</w:t>
      </w:r>
      <w:r>
        <w:rPr>
          <w:rFonts w:hint="eastAsia" w:eastAsia="仿宋_GB2312" w:cs="仿宋_GB2312"/>
          <w:b/>
          <w:bCs/>
          <w:color w:val="000000" w:themeColor="text1"/>
          <w:kern w:val="0"/>
          <w:sz w:val="32"/>
          <w:szCs w:val="32"/>
          <w:lang w:val="en-US" w:eastAsia="zh-CN" w:bidi="ar"/>
          <w14:textFill>
            <w14:solidFill>
              <w14:schemeClr w14:val="tx1"/>
            </w14:solidFill>
          </w14:textFill>
        </w:rPr>
        <w:t>和</w:t>
      </w:r>
      <w:r>
        <w:rPr>
          <w:rFonts w:hint="eastAsia" w:ascii="Times New Roman" w:hAnsi="Times New Roman" w:eastAsia="仿宋_GB2312" w:cs="仿宋_GB2312"/>
          <w:b/>
          <w:bCs/>
          <w:color w:val="000000" w:themeColor="text1"/>
          <w:kern w:val="0"/>
          <w:sz w:val="32"/>
          <w:szCs w:val="32"/>
          <w:lang w:val="en-US" w:eastAsia="zh-CN" w:bidi="ar"/>
          <w14:textFill>
            <w14:solidFill>
              <w14:schemeClr w14:val="tx1"/>
            </w14:solidFill>
          </w14:textFill>
        </w:rPr>
        <w:t>临床</w:t>
      </w:r>
      <w:r>
        <w:rPr>
          <w:rFonts w:hint="eastAsia" w:eastAsia="仿宋_GB2312" w:cs="仿宋_GB2312"/>
          <w:b/>
          <w:bCs/>
          <w:color w:val="000000" w:themeColor="text1"/>
          <w:kern w:val="0"/>
          <w:sz w:val="32"/>
          <w:szCs w:val="32"/>
          <w:lang w:val="en-US" w:eastAsia="zh-CN" w:bidi="ar"/>
          <w14:textFill>
            <w14:solidFill>
              <w14:schemeClr w14:val="tx1"/>
            </w14:solidFill>
          </w14:textFill>
        </w:rPr>
        <w:t>评估</w:t>
      </w:r>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bidi="ar"/>
          <w14:textFill>
            <w14:solidFill>
              <w14:schemeClr w14:val="tx1"/>
            </w14:solidFill>
          </w14:textFill>
        </w:rPr>
      </w:pPr>
      <w:r>
        <w:rPr>
          <w:rFonts w:hint="eastAsia" w:eastAsia="仿宋_GB2312" w:cs="仿宋_GB2312"/>
          <w:snapToGrid w:val="0"/>
          <w:color w:val="000000" w:themeColor="text1"/>
          <w:kern w:val="0"/>
          <w:sz w:val="32"/>
          <w:szCs w:val="32"/>
          <w:lang w:bidi="ar"/>
          <w14:textFill>
            <w14:solidFill>
              <w14:schemeClr w14:val="tx1"/>
            </w14:solidFill>
          </w14:textFill>
        </w:rPr>
        <w:t>肌少症早期症状往往不显著，容易被忽视，导致诊断和治疗延误。因此，制定肌少症的风险筛查、临床评估和诊断分级标准，对于早期发现、干预和治疗肌少症至关重要。</w:t>
      </w:r>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bidi="ar"/>
          <w14:textFill>
            <w14:solidFill>
              <w14:schemeClr w14:val="tx1"/>
            </w14:solidFill>
          </w14:textFill>
        </w:rPr>
      </w:pPr>
      <w:r>
        <w:rPr>
          <w:rFonts w:hint="eastAsia" w:eastAsia="仿宋_GB2312" w:cs="仿宋_GB2312"/>
          <w:snapToGrid w:val="0"/>
          <w:color w:val="000000" w:themeColor="text1"/>
          <w:kern w:val="0"/>
          <w:sz w:val="32"/>
          <w:szCs w:val="32"/>
          <w:lang w:bidi="ar"/>
          <w14:textFill>
            <w14:solidFill>
              <w14:schemeClr w14:val="tx1"/>
            </w14:solidFill>
          </w14:textFill>
        </w:rPr>
        <w:t>本指南旨在提供一个系统、规范的肌少症评估流程，基于国内外最新研究成果，并结合我国老年人的实际情况。指南建议对所有</w:t>
      </w:r>
      <w:r>
        <w:rPr>
          <w:rFonts w:hint="eastAsia" w:ascii="仿宋_GB2312" w:hAnsi="仿宋_GB2312" w:eastAsia="仿宋_GB2312" w:cs="仿宋_GB2312"/>
          <w:snapToGrid/>
          <w:color w:val="000000" w:themeColor="text1"/>
          <w:kern w:val="0"/>
          <w:sz w:val="32"/>
          <w:szCs w:val="32"/>
          <w:lang w:bidi="ar"/>
          <w14:textFill>
            <w14:solidFill>
              <w14:schemeClr w14:val="tx1"/>
            </w14:solidFill>
          </w14:textFill>
        </w:rPr>
        <w:t>65</w:t>
      </w:r>
      <w:r>
        <w:rPr>
          <w:rFonts w:hint="eastAsia" w:eastAsia="仿宋_GB2312" w:cs="仿宋_GB2312"/>
          <w:snapToGrid w:val="0"/>
          <w:color w:val="000000" w:themeColor="text1"/>
          <w:kern w:val="0"/>
          <w:sz w:val="32"/>
          <w:szCs w:val="32"/>
          <w:lang w:bidi="ar"/>
          <w14:textFill>
            <w14:solidFill>
              <w14:schemeClr w14:val="tx1"/>
            </w14:solidFill>
          </w14:textFill>
        </w:rPr>
        <w:t>岁及以上的老年人进行定期肌少症风险筛查，并根据风险程度调整筛查频率。对于有肌少症风险的老年人，应进行进一步的临床评估。</w:t>
      </w:r>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bidi="ar"/>
          <w14:textFill>
            <w14:solidFill>
              <w14:schemeClr w14:val="tx1"/>
            </w14:solidFill>
          </w14:textFill>
        </w:rPr>
      </w:pPr>
      <w:r>
        <w:rPr>
          <w:rFonts w:hint="default" w:eastAsia="仿宋_GB2312" w:cs="仿宋_GB2312"/>
          <w:snapToGrid w:val="0"/>
          <w:color w:val="000000" w:themeColor="text1"/>
          <w:kern w:val="0"/>
          <w:sz w:val="32"/>
          <w:szCs w:val="32"/>
          <w:lang w:eastAsia="zh-CN" w:bidi="ar"/>
          <w14:textFill>
            <w14:solidFill>
              <w14:schemeClr w14:val="tx1"/>
            </w14:solidFill>
          </w14:textFill>
        </w:rPr>
        <w:t>本指南</w:t>
      </w:r>
      <w:r>
        <w:rPr>
          <w:rFonts w:hint="eastAsia" w:eastAsia="仿宋_GB2312" w:cs="仿宋_GB2312"/>
          <w:snapToGrid w:val="0"/>
          <w:color w:val="000000" w:themeColor="text1"/>
          <w:kern w:val="0"/>
          <w:sz w:val="32"/>
          <w:szCs w:val="32"/>
          <w:lang w:bidi="ar"/>
          <w14:textFill>
            <w14:solidFill>
              <w14:schemeClr w14:val="tx1"/>
            </w14:solidFill>
          </w14:textFill>
        </w:rPr>
        <w:t>在肌少症筛查方面，推荐使用小腿围测量或肌少症筛查五项评分量表（</w:t>
      </w:r>
      <w:r>
        <w:rPr>
          <w:rFonts w:hint="eastAsia" w:ascii="仿宋_GB2312" w:hAnsi="仿宋_GB2312" w:eastAsia="仿宋_GB2312" w:cs="仿宋_GB2312"/>
          <w:snapToGrid/>
          <w:color w:val="000000" w:themeColor="text1"/>
          <w:kern w:val="0"/>
          <w:sz w:val="32"/>
          <w:szCs w:val="32"/>
          <w:lang w:bidi="ar"/>
          <w14:textFill>
            <w14:solidFill>
              <w14:schemeClr w14:val="tx1"/>
            </w14:solidFill>
          </w14:textFill>
        </w:rPr>
        <w:t>SARC-F</w:t>
      </w:r>
      <w:r>
        <w:rPr>
          <w:rFonts w:hint="eastAsia" w:eastAsia="仿宋_GB2312" w:cs="仿宋_GB2312"/>
          <w:snapToGrid w:val="0"/>
          <w:color w:val="000000" w:themeColor="text1"/>
          <w:kern w:val="0"/>
          <w:sz w:val="32"/>
          <w:szCs w:val="32"/>
          <w:lang w:bidi="ar"/>
          <w14:textFill>
            <w14:solidFill>
              <w14:schemeClr w14:val="tx1"/>
            </w14:solidFill>
          </w14:textFill>
        </w:rPr>
        <w:t>）。小腿围测量是一种简便易行的肌肉量评估方法，而</w:t>
      </w:r>
      <w:r>
        <w:rPr>
          <w:rFonts w:hint="eastAsia" w:ascii="仿宋_GB2312" w:hAnsi="仿宋_GB2312" w:eastAsia="仿宋_GB2312" w:cs="仿宋_GB2312"/>
          <w:snapToGrid/>
          <w:color w:val="000000" w:themeColor="text1"/>
          <w:kern w:val="0"/>
          <w:sz w:val="32"/>
          <w:szCs w:val="32"/>
          <w:lang w:bidi="ar"/>
          <w14:textFill>
            <w14:solidFill>
              <w14:schemeClr w14:val="tx1"/>
            </w14:solidFill>
          </w14:textFill>
        </w:rPr>
        <w:t>SARC-F</w:t>
      </w:r>
      <w:r>
        <w:rPr>
          <w:rFonts w:hint="eastAsia" w:eastAsia="仿宋_GB2312" w:cs="仿宋_GB2312"/>
          <w:snapToGrid w:val="0"/>
          <w:color w:val="000000" w:themeColor="text1"/>
          <w:kern w:val="0"/>
          <w:sz w:val="32"/>
          <w:szCs w:val="32"/>
          <w:lang w:bidi="ar"/>
          <w14:textFill>
            <w14:solidFill>
              <w14:schemeClr w14:val="tx1"/>
            </w14:solidFill>
          </w14:textFill>
        </w:rPr>
        <w:t>量表则从力量、步行、起坐、爬楼梯和跌倒等多个维度综合评估肌少症风险。</w:t>
      </w:r>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bidi="ar"/>
          <w14:textFill>
            <w14:solidFill>
              <w14:schemeClr w14:val="tx1"/>
            </w14:solidFill>
          </w14:textFill>
        </w:rPr>
      </w:pPr>
      <w:r>
        <w:rPr>
          <w:rFonts w:hint="eastAsia" w:eastAsia="仿宋_GB2312" w:cs="仿宋_GB2312"/>
          <w:snapToGrid w:val="0"/>
          <w:color w:val="000000" w:themeColor="text1"/>
          <w:kern w:val="0"/>
          <w:sz w:val="32"/>
          <w:szCs w:val="32"/>
          <w:lang w:bidi="ar"/>
          <w14:textFill>
            <w14:solidFill>
              <w14:schemeClr w14:val="tx1"/>
            </w14:solidFill>
          </w14:textFill>
        </w:rPr>
        <w:t>在肌少症临床评估方面，包括肌肉量、肌肉力量和身体活动能力三个维度。指南建议使用生物电阻抗法或双能</w:t>
      </w:r>
      <w:r>
        <w:rPr>
          <w:rFonts w:hint="eastAsia" w:ascii="仿宋_GB2312" w:hAnsi="仿宋_GB2312" w:eastAsia="仿宋_GB2312" w:cs="仿宋_GB2312"/>
          <w:snapToGrid/>
          <w:color w:val="000000" w:themeColor="text1"/>
          <w:kern w:val="0"/>
          <w:sz w:val="32"/>
          <w:szCs w:val="32"/>
          <w:lang w:bidi="ar"/>
          <w14:textFill>
            <w14:solidFill>
              <w14:schemeClr w14:val="tx1"/>
            </w14:solidFill>
          </w14:textFill>
        </w:rPr>
        <w:t>X</w:t>
      </w:r>
      <w:r>
        <w:rPr>
          <w:rFonts w:hint="eastAsia" w:eastAsia="仿宋_GB2312" w:cs="仿宋_GB2312"/>
          <w:snapToGrid w:val="0"/>
          <w:color w:val="000000" w:themeColor="text1"/>
          <w:kern w:val="0"/>
          <w:sz w:val="32"/>
          <w:szCs w:val="32"/>
          <w:lang w:bidi="ar"/>
          <w14:textFill>
            <w14:solidFill>
              <w14:schemeClr w14:val="tx1"/>
            </w14:solidFill>
          </w14:textFill>
        </w:rPr>
        <w:t>射线法评估肌肉量，握力计法评估肌肉力量，以及五次起坐时间、六米步速或简易体能状况量表（</w:t>
      </w:r>
      <w:r>
        <w:rPr>
          <w:rFonts w:hint="eastAsia" w:ascii="仿宋_GB2312" w:hAnsi="仿宋_GB2312" w:eastAsia="仿宋_GB2312" w:cs="仿宋_GB2312"/>
          <w:snapToGrid/>
          <w:color w:val="000000" w:themeColor="text1"/>
          <w:kern w:val="0"/>
          <w:sz w:val="32"/>
          <w:szCs w:val="32"/>
          <w:lang w:bidi="ar"/>
          <w14:textFill>
            <w14:solidFill>
              <w14:schemeClr w14:val="tx1"/>
            </w14:solidFill>
          </w14:textFill>
        </w:rPr>
        <w:t>SPPB</w:t>
      </w:r>
      <w:r>
        <w:rPr>
          <w:rFonts w:hint="eastAsia" w:eastAsia="仿宋_GB2312" w:cs="仿宋_GB2312"/>
          <w:snapToGrid w:val="0"/>
          <w:color w:val="000000" w:themeColor="text1"/>
          <w:kern w:val="0"/>
          <w:sz w:val="32"/>
          <w:szCs w:val="32"/>
          <w:lang w:bidi="ar"/>
          <w14:textFill>
            <w14:solidFill>
              <w14:schemeClr w14:val="tx1"/>
            </w14:solidFill>
          </w14:textFill>
        </w:rPr>
        <w:t>）评估身体活动能力。</w:t>
      </w:r>
    </w:p>
    <w:p>
      <w:pPr>
        <w:pStyle w:val="12"/>
        <w:pageBreakBefore w:val="0"/>
        <w:kinsoku/>
        <w:overflowPunct/>
        <w:bidi w:val="0"/>
        <w:spacing w:before="0" w:after="0" w:line="540" w:lineRule="exact"/>
        <w:ind w:left="0" w:firstLine="480"/>
        <w:jc w:val="both"/>
        <w:textAlignment w:val="auto"/>
        <w:rPr>
          <w:rFonts w:hint="eastAsia" w:eastAsia="仿宋_GB2312" w:cs="仿宋_GB2312"/>
          <w:snapToGrid w:val="0"/>
          <w:color w:val="000000" w:themeColor="text1"/>
          <w:kern w:val="0"/>
          <w:sz w:val="32"/>
          <w:szCs w:val="32"/>
          <w:lang w:bidi="ar"/>
          <w14:textFill>
            <w14:solidFill>
              <w14:schemeClr w14:val="tx1"/>
            </w14:solidFill>
          </w14:textFill>
        </w:rPr>
      </w:pPr>
      <w:r>
        <w:rPr>
          <w:rFonts w:hint="eastAsia" w:eastAsia="仿宋_GB2312" w:cs="仿宋_GB2312"/>
          <w:snapToGrid w:val="0"/>
          <w:color w:val="000000" w:themeColor="text1"/>
          <w:kern w:val="0"/>
          <w:sz w:val="32"/>
          <w:szCs w:val="32"/>
          <w:lang w:bidi="ar"/>
          <w14:textFill>
            <w14:solidFill>
              <w14:schemeClr w14:val="tx1"/>
            </w14:solidFill>
          </w14:textFill>
        </w:rPr>
        <w:t>此外，指南还详细介绍了小腿围、握力、五次起坐时间、六米步速和</w:t>
      </w:r>
      <w:r>
        <w:rPr>
          <w:rFonts w:hint="eastAsia" w:ascii="仿宋_GB2312" w:hAnsi="仿宋_GB2312" w:eastAsia="仿宋_GB2312" w:cs="仿宋_GB2312"/>
          <w:snapToGrid/>
          <w:color w:val="000000" w:themeColor="text1"/>
          <w:kern w:val="0"/>
          <w:sz w:val="32"/>
          <w:szCs w:val="32"/>
          <w:lang w:bidi="ar"/>
          <w14:textFill>
            <w14:solidFill>
              <w14:schemeClr w14:val="tx1"/>
            </w14:solidFill>
          </w14:textFill>
        </w:rPr>
        <w:t>SPPB</w:t>
      </w:r>
      <w:r>
        <w:rPr>
          <w:rFonts w:hint="eastAsia" w:eastAsia="仿宋_GB2312" w:cs="仿宋_GB2312"/>
          <w:snapToGrid w:val="0"/>
          <w:color w:val="000000" w:themeColor="text1"/>
          <w:kern w:val="0"/>
          <w:sz w:val="32"/>
          <w:szCs w:val="32"/>
          <w:lang w:bidi="ar"/>
          <w14:textFill>
            <w14:solidFill>
              <w14:schemeClr w14:val="tx1"/>
            </w14:solidFill>
          </w14:textFill>
        </w:rPr>
        <w:t>的测定方法，包括测量工具、步骤和注意事项，以确保评估结果的准确性。通过这些评估方法，可以更有效地识别肌少症患者，并制定个性化的干预和治疗方案，从而改善患者的生活质量，延缓疾病进展。</w:t>
      </w:r>
    </w:p>
    <w:p>
      <w:pPr>
        <w:pStyle w:val="3"/>
        <w:pageBreakBefore w:val="0"/>
        <w:kinsoku/>
        <w:overflowPunct/>
        <w:bidi w:val="0"/>
        <w:snapToGrid/>
        <w:spacing w:before="0" w:after="0" w:line="540" w:lineRule="exact"/>
        <w:ind w:left="0" w:firstLine="640" w:firstLineChars="200"/>
        <w:jc w:val="both"/>
        <w:textAlignment w:val="auto"/>
        <w:rPr>
          <w:rFonts w:ascii="黑体" w:hAnsi="黑体" w:eastAsia="黑体"/>
          <w:b w:val="0"/>
          <w:bCs w:val="0"/>
          <w:sz w:val="32"/>
          <w:szCs w:val="32"/>
        </w:rPr>
      </w:pPr>
      <w:bookmarkStart w:id="15" w:name="_Toc16533"/>
      <w:r>
        <w:rPr>
          <w:rFonts w:hint="eastAsia" w:ascii="黑体" w:hAnsi="黑体" w:eastAsia="黑体"/>
          <w:b w:val="0"/>
          <w:bCs w:val="0"/>
          <w:sz w:val="32"/>
          <w:szCs w:val="32"/>
        </w:rPr>
        <w:t>五、</w:t>
      </w:r>
      <w:r>
        <w:rPr>
          <w:rFonts w:hint="eastAsia" w:ascii="黑体" w:hAnsi="黑体"/>
          <w:b w:val="0"/>
          <w:bCs w:val="0"/>
          <w:sz w:val="32"/>
          <w:szCs w:val="32"/>
          <w:lang w:eastAsia="zh-CN"/>
        </w:rPr>
        <w:t>其他</w:t>
      </w:r>
      <w:r>
        <w:rPr>
          <w:rFonts w:hint="eastAsia" w:ascii="黑体" w:hAnsi="黑体" w:eastAsia="黑体"/>
          <w:b w:val="0"/>
          <w:bCs w:val="0"/>
          <w:sz w:val="32"/>
          <w:szCs w:val="32"/>
        </w:rPr>
        <w:t>说明</w:t>
      </w:r>
      <w:bookmarkEnd w:id="15"/>
    </w:p>
    <w:p>
      <w:pPr>
        <w:pageBreakBefore w:val="0"/>
        <w:widowControl/>
        <w:kinsoku/>
        <w:overflowPunct/>
        <w:bidi w:val="0"/>
        <w:adjustRightInd w:val="0"/>
        <w:snapToGrid/>
        <w:spacing w:line="540" w:lineRule="exact"/>
        <w:ind w:left="0" w:firstLine="640" w:firstLineChars="200"/>
        <w:jc w:val="both"/>
        <w:textAlignment w:val="auto"/>
        <w:rPr>
          <w:rFonts w:hint="eastAsia" w:ascii="黑体" w:hAnsi="黑体" w:eastAsia="黑体"/>
          <w:b w:val="0"/>
          <w:bCs w:val="0"/>
          <w:sz w:val="32"/>
          <w:szCs w:val="32"/>
        </w:rPr>
      </w:pPr>
      <w:r>
        <w:rPr>
          <w:rFonts w:hint="eastAsia" w:ascii="Times New Roman" w:hAnsi="Times New Roman" w:eastAsia="仿宋_GB2312" w:cs="仿宋_GB2312"/>
          <w:b w:val="0"/>
          <w:bCs w:val="0"/>
          <w:snapToGrid w:val="0"/>
          <w:color w:val="000000" w:themeColor="text1"/>
          <w:kern w:val="0"/>
          <w:sz w:val="32"/>
          <w:szCs w:val="32"/>
          <w:lang w:val="en-US" w:eastAsia="zh-CN" w:bidi="ar"/>
          <w14:textFill>
            <w14:solidFill>
              <w14:schemeClr w14:val="tx1"/>
            </w14:solidFill>
          </w14:textFill>
        </w:rPr>
        <w:t>无</w:t>
      </w:r>
      <w:bookmarkStart w:id="16" w:name="_Toc31341"/>
    </w:p>
    <w:p>
      <w:pPr>
        <w:pStyle w:val="3"/>
        <w:pageBreakBefore w:val="0"/>
        <w:kinsoku/>
        <w:overflowPunct/>
        <w:bidi w:val="0"/>
        <w:snapToGrid/>
        <w:spacing w:before="0" w:after="0" w:line="540" w:lineRule="exact"/>
        <w:ind w:firstLine="640" w:firstLineChars="200"/>
        <w:textAlignment w:val="auto"/>
        <w:rPr>
          <w:rFonts w:hint="eastAsia" w:ascii="黑体" w:hAnsi="黑体" w:eastAsia="黑体"/>
          <w:b w:val="0"/>
          <w:bCs w:val="0"/>
          <w:sz w:val="32"/>
          <w:szCs w:val="32"/>
        </w:rPr>
      </w:pPr>
      <w:r>
        <w:rPr>
          <w:rFonts w:hint="eastAsia" w:ascii="黑体" w:hAnsi="黑体" w:eastAsia="黑体"/>
          <w:b w:val="0"/>
          <w:bCs w:val="0"/>
          <w:sz w:val="32"/>
          <w:szCs w:val="32"/>
        </w:rPr>
        <w:t>六、参考文献</w:t>
      </w:r>
      <w:bookmarkEnd w:id="16"/>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[1] Dent E, Morley JE, Cruz-Jentoft AJ, Arai H, Kritchevsky SB, et al. International Clinical Practice Guidelines for Sarcopenia (ICFSR): Screening, Diagnosis and Management. J Nutr Health Aging. 2018;22(10):1148-1161.</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[2] Chen LK, Woo J, Assantachai P, Auyeung TW, et al. Asian Working </w:t>
      </w:r>
    </w:p>
    <w:p>
      <w:pPr>
        <w:keepNext w:val="0"/>
        <w:keepLines w:val="0"/>
        <w:pageBreakBefore w:val="0"/>
        <w:widowControl w:val="0"/>
        <w:kinsoku/>
        <w:wordWrap/>
        <w:overflowPunct/>
        <w:topLinePunct w:val="0"/>
        <w:autoSpaceDE/>
        <w:autoSpaceDN/>
        <w:bidi w:val="0"/>
        <w:adjustRightInd w:val="0"/>
        <w:snapToGrid/>
        <w:spacing w:line="440" w:lineRule="exact"/>
        <w:ind w:left="477" w:leftChars="227" w:firstLine="55" w:firstLineChars="23"/>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Group for Sarcopenia: 2019 Consensus Update on Sarcopenia Diagnosis and Treatment. J Am Med Dir Assoc. 2020;21(3):300-307.e2.</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[3] Cruz-Jentoft AJ, Bahat G, Bauer J, Boirie Y, et al. Writing Group for the European Working Group on Sarcopenia in Older People 2 (EWGSOP2), and the Extended Group for EWGSOP2. Sarcopenia: revised European consensus on definition and diagnosis. Age Ageing. 2019;48(1):16-31.</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[4] Lim WS, Cheong CY, Lim JP, et al. Singapore Clinical Practice Guidelines For Sarcopenia: Screening, Diagnosis, Management and Prevention. J Frailty Aging. 2022;11(4):348-369.</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[5] Chen LK, Arai H, Assantachai P, et al. Roles of nutrition in muscle health of community-dwelling older adults: evidence-based expert consensus from Asian Working Group for Sarcopenia. J Cachexia Sarcopenia Muscle. 2022; 13(3): 1653-1672.</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[6] 孙建琴，陈洁，何梅 等. 肌少症膳食营养处方及运动干预中国专家共识（2025）. 营养学报， 2025, 47(01) : 1-11.</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[7] 张勤，康林，王建业 等. 老年人肌少症门诊管理规范中国专家共识（2024版）. 中华老年医学杂志， 2024, 43(12): 1511-1517.</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[8] 中华医学会老年医学分会， 国家老年疾病临床医学研究中心（湘雅医院）. 中国肌肉减少症诊疗指南（2024版）. 中华老年医学杂志， 2025, 105(03): 181-203.</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[9] 崔华，王朝辉，吴剑卿等. 老年人肌少症防控干预中国专家共识（2023）. 中华老年医学杂志， 2023, 42(02):144-153.</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[10] 刘娟，丁清清，周白瑜等. 中国老年人肌少症诊疗专家共识（2021）. 中华老年医学杂志， 2021, 40（8）：943-952.</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[11] 中华医学会老年医学分会，《中华老年医学杂志》编辑委员会. 老年人肌少症口服营养补充中国专家共识（2019）.  中华老年医学杂志， 2019, 38(11): 1193-7.</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[12] 慢性肾脏病肌少症诊断、治疗与预防专家共识专家组. 慢性肾脏病肌少症诊断、治疗与预防专家共识（2024年版）. 中华肾脏病杂志， 2024, 15: 592-606.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[13] Lorenzo M. Donini, Luca Busetto, et al. Definition and diagnostic criteria for sarcopenic obesity: ESPEN and EASO consensus statement. Clinical Nutrition 41 (2022) 990-1000.</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[14] Tsung-Po Chen, Hsiang-Han Kao, et al. The Asia–Oceania consensus: Definitions and diagnostic criteria for sarcopenic obesity. Obesity Research &amp; Clinical Practice 19 (2025) 185–192.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[15] 戴娜,何兰,胡晶,等. “脾主肌肉”的理论探讨及其临床意义 [J]. 中医杂志, 2018, 59 (02): 95-99. DOI:10.13288/j.11-2166/r.2018.02.002.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[16] 陈嘉敏. 老年肌肉减少症中医证型与相关影响因素研究[D]. 北京中医药大学, 2018.</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[17] 范文昌,莫妙玲,蔡丽华,等. 中医药膳原料的应用研究 [J]. 亚太传统医药, 2019, 15 (01): 198-200.</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[18] 胡洲映,李双蕾,蒋云霞,等. 从脾论治少肌性肥胖的相关性探讨 [J]. 中华中医药杂志, 2020, 35 (10): 4911-4913.</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[19] 杜来义,黄捷,汪桂青,等. 肌肉减少症的中西医诊治与探讨 [J]. 中医学报, 2020, 35 (07): 1420-1423.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[20] 王吴娇. 老年住院患者肌少症中医证型及相关因素研究[D]. 南京中医药大学, 2020.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[21] 宋沁泽,辛宝,党丽娜,等. 肌肉衰减症的中医食疗防治思路解析 [J]. 西部中医药, 2021, 34 (11): 103-105.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[22] 俞柏翎,李娟,叶茂盛,等. 肌肉减少症的中医病名探讨 [J]. 中华中医药杂志, 2022, 37 (10): 6105-6107.</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[23] 张禹杰,方淑蓓,岑俊,等. 中医药治疗肌少症的临床应用及治疗机制初探 [J]. 上海中医药杂志, 2022, 56 (12): 16-22.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[24] 魏巍,戚晓楠,谢鹏,等. 中医药治疗肌少症的方法及其作用机制研究最新进展 [J]. 世界中医药, 2024, 19 (20): 3191-3198+3202.</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[25] 张婷婷,王凤忠,谢梦洲,等. 补气健脾类原料及组方研究进展 [J]. 中国食物与营养, 2024, 30 (04): 58-64.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[26] 郭嘉羽， 于康， 李春微， 等. 肌肉衰减症筛查五项评分量表中文版的建立及其用于老年人肌肉衰减症筛查的多中心验证性研究. J 中华临床营养杂志, J Chinese Journal of Clinical Nutrition [J]. 2023, 31(2): 74-81.</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[27] 中国营养学会. 中国居民膳食指南（2022） [M]. 人民卫生出版社, 2022.</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[28] BEAR D E, LANGAN A, DIMIDI E, et al. β-Hydroxy-β-methylbutyrate and its impact on skeletal muscle mass and physical function in clinical practice: a systematic review and meta-analysis [J]. The American journal of clinical nutrition, 2019, 109(4): 1119-32.</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[29] LUO S, CHEN X, HOU L, et al. The relationship between sarcopenia and vitamin D levels in adults of different ethnicities: findings from the west China Health and Aging Trend Study [J]. The Journal of nutrition, health and aging, 2021, 25(7): 909-13. </w:t>
      </w:r>
    </w:p>
    <w:p>
      <w:pPr>
        <w:keepNext w:val="0"/>
        <w:keepLines w:val="0"/>
        <w:pageBreakBefore w:val="0"/>
        <w:widowControl w:val="0"/>
        <w:kinsoku/>
        <w:wordWrap/>
        <w:overflowPunct/>
        <w:topLinePunct w:val="0"/>
        <w:autoSpaceDE/>
        <w:autoSpaceDN/>
        <w:bidi w:val="0"/>
        <w:adjustRightInd w:val="0"/>
        <w:snapToGrid/>
        <w:spacing w:line="440" w:lineRule="exact"/>
        <w:ind w:left="0" w:hanging="424" w:hangingChars="177"/>
        <w:textAlignment w:val="auto"/>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[30]</w:t>
      </w:r>
      <w:r>
        <w:rPr>
          <w:rFonts w:hint="default"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 xml:space="preserve"> </w:t>
      </w:r>
      <w:r>
        <w:rPr>
          <w:rFonts w:hint="eastAsia" w:ascii="仿宋_GB2312" w:hAnsi="仿宋_GB2312" w:eastAsia="仿宋_GB2312" w:cs="仿宋_GB2312"/>
          <w:snapToGrid/>
          <w:color w:val="000000" w:themeColor="text1"/>
          <w:kern w:val="0"/>
          <w:sz w:val="24"/>
          <w:szCs w:val="24"/>
          <w:lang w:val="en-US" w:eastAsia="zh-CN" w:bidi="ar"/>
          <w14:textFill>
            <w14:solidFill>
              <w14:schemeClr w14:val="tx1"/>
            </w14:solidFill>
          </w14:textFill>
        </w:rPr>
        <w:t>CHANG M C, CHOO Y J. Effects of whey protein, leucine, and vitamin D supplementation in patients with sarcopenia: a systematic review and meta-analysis [J]. Nutrients, 2023, 15(3): 521.</w:t>
      </w:r>
    </w:p>
    <w:p>
      <w:pPr>
        <w:keepNext w:val="0"/>
        <w:keepLines w:val="0"/>
        <w:pageBreakBefore w:val="0"/>
        <w:widowControl w:val="0"/>
        <w:kinsoku/>
        <w:wordWrap/>
        <w:overflowPunct/>
        <w:topLinePunct w:val="0"/>
        <w:autoSpaceDE/>
        <w:autoSpaceDN/>
        <w:bidi w:val="0"/>
        <w:snapToGrid/>
        <w:spacing w:line="440" w:lineRule="exact"/>
        <w:textAlignment w:val="auto"/>
        <w:rPr>
          <w:rFonts w:hint="eastAsia" w:ascii="黑体" w:hAnsi="黑体" w:eastAsia="黑体"/>
          <w:b w:val="0"/>
          <w:bCs w:val="0"/>
          <w:sz w:val="72"/>
          <w:szCs w:val="72"/>
          <w:lang w:val="en-US" w:eastAsia="zh-CN"/>
        </w:rPr>
      </w:pPr>
      <w:r>
        <w:rPr>
          <w:rFonts w:hint="eastAsia" w:ascii="黑体" w:hAnsi="黑体" w:eastAsia="黑体"/>
          <w:b w:val="0"/>
          <w:bCs w:val="0"/>
          <w:sz w:val="32"/>
          <w:szCs w:val="32"/>
          <w:lang w:val="en-US" w:eastAsia="zh-CN"/>
        </w:rPr>
        <w:br w:type="page"/>
      </w:r>
    </w:p>
    <w:p>
      <w:pPr>
        <w:pStyle w:val="3"/>
        <w:snapToGrid/>
        <w:spacing w:before="0" w:after="0" w:line="540" w:lineRule="exact"/>
        <w:ind w:firstLine="640" w:firstLineChars="200"/>
        <w:rPr>
          <w:rFonts w:hint="default" w:ascii="黑体" w:hAnsi="黑体" w:eastAsia="黑体"/>
          <w:b w:val="0"/>
          <w:bCs w:val="0"/>
          <w:sz w:val="32"/>
          <w:szCs w:val="32"/>
          <w:lang w:val="en-US" w:eastAsia="zh-CN"/>
        </w:rPr>
      </w:pPr>
      <w:r>
        <w:rPr>
          <w:rFonts w:hint="eastAsia" w:ascii="黑体" w:hAnsi="黑体" w:eastAsia="黑体"/>
          <w:b w:val="0"/>
          <w:bCs w:val="0"/>
          <w:sz w:val="32"/>
          <w:szCs w:val="32"/>
          <w:lang w:val="en-US" w:eastAsia="zh-CN"/>
        </w:rPr>
        <w:t>七、编制人员</w:t>
      </w:r>
    </w:p>
    <w:p>
      <w:pPr>
        <w:widowControl/>
        <w:spacing w:line="540" w:lineRule="exact"/>
        <w:ind w:firstLine="642" w:firstLineChars="200"/>
        <w:jc w:val="center"/>
        <w:rPr>
          <w:rFonts w:hint="eastAsia" w:ascii="Times New Roman" w:hAnsi="Times New Roman" w:eastAsia="仿宋_GB2312" w:cs="仿宋_GB2312"/>
          <w:b/>
          <w:bCs/>
          <w:snapToGrid w:val="0"/>
          <w:color w:val="000000" w:themeColor="text1"/>
          <w:sz w:val="32"/>
          <w:szCs w:val="32"/>
          <w:lang w:bidi="ar"/>
          <w14:textFill>
            <w14:solidFill>
              <w14:schemeClr w14:val="tx1"/>
            </w14:solidFill>
          </w14:textFill>
          <w14:ligatures w14:val="none"/>
        </w:rPr>
      </w:pPr>
      <w:r>
        <w:rPr>
          <w:rFonts w:hint="eastAsia" w:ascii="Times New Roman" w:hAnsi="Times New Roman" w:eastAsia="仿宋_GB2312" w:cs="仿宋_GB2312"/>
          <w:b/>
          <w:bCs/>
          <w:snapToGrid w:val="0"/>
          <w:color w:val="000000" w:themeColor="text1"/>
          <w:sz w:val="32"/>
          <w:szCs w:val="32"/>
          <w:lang w:bidi="ar"/>
          <w14:textFill>
            <w14:solidFill>
              <w14:schemeClr w14:val="tx1"/>
            </w14:solidFill>
          </w14:textFill>
          <w14:ligatures w14:val="none"/>
        </w:rPr>
        <w:t>成人</w:t>
      </w:r>
      <w:r>
        <w:rPr>
          <w:rFonts w:hint="eastAsia" w:ascii="Times New Roman" w:hAnsi="Times New Roman" w:eastAsia="仿宋_GB2312" w:cs="仿宋_GB2312"/>
          <w:b/>
          <w:bCs/>
          <w:snapToGrid w:val="0"/>
          <w:color w:val="000000" w:themeColor="text1"/>
          <w:sz w:val="32"/>
          <w:szCs w:val="32"/>
          <w:lang w:val="en-US" w:eastAsia="zh-CN" w:bidi="ar"/>
          <w14:textFill>
            <w14:solidFill>
              <w14:schemeClr w14:val="tx1"/>
            </w14:solidFill>
          </w14:textFill>
          <w14:ligatures w14:val="none"/>
        </w:rPr>
        <w:t>肌少症</w:t>
      </w:r>
      <w:r>
        <w:rPr>
          <w:rFonts w:hint="eastAsia" w:ascii="Times New Roman" w:hAnsi="Times New Roman" w:eastAsia="仿宋_GB2312" w:cs="仿宋_GB2312"/>
          <w:b/>
          <w:bCs/>
          <w:snapToGrid w:val="0"/>
          <w:color w:val="000000" w:themeColor="text1"/>
          <w:sz w:val="32"/>
          <w:szCs w:val="32"/>
          <w:lang w:bidi="ar"/>
          <w14:textFill>
            <w14:solidFill>
              <w14:schemeClr w14:val="tx1"/>
            </w14:solidFill>
          </w14:textFill>
          <w14:ligatures w14:val="none"/>
        </w:rPr>
        <w:t>食养指南起草组成员</w:t>
      </w:r>
    </w:p>
    <w:tbl>
      <w:tblPr>
        <w:tblStyle w:val="22"/>
        <w:tblW w:w="8691" w:type="dxa"/>
        <w:tblInd w:w="-11" w:type="dxa"/>
        <w:tblLayout w:type="autofit"/>
        <w:tblCellMar>
          <w:top w:w="0" w:type="dxa"/>
          <w:left w:w="108" w:type="dxa"/>
          <w:bottom w:w="0" w:type="dxa"/>
          <w:right w:w="108" w:type="dxa"/>
        </w:tblCellMar>
      </w:tblPr>
      <w:tblGrid>
        <w:gridCol w:w="1579"/>
        <w:gridCol w:w="2685"/>
        <w:gridCol w:w="4427"/>
      </w:tblGrid>
      <w:tr>
        <w:tblPrEx>
          <w:tblCellMar>
            <w:top w:w="0" w:type="dxa"/>
            <w:left w:w="108" w:type="dxa"/>
            <w:bottom w:w="0" w:type="dxa"/>
            <w:right w:w="108" w:type="dxa"/>
          </w:tblCellMar>
        </w:tblPrEx>
        <w:trPr>
          <w:trHeight w:val="397" w:hRule="exact"/>
          <w:tblHeader/>
        </w:trPr>
        <w:tc>
          <w:tcPr>
            <w:tcW w:w="1579"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t>姓名</w:t>
            </w:r>
          </w:p>
        </w:tc>
        <w:tc>
          <w:tcPr>
            <w:tcW w:w="2685"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default" w:ascii="Times New Roman" w:hAnsi="Times New Roman" w:eastAsia="仿宋_GB2312" w:cs="仿宋_GB2312"/>
                <w:b/>
                <w:bCs/>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t>职称</w:t>
            </w:r>
          </w:p>
        </w:tc>
        <w:tc>
          <w:tcPr>
            <w:tcW w:w="4427"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t>单位</w:t>
            </w:r>
          </w:p>
        </w:tc>
      </w:tr>
      <w:tr>
        <w:tblPrEx>
          <w:tblCellMar>
            <w:top w:w="0" w:type="dxa"/>
            <w:left w:w="108" w:type="dxa"/>
            <w:bottom w:w="0" w:type="dxa"/>
            <w:right w:w="108" w:type="dxa"/>
          </w:tblCellMar>
        </w:tblPrEx>
        <w:trPr>
          <w:trHeight w:val="397" w:hRule="exact"/>
        </w:trPr>
        <w:tc>
          <w:tcPr>
            <w:tcW w:w="8691" w:type="dxa"/>
            <w:gridSpan w:val="3"/>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t>参编专家</w:t>
            </w:r>
          </w:p>
        </w:tc>
      </w:tr>
      <w:tr>
        <w:tblPrEx>
          <w:tblCellMar>
            <w:top w:w="0" w:type="dxa"/>
            <w:left w:w="108" w:type="dxa"/>
            <w:bottom w:w="0" w:type="dxa"/>
            <w:right w:w="108" w:type="dxa"/>
          </w:tblCellMar>
        </w:tblPrEx>
        <w:trPr>
          <w:trHeight w:val="389"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pPr>
            <w:bookmarkStart w:id="17" w:name="_Hlk148558851"/>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孙建琴</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教授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复旦大学附属华东医院</w:t>
            </w:r>
          </w:p>
        </w:tc>
      </w:tr>
      <w:bookmarkEnd w:id="17"/>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杨月欣</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研究员</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中国营养学会</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马爱国</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教授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中国营养学会</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何  梅</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研究员</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中国营养学会老年营养分会</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沈秀华</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教授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highlight w:val="none"/>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上海交通大学医学院营养系</w:t>
            </w:r>
          </w:p>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沈红艺</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教授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上海中医药大学</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韩军花</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研究员</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中国营养学会</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陈  洁</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主任医师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复旦大学附属华东医院</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任  茜</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主治医师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上海市第六人民医院临床营养科</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黄  磊</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主任医师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北京市疾病预防控制中心（原）</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王晓黎</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副秘书长</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上海市营养学会</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辛  宝</w:t>
            </w:r>
          </w:p>
        </w:tc>
        <w:tc>
          <w:tcPr>
            <w:tcW w:w="2685" w:type="dxa"/>
            <w:tcBorders>
              <w:top w:val="nil"/>
              <w:left w:val="nil"/>
              <w:bottom w:val="single" w:color="auto" w:sz="8" w:space="0"/>
              <w:right w:val="single" w:color="auto" w:sz="8"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教授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陕西中医药大学</w:t>
            </w: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公共卫生学院</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李洪梅</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研究员</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中国中医科学院中药研究所</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袁武科</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实习研究员</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复旦大学附属华东医院</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陈艳秋</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主任医师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b w:val="0"/>
                <w:bCs w:val="0"/>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复旦大学附属华东医院</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魏九玲</w:t>
            </w:r>
          </w:p>
        </w:tc>
        <w:tc>
          <w:tcPr>
            <w:tcW w:w="2685" w:type="dxa"/>
            <w:tcBorders>
              <w:top w:val="nil"/>
              <w:left w:val="nil"/>
              <w:bottom w:val="single" w:color="auto" w:sz="8" w:space="0"/>
              <w:right w:val="single" w:color="auto" w:sz="8"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助理研究员</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中国营养学会营养大数据和健康分会</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rPr>
              <w:t>毛绚霞</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讲师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b w:val="0"/>
                <w:bCs w:val="0"/>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上海交通大学医学院营养系</w:t>
            </w:r>
          </w:p>
        </w:tc>
      </w:tr>
      <w:tr>
        <w:tblPrEx>
          <w:tblCellMar>
            <w:top w:w="0" w:type="dxa"/>
            <w:left w:w="108" w:type="dxa"/>
            <w:bottom w:w="0" w:type="dxa"/>
            <w:right w:w="108" w:type="dxa"/>
          </w:tblCellMar>
        </w:tblPrEx>
        <w:trPr>
          <w:trHeight w:val="397" w:hRule="exact"/>
        </w:trPr>
        <w:tc>
          <w:tcPr>
            <w:tcW w:w="8691" w:type="dxa"/>
            <w:gridSpan w:val="3"/>
            <w:tcBorders>
              <w:top w:val="single" w:color="auto" w:sz="4"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pPr>
            <w:r>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t>审核专家</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杨晓光</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研究员</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中国疾病预防控制中心营养与健康所</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常翠青</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教授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北京大学第三医院</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柳  鹏</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主任医师</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北大人民医院</w:t>
            </w:r>
          </w:p>
        </w:tc>
      </w:tr>
      <w:tr>
        <w:tblPrEx>
          <w:tblCellMar>
            <w:top w:w="0" w:type="dxa"/>
            <w:left w:w="108" w:type="dxa"/>
            <w:bottom w:w="0" w:type="dxa"/>
            <w:right w:w="108" w:type="dxa"/>
          </w:tblCellMar>
        </w:tblPrEx>
        <w:trPr>
          <w:trHeight w:val="397" w:hRule="exact"/>
        </w:trPr>
        <w:tc>
          <w:tcPr>
            <w:tcW w:w="8691" w:type="dxa"/>
            <w:gridSpan w:val="3"/>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b/>
                <w:bCs/>
                <w:snapToGrid w:val="0"/>
                <w:color w:val="000000" w:themeColor="text1"/>
                <w:sz w:val="24"/>
                <w:szCs w:val="24"/>
                <w:lang w:bidi="ar"/>
                <w14:textFill>
                  <w14:solidFill>
                    <w14:schemeClr w14:val="tx1"/>
                  </w14:solidFill>
                </w14:textFill>
                <w14:ligatures w14:val="none"/>
              </w:rPr>
              <w:t>秘书组</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郭春雷</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博士</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bidi="ar"/>
                <w14:textFill>
                  <w14:solidFill>
                    <w14:schemeClr w14:val="tx1"/>
                  </w14:solidFill>
                </w14:textFill>
                <w14:ligatures w14:val="none"/>
              </w:rPr>
              <w:t>中国营养学会老年营养分会</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虞培丽</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副部长</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中国营养学会科普与传播部</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牛</w:t>
            </w: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 xml:space="preserve">  </w:t>
            </w:r>
            <w:r>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杨</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博士</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上海交通大学医学院营养系</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茅晓蒙</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博士</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上海交通大学医学院营养系</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default"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顾秋云</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博士</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上海交通大学医学院营养系</w:t>
            </w:r>
          </w:p>
        </w:tc>
      </w:tr>
      <w:tr>
        <w:tblPrEx>
          <w:tblCellMar>
            <w:top w:w="0" w:type="dxa"/>
            <w:left w:w="108" w:type="dxa"/>
            <w:bottom w:w="0" w:type="dxa"/>
            <w:right w:w="108" w:type="dxa"/>
          </w:tblCellMar>
        </w:tblPrEx>
        <w:trPr>
          <w:trHeight w:val="397" w:hRule="exact"/>
        </w:trPr>
        <w:tc>
          <w:tcPr>
            <w:tcW w:w="1579"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许凯婕</w:t>
            </w:r>
          </w:p>
        </w:tc>
        <w:tc>
          <w:tcPr>
            <w:tcW w:w="268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博士</w:t>
            </w:r>
          </w:p>
        </w:tc>
        <w:tc>
          <w:tcPr>
            <w:tcW w:w="4427"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pPr>
            <w:r>
              <w:rPr>
                <w:rFonts w:hint="eastAsia" w:ascii="Times New Roman" w:hAnsi="Times New Roman" w:eastAsia="仿宋_GB2312" w:cs="仿宋_GB2312"/>
                <w:snapToGrid w:val="0"/>
                <w:color w:val="000000" w:themeColor="text1"/>
                <w:sz w:val="24"/>
                <w:szCs w:val="24"/>
                <w:lang w:val="en-US" w:eastAsia="zh-CN" w:bidi="ar"/>
                <w14:textFill>
                  <w14:solidFill>
                    <w14:schemeClr w14:val="tx1"/>
                  </w14:solidFill>
                </w14:textFill>
                <w14:ligatures w14:val="none"/>
              </w:rPr>
              <w:t>上海交通大学医学院营养系</w:t>
            </w:r>
          </w:p>
        </w:tc>
      </w:tr>
    </w:tbl>
    <w:p>
      <w:pPr>
        <w:rPr>
          <w:rFonts w:hint="default" w:eastAsia="仿宋_GB2312" w:cs="仿宋_GB2312"/>
          <w:snapToGrid w:val="0"/>
          <w:color w:val="000000" w:themeColor="text1"/>
          <w:sz w:val="24"/>
          <w:szCs w:val="24"/>
          <w:highlight w:val="yellow"/>
          <w:lang w:val="en-US" w:eastAsia="zh-CN" w:bidi="ar"/>
          <w14:textFill>
            <w14:solidFill>
              <w14:schemeClr w14:val="tx1"/>
            </w14:solidFill>
          </w14:textFill>
          <w14:ligatures w14:val="none"/>
        </w:rPr>
      </w:pPr>
    </w:p>
    <w:p>
      <w:pPr>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华文仿宋">
    <w:altName w:val="汉仪仿宋简"/>
    <w:panose1 w:val="02010600040101010101"/>
    <w:charset w:val="86"/>
    <w:family w:val="auto"/>
    <w:pitch w:val="default"/>
    <w:sig w:usb0="00000000" w:usb1="00000000" w:usb2="00000010" w:usb3="00000000" w:csb0="0004009F" w:csb1="0000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D79E1"/>
    <w:multiLevelType w:val="singleLevel"/>
    <w:tmpl w:val="5FBD79E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d5228c39-2362-44c3-83ff-2809762a16b6"/>
  </w:docVars>
  <w:rsids>
    <w:rsidRoot w:val="2F871FD2"/>
    <w:rsid w:val="00084F44"/>
    <w:rsid w:val="00092A0D"/>
    <w:rsid w:val="000F2B08"/>
    <w:rsid w:val="00110AAB"/>
    <w:rsid w:val="00212C5F"/>
    <w:rsid w:val="00307129"/>
    <w:rsid w:val="003B0DA0"/>
    <w:rsid w:val="004A5C89"/>
    <w:rsid w:val="00605B55"/>
    <w:rsid w:val="006C5E44"/>
    <w:rsid w:val="006D70D2"/>
    <w:rsid w:val="00712A9B"/>
    <w:rsid w:val="007802EC"/>
    <w:rsid w:val="00786F61"/>
    <w:rsid w:val="007A2C06"/>
    <w:rsid w:val="007D1EAE"/>
    <w:rsid w:val="008473BB"/>
    <w:rsid w:val="008D7434"/>
    <w:rsid w:val="00931FD9"/>
    <w:rsid w:val="00933BCF"/>
    <w:rsid w:val="00965157"/>
    <w:rsid w:val="00BD1285"/>
    <w:rsid w:val="00C23AF6"/>
    <w:rsid w:val="00C76020"/>
    <w:rsid w:val="00D032CF"/>
    <w:rsid w:val="00D73C8E"/>
    <w:rsid w:val="00DC3220"/>
    <w:rsid w:val="00E20B59"/>
    <w:rsid w:val="00E40875"/>
    <w:rsid w:val="00EE6CBB"/>
    <w:rsid w:val="00F00730"/>
    <w:rsid w:val="00F12A1D"/>
    <w:rsid w:val="00F37701"/>
    <w:rsid w:val="00F91122"/>
    <w:rsid w:val="018E0063"/>
    <w:rsid w:val="01914F7F"/>
    <w:rsid w:val="027F2F56"/>
    <w:rsid w:val="030A6CC4"/>
    <w:rsid w:val="042E7053"/>
    <w:rsid w:val="04FA6D62"/>
    <w:rsid w:val="055E4753"/>
    <w:rsid w:val="08842483"/>
    <w:rsid w:val="0C44122D"/>
    <w:rsid w:val="0CED7EF3"/>
    <w:rsid w:val="0D786A05"/>
    <w:rsid w:val="11623E0A"/>
    <w:rsid w:val="11C406CC"/>
    <w:rsid w:val="15EE14B4"/>
    <w:rsid w:val="182932F0"/>
    <w:rsid w:val="1BB61B06"/>
    <w:rsid w:val="1BF33642"/>
    <w:rsid w:val="1E3321C1"/>
    <w:rsid w:val="1FE354E9"/>
    <w:rsid w:val="21EC0494"/>
    <w:rsid w:val="23EF2A76"/>
    <w:rsid w:val="283B3C7D"/>
    <w:rsid w:val="2AFE53A9"/>
    <w:rsid w:val="2DB433BF"/>
    <w:rsid w:val="2E5160E7"/>
    <w:rsid w:val="2EE31FF3"/>
    <w:rsid w:val="2F871FD2"/>
    <w:rsid w:val="2FFF1CEB"/>
    <w:rsid w:val="31224C08"/>
    <w:rsid w:val="318D26EA"/>
    <w:rsid w:val="32E441BC"/>
    <w:rsid w:val="32F43124"/>
    <w:rsid w:val="32FE7E60"/>
    <w:rsid w:val="33FB11A0"/>
    <w:rsid w:val="346A32CF"/>
    <w:rsid w:val="35EA49ED"/>
    <w:rsid w:val="37C242B9"/>
    <w:rsid w:val="386D2D0F"/>
    <w:rsid w:val="3A8D7315"/>
    <w:rsid w:val="3B815CE8"/>
    <w:rsid w:val="3C3C5C63"/>
    <w:rsid w:val="4053FE9E"/>
    <w:rsid w:val="4220550C"/>
    <w:rsid w:val="44531571"/>
    <w:rsid w:val="459716D9"/>
    <w:rsid w:val="46470B10"/>
    <w:rsid w:val="46752F28"/>
    <w:rsid w:val="4B6732F1"/>
    <w:rsid w:val="4D2F582F"/>
    <w:rsid w:val="4D776A28"/>
    <w:rsid w:val="4FAB0EB1"/>
    <w:rsid w:val="51CE536A"/>
    <w:rsid w:val="53FF384B"/>
    <w:rsid w:val="55245CBF"/>
    <w:rsid w:val="552F56C1"/>
    <w:rsid w:val="56163D0B"/>
    <w:rsid w:val="561A25DF"/>
    <w:rsid w:val="56B1674B"/>
    <w:rsid w:val="58A82D40"/>
    <w:rsid w:val="5999357F"/>
    <w:rsid w:val="5EF98E64"/>
    <w:rsid w:val="5F8C9BBC"/>
    <w:rsid w:val="5FB75358"/>
    <w:rsid w:val="5FF5A79A"/>
    <w:rsid w:val="61DBC63E"/>
    <w:rsid w:val="64CA41AB"/>
    <w:rsid w:val="65027D2B"/>
    <w:rsid w:val="67D5084D"/>
    <w:rsid w:val="68CBADCE"/>
    <w:rsid w:val="6910096E"/>
    <w:rsid w:val="69EC2CA0"/>
    <w:rsid w:val="6AD330EC"/>
    <w:rsid w:val="6B754F7B"/>
    <w:rsid w:val="6BEEE362"/>
    <w:rsid w:val="6C4A1C4D"/>
    <w:rsid w:val="6DEF4681"/>
    <w:rsid w:val="6DF9449D"/>
    <w:rsid w:val="6F5B3598"/>
    <w:rsid w:val="6F7C1660"/>
    <w:rsid w:val="6FFF1F8D"/>
    <w:rsid w:val="71FBFFB0"/>
    <w:rsid w:val="73FFD037"/>
    <w:rsid w:val="772D2271"/>
    <w:rsid w:val="773FED9E"/>
    <w:rsid w:val="77824DCD"/>
    <w:rsid w:val="77FF8AD7"/>
    <w:rsid w:val="78E46902"/>
    <w:rsid w:val="79E6592B"/>
    <w:rsid w:val="7AF35258"/>
    <w:rsid w:val="7B585802"/>
    <w:rsid w:val="7B5D6C97"/>
    <w:rsid w:val="7BFEB4C2"/>
    <w:rsid w:val="7C2B0899"/>
    <w:rsid w:val="7D7494A9"/>
    <w:rsid w:val="7DC51E91"/>
    <w:rsid w:val="7DFF10C9"/>
    <w:rsid w:val="7E2551D2"/>
    <w:rsid w:val="7ECF52EF"/>
    <w:rsid w:val="7EFF538E"/>
    <w:rsid w:val="7FAC3F95"/>
    <w:rsid w:val="7FED4D31"/>
    <w:rsid w:val="7FFD7B01"/>
    <w:rsid w:val="86FF9169"/>
    <w:rsid w:val="8DDFD484"/>
    <w:rsid w:val="93FFF8C0"/>
    <w:rsid w:val="9F61AF25"/>
    <w:rsid w:val="AFFF40B9"/>
    <w:rsid w:val="B5DFBD51"/>
    <w:rsid w:val="BACDCA6E"/>
    <w:rsid w:val="BFBD19C5"/>
    <w:rsid w:val="CF1DF6FE"/>
    <w:rsid w:val="CF5FC357"/>
    <w:rsid w:val="CFFBB992"/>
    <w:rsid w:val="DBBD5914"/>
    <w:rsid w:val="DF8CDBD2"/>
    <w:rsid w:val="E437A32A"/>
    <w:rsid w:val="E7F981B8"/>
    <w:rsid w:val="E9FC650D"/>
    <w:rsid w:val="EB7D4FD9"/>
    <w:rsid w:val="EFA8C9C1"/>
    <w:rsid w:val="F38D895D"/>
    <w:rsid w:val="F3AB7181"/>
    <w:rsid w:val="F3FF0B56"/>
    <w:rsid w:val="F6FD1EAC"/>
    <w:rsid w:val="F779679D"/>
    <w:rsid w:val="F93D8344"/>
    <w:rsid w:val="FA7E6E84"/>
    <w:rsid w:val="FAF718BC"/>
    <w:rsid w:val="FB7E66FF"/>
    <w:rsid w:val="FCC762D6"/>
    <w:rsid w:val="FCF6734A"/>
    <w:rsid w:val="FD8E42D9"/>
    <w:rsid w:val="FDFBD5AF"/>
    <w:rsid w:val="FDFD4A73"/>
    <w:rsid w:val="FE3A725E"/>
    <w:rsid w:val="FF55DF91"/>
    <w:rsid w:val="FF7F30ED"/>
    <w:rsid w:val="FFCF3B18"/>
    <w:rsid w:val="FFE04DD1"/>
    <w:rsid w:val="FFFFD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宋体" w:asciiTheme="minorHAnsi" w:hAnsiTheme="minorHAnsi" w:eastAsiaTheme="minorEastAsia"/>
      <w:sz w:val="21"/>
      <w:szCs w:val="21"/>
      <w:lang w:val="en-US" w:eastAsia="zh-CN" w:bidi="ar-SA"/>
    </w:rPr>
  </w:style>
  <w:style w:type="paragraph" w:styleId="3">
    <w:name w:val="heading 1"/>
    <w:basedOn w:val="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val="en-US" w:eastAsia="zh-CN" w:bidi="ar-SA"/>
    </w:rPr>
  </w:style>
  <w:style w:type="paragraph" w:styleId="4">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val="en-US" w:eastAsia="zh-CN" w:bidi="ar-SA"/>
    </w:rPr>
  </w:style>
  <w:style w:type="paragraph" w:styleId="2">
    <w:name w:val="heading 3"/>
    <w:basedOn w:val="1"/>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val="en-US" w:eastAsia="zh-CN"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val="en-US" w:eastAsia="zh-CN"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val="en-US" w:eastAsia="zh-CN" w:bidi="ar-SA"/>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9"/>
    <w:unhideWhenUsed/>
    <w:qFormat/>
    <w:uiPriority w:val="99"/>
    <w:pPr>
      <w:widowControl/>
      <w:jc w:val="left"/>
    </w:pPr>
    <w:rPr>
      <w:rFonts w:ascii="Calibri" w:hAnsi="Calibri" w:eastAsia="宋体" w:cs="Calibri"/>
    </w:rPr>
  </w:style>
  <w:style w:type="paragraph" w:styleId="12">
    <w:name w:val="Body Text"/>
    <w:qFormat/>
    <w:uiPriority w:val="1"/>
    <w:pPr>
      <w:widowControl w:val="0"/>
      <w:adjustRightInd w:val="0"/>
      <w:spacing w:before="100" w:after="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13">
    <w:name w:val="toc 3"/>
    <w:basedOn w:val="1"/>
    <w:next w:val="1"/>
    <w:qFormat/>
    <w:uiPriority w:val="0"/>
    <w:pPr>
      <w:ind w:left="840" w:leftChars="400"/>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Subtitle"/>
    <w:qFormat/>
    <w:uiPriority w:val="0"/>
    <w:pPr>
      <w:widowControl w:val="0"/>
      <w:adjustRightInd w:val="0"/>
      <w:spacing w:before="100" w:after="100"/>
      <w:jc w:val="center"/>
    </w:pPr>
    <w:rPr>
      <w:rFonts w:ascii="Times New Roman" w:hAnsi="Times New Roman" w:eastAsia="黑体" w:cs="Times New Roman"/>
      <w:kern w:val="28"/>
      <w:sz w:val="32"/>
      <w:szCs w:val="24"/>
      <w:lang w:val="en-US" w:eastAsia="zh-CN" w:bidi="ar-SA"/>
    </w:rPr>
  </w:style>
  <w:style w:type="paragraph" w:styleId="18">
    <w:name w:val="toc 2"/>
    <w:basedOn w:val="1"/>
    <w:next w:val="1"/>
    <w:qFormat/>
    <w:uiPriority w:val="0"/>
    <w:pPr>
      <w:ind w:left="420" w:leftChars="200"/>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paragraph" w:styleId="21">
    <w:name w:val="annotation subject"/>
    <w:basedOn w:val="11"/>
    <w:next w:val="11"/>
    <w:link w:val="30"/>
    <w:qFormat/>
    <w:uiPriority w:val="0"/>
    <w:pPr>
      <w:widowControl w:val="0"/>
    </w:pPr>
    <w:rPr>
      <w:rFonts w:cs="宋体" w:asciiTheme="minorHAnsi" w:hAnsiTheme="minorHAnsi" w:eastAsiaTheme="minorEastAsia"/>
      <w:b/>
      <w:bCs/>
    </w:rPr>
  </w:style>
  <w:style w:type="table" w:styleId="23">
    <w:name w:val="Table Grid"/>
    <w:basedOn w:val="22"/>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basedOn w:val="24"/>
    <w:qFormat/>
    <w:uiPriority w:val="0"/>
    <w:rPr>
      <w:color w:val="0000FF"/>
      <w:u w:val="single"/>
    </w:rPr>
  </w:style>
  <w:style w:type="character" w:styleId="27">
    <w:name w:val="annotation reference"/>
    <w:basedOn w:val="24"/>
    <w:qFormat/>
    <w:uiPriority w:val="0"/>
    <w:rPr>
      <w:sz w:val="21"/>
      <w:szCs w:val="21"/>
    </w:rPr>
  </w:style>
  <w:style w:type="paragraph" w:customStyle="1" w:styleId="28">
    <w:name w:val="段"/>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29">
    <w:name w:val="批注文字 字符"/>
    <w:basedOn w:val="24"/>
    <w:link w:val="11"/>
    <w:qFormat/>
    <w:uiPriority w:val="99"/>
    <w:rPr>
      <w:rFonts w:ascii="Calibri" w:hAnsi="Calibri" w:cs="Calibri"/>
      <w:sz w:val="21"/>
      <w:szCs w:val="21"/>
    </w:rPr>
  </w:style>
  <w:style w:type="character" w:customStyle="1" w:styleId="30">
    <w:name w:val="批注主题 字符"/>
    <w:basedOn w:val="29"/>
    <w:link w:val="21"/>
    <w:qFormat/>
    <w:uiPriority w:val="0"/>
    <w:rPr>
      <w:rFonts w:cs="宋体" w:asciiTheme="minorHAnsi" w:hAnsiTheme="minorHAnsi" w:eastAsiaTheme="minorEastAsia"/>
      <w:b/>
      <w:bCs/>
      <w:sz w:val="21"/>
      <w:szCs w:val="21"/>
    </w:rPr>
  </w:style>
  <w:style w:type="paragraph" w:customStyle="1" w:styleId="31">
    <w:name w:val="EndNote Bibliography"/>
    <w:basedOn w:val="1"/>
    <w:qFormat/>
    <w:uiPriority w:val="0"/>
    <w:rPr>
      <w:rFonts w:ascii="Calibri" w:hAnsi="Calibri" w:cs="Calibri"/>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4371</Words>
  <Characters>5546</Characters>
  <Lines>36</Lines>
  <Paragraphs>10</Paragraphs>
  <TotalTime>1</TotalTime>
  <ScaleCrop>false</ScaleCrop>
  <LinksUpToDate>false</LinksUpToDate>
  <CharactersWithSpaces>5703</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2025-03-03T12:02:00Z</dcterms:created>
  <dc:creator>黄磊</dc:creator>
  <cp:lastModifiedBy>胡红</cp:lastModifiedBy>
  <cp:lastPrinted>2026-01-15T07:38:00Z</cp:lastPrinted>
  <dcterms:modified xsi:type="dcterms:W3CDTF">2026-01-15T17:39:37Z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80AF99F15C664D40839D7C8E9E00BC22_13</vt:lpwstr>
  </property>
  <property fmtid="{D5CDD505-2E9C-101B-9397-08002B2CF9AE}" pid="4" name="KSOTemplateDocerSaveRecord">
    <vt:lpwstr>eyJoZGlkIjoiMzEwNTM5NzYwMDRjMzkwZTVkZjY2ODkwMGIxNGU0OTUiLCJ1c2VySWQiOiI0NTU4NDU2ODEifQ==</vt:lpwstr>
  </property>
</Properties>
</file>