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附件4</w:t>
      </w:r>
    </w:p>
    <w:p>
      <w:pPr>
        <w:spacing w:line="560" w:lineRule="exact"/>
        <w:jc w:val="center"/>
        <w:rPr>
          <w:rFonts w:hint="default" w:ascii="Times New Roman" w:hAnsi="Times New Roman" w:cs="Times New Roman"/>
          <w:b/>
          <w:bCs/>
          <w:kern w:val="0"/>
          <w:sz w:val="28"/>
          <w:szCs w:val="28"/>
        </w:rPr>
      </w:pPr>
      <w:r>
        <w:rPr>
          <w:rFonts w:hint="default" w:ascii="Times New Roman" w:hAnsi="Times New Roman" w:cs="Times New Roman"/>
          <w:b/>
          <w:bCs/>
          <w:kern w:val="0"/>
          <w:sz w:val="28"/>
          <w:szCs w:val="28"/>
        </w:rPr>
        <w:t>重大活动餐饮服务提供者食品安全现场检查评分表（参考）</w:t>
      </w:r>
    </w:p>
    <w:p>
      <w:pPr>
        <w:rPr>
          <w:rFonts w:hint="default" w:ascii="Times New Roman" w:hAnsi="Times New Roman" w:cs="Times New Roman"/>
        </w:rPr>
      </w:pPr>
    </w:p>
    <w:tbl>
      <w:tblPr>
        <w:tblStyle w:val="5"/>
        <w:tblW w:w="14867" w:type="dxa"/>
        <w:tblInd w:w="-34" w:type="dxa"/>
        <w:tblLayout w:type="fixed"/>
        <w:tblCellMar>
          <w:top w:w="0" w:type="dxa"/>
          <w:left w:w="108" w:type="dxa"/>
          <w:bottom w:w="0" w:type="dxa"/>
          <w:right w:w="108" w:type="dxa"/>
        </w:tblCellMar>
      </w:tblPr>
      <w:tblGrid>
        <w:gridCol w:w="1276"/>
        <w:gridCol w:w="709"/>
        <w:gridCol w:w="9639"/>
        <w:gridCol w:w="1134"/>
        <w:gridCol w:w="720"/>
        <w:gridCol w:w="1389"/>
      </w:tblGrid>
      <w:tr>
        <w:tblPrEx>
          <w:tblLayout w:type="fixed"/>
          <w:tblCellMar>
            <w:top w:w="0" w:type="dxa"/>
            <w:left w:w="108" w:type="dxa"/>
            <w:bottom w:w="0" w:type="dxa"/>
            <w:right w:w="108" w:type="dxa"/>
          </w:tblCellMar>
        </w:tblPrEx>
        <w:trPr>
          <w:trHeight w:val="499" w:hRule="atLeast"/>
        </w:trPr>
        <w:tc>
          <w:tcPr>
            <w:tcW w:w="14867"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hint="default" w:ascii="Times New Roman" w:hAnsi="Times New Roman" w:cs="Times New Roman"/>
                <w:b/>
                <w:bCs/>
                <w:kern w:val="0"/>
                <w:sz w:val="22"/>
                <w:szCs w:val="22"/>
              </w:rPr>
            </w:pPr>
            <w:r>
              <w:rPr>
                <w:rFonts w:hint="default" w:ascii="Times New Roman" w:hAnsi="Times New Roman" w:cs="Times New Roman"/>
                <w:b/>
                <w:bCs/>
                <w:kern w:val="0"/>
                <w:sz w:val="22"/>
                <w:szCs w:val="22"/>
              </w:rPr>
              <w:t xml:space="preserve">餐饮服务提供者名称：                                  食品经营许可证号：           </w:t>
            </w:r>
          </w:p>
        </w:tc>
      </w:tr>
      <w:tr>
        <w:tblPrEx>
          <w:tblLayout w:type="fixed"/>
          <w:tblCellMar>
            <w:top w:w="0" w:type="dxa"/>
            <w:left w:w="108" w:type="dxa"/>
            <w:bottom w:w="0" w:type="dxa"/>
            <w:right w:w="108" w:type="dxa"/>
          </w:tblCellMar>
        </w:tblPrEx>
        <w:trPr>
          <w:trHeight w:val="499" w:hRule="atLeast"/>
        </w:trPr>
        <w:tc>
          <w:tcPr>
            <w:tcW w:w="14867"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left"/>
              <w:rPr>
                <w:rFonts w:hint="default" w:ascii="Times New Roman" w:hAnsi="Times New Roman" w:cs="Times New Roman"/>
                <w:b/>
                <w:bCs/>
                <w:kern w:val="0"/>
                <w:sz w:val="22"/>
                <w:szCs w:val="22"/>
              </w:rPr>
            </w:pPr>
            <w:r>
              <w:rPr>
                <w:rFonts w:hint="default" w:ascii="Times New Roman" w:hAnsi="Times New Roman" w:cs="Times New Roman"/>
                <w:b/>
                <w:bCs/>
                <w:kern w:val="0"/>
                <w:sz w:val="22"/>
                <w:szCs w:val="22"/>
              </w:rPr>
              <w:t xml:space="preserve">主体业态：□社会餐饮、□集中供餐单位食堂     </w:t>
            </w:r>
            <w:r>
              <w:rPr>
                <w:rFonts w:hint="default" w:ascii="Times New Roman" w:hAnsi="Times New Roman" w:cs="Times New Roman"/>
                <w:b/>
                <w:bCs/>
                <w:kern w:val="0"/>
                <w:sz w:val="22"/>
              </w:rPr>
              <w:t xml:space="preserve">      </w:t>
            </w:r>
            <w:r>
              <w:rPr>
                <w:rFonts w:hint="default" w:ascii="Times New Roman" w:hAnsi="Times New Roman" w:cs="Times New Roman"/>
                <w:b/>
                <w:bCs/>
                <w:kern w:val="0"/>
                <w:sz w:val="22"/>
                <w:szCs w:val="22"/>
              </w:rPr>
              <w:t xml:space="preserve">   规模：□特大型、□大型、□中型、□小型、□微型</w:t>
            </w:r>
          </w:p>
        </w:tc>
      </w:tr>
      <w:tr>
        <w:tblPrEx>
          <w:tblLayout w:type="fixed"/>
          <w:tblCellMar>
            <w:top w:w="0" w:type="dxa"/>
            <w:left w:w="108" w:type="dxa"/>
            <w:bottom w:w="0" w:type="dxa"/>
            <w:right w:w="108" w:type="dxa"/>
          </w:tblCellMar>
        </w:tblPrEx>
        <w:trPr>
          <w:trHeight w:val="499" w:hRule="atLeast"/>
        </w:trPr>
        <w:tc>
          <w:tcPr>
            <w:tcW w:w="14867"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hint="default" w:ascii="Times New Roman" w:hAnsi="Times New Roman" w:cs="Times New Roman"/>
                <w:b/>
                <w:bCs/>
                <w:kern w:val="0"/>
                <w:sz w:val="22"/>
                <w:szCs w:val="22"/>
              </w:rPr>
            </w:pPr>
            <w:r>
              <w:rPr>
                <w:rFonts w:hint="default" w:ascii="Times New Roman" w:hAnsi="Times New Roman" w:cs="Times New Roman"/>
                <w:b/>
                <w:bCs/>
                <w:kern w:val="0"/>
                <w:sz w:val="22"/>
                <w:szCs w:val="22"/>
              </w:rPr>
              <w:t>经营地址：</w:t>
            </w:r>
            <w:r>
              <w:rPr>
                <w:rFonts w:hint="default" w:ascii="Times New Roman" w:hAnsi="Times New Roman" w:cs="Times New Roman"/>
                <w:kern w:val="0"/>
                <w:sz w:val="22"/>
                <w:szCs w:val="22"/>
              </w:rPr>
              <w:t xml:space="preserve">                           </w:t>
            </w:r>
            <w:r>
              <w:rPr>
                <w:rFonts w:hint="default" w:ascii="Times New Roman" w:hAnsi="Times New Roman" w:cs="Times New Roman"/>
                <w:b/>
                <w:bCs/>
                <w:kern w:val="0"/>
                <w:sz w:val="22"/>
                <w:szCs w:val="22"/>
              </w:rPr>
              <w:t xml:space="preserve">   联系人：                      联系电话：</w:t>
            </w:r>
          </w:p>
        </w:tc>
      </w:tr>
      <w:tr>
        <w:tblPrEx>
          <w:tblLayout w:type="fixed"/>
          <w:tblCellMar>
            <w:top w:w="0" w:type="dxa"/>
            <w:left w:w="108" w:type="dxa"/>
            <w:bottom w:w="0" w:type="dxa"/>
            <w:right w:w="108" w:type="dxa"/>
          </w:tblCellMar>
        </w:tblPrEx>
        <w:trPr>
          <w:trHeight w:val="499" w:hRule="atLeast"/>
        </w:trPr>
        <w:tc>
          <w:tcPr>
            <w:tcW w:w="1276" w:type="dxa"/>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检查项目</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序号</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　</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检查结果</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分值</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
                <w:bCs/>
              </w:rPr>
            </w:pPr>
            <w:r>
              <w:rPr>
                <w:rFonts w:hint="default" w:ascii="Times New Roman" w:hAnsi="Times New Roman" w:cs="Times New Roman"/>
                <w:b/>
                <w:bCs/>
              </w:rPr>
              <w:t>扣分及说明</w:t>
            </w:r>
          </w:p>
        </w:tc>
      </w:tr>
      <w:tr>
        <w:tblPrEx>
          <w:tblLayout w:type="fixed"/>
          <w:tblCellMar>
            <w:top w:w="0" w:type="dxa"/>
            <w:left w:w="108" w:type="dxa"/>
            <w:bottom w:w="0" w:type="dxa"/>
            <w:right w:w="108" w:type="dxa"/>
          </w:tblCellMar>
        </w:tblPrEx>
        <w:trPr>
          <w:trHeight w:val="314" w:hRule="atLeast"/>
        </w:trPr>
        <w:tc>
          <w:tcPr>
            <w:tcW w:w="1276" w:type="dxa"/>
            <w:vMerge w:val="restart"/>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1、否决项</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未取得有效食品经营许可证或过期未延续。</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2109" w:type="dxa"/>
            <w:gridSpan w:val="2"/>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一票否决</w:t>
            </w:r>
          </w:p>
        </w:tc>
      </w:tr>
      <w:tr>
        <w:tblPrEx>
          <w:tblLayout w:type="fixed"/>
          <w:tblCellMar>
            <w:top w:w="0" w:type="dxa"/>
            <w:left w:w="108" w:type="dxa"/>
            <w:bottom w:w="0" w:type="dxa"/>
            <w:right w:w="108" w:type="dxa"/>
          </w:tblCellMar>
        </w:tblPrEx>
        <w:trPr>
          <w:trHeight w:val="362"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1年内发生食品安全事故造成人身伤害和较大社会负面影响。</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2109" w:type="dxa"/>
            <w:gridSpan w:val="2"/>
            <w:vMerge w:val="continue"/>
            <w:tcBorders>
              <w:top w:val="nil"/>
              <w:left w:val="nil"/>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68"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1年内食品抽检3批次不合格且被行政处罚、1年内3次因食品安全违法被行政处罚。</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2109" w:type="dxa"/>
            <w:gridSpan w:val="2"/>
            <w:vMerge w:val="continue"/>
            <w:tcBorders>
              <w:top w:val="nil"/>
              <w:left w:val="nil"/>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30"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主体被列入严重失信“黑名单”。</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2109" w:type="dxa"/>
            <w:gridSpan w:val="2"/>
            <w:vMerge w:val="continue"/>
            <w:tcBorders>
              <w:top w:val="nil"/>
              <w:left w:val="nil"/>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92" w:hRule="atLeast"/>
        </w:trPr>
        <w:tc>
          <w:tcPr>
            <w:tcW w:w="1276" w:type="dxa"/>
            <w:vMerge w:val="restart"/>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2、主体责任</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2.1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中型以上餐饮服务提供者依法配备食品安全员还应配备食品安全总监。</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53"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★2.2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建立并执行进货查验、食品加工制作、食品添加剂使用、食品留样、清洗消毒、餐厨废弃物处置、从业人员培训考核、食品安全信息追溯、投诉举报处理等食品安全制度。</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80"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2.3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在经营场所显著位置公示食品经营许可证、从业人员健康证。</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2"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★2.4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保持后厨卫生清洁，无有害生物活动痕迹、霉斑、污垢、积油、积水等情形。</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34" w:hRule="atLeast"/>
        </w:trPr>
        <w:tc>
          <w:tcPr>
            <w:tcW w:w="1276" w:type="dxa"/>
            <w:vMerge w:val="restart"/>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3、设施设备</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专间无明沟、地漏带水封、墙裙要上顶、门能自闭、空调应独立。</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83"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蔬菜、肉类、餐用具清洗池、生熟容器和工具分区分类并标识且按照规定使用。</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88"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配齐与经营相适应的消毒、保洁、留样设施设备。</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36"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冷藏（冻）设施正常运转，配备可正确指示内部温度的装置，确保贮存条件。</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57"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3.5</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盛放调味料的容器保持清洁，加膜加盖。</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7"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★3.6</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食品处理区配备脚踏式能自闭盖的餐厨废弃物存放容器。</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60"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★3.7</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所有管道（排水、燃气、空调等）与外界或天花板连接处孔洞封闭；与外界直接相通的通风口、换气窗外应加装防虫筛网、纱窗且无破损。</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02"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★3.8</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食品处理区、就餐区安装灭蝇灯，电击式灭蝇灯不得设置在食品加工制作上方。</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62" w:hRule="atLeast"/>
        </w:trPr>
        <w:tc>
          <w:tcPr>
            <w:tcW w:w="1276" w:type="dxa"/>
            <w:vMerge w:val="continue"/>
            <w:tcBorders>
              <w:top w:val="nil"/>
              <w:left w:val="single" w:color="auto" w:sz="4" w:space="0"/>
              <w:bottom w:val="nil"/>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★3.9</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人员、货物通道设有防鼠板不低于60cm，门缝小于6mm；排水管道出水口安装的篦子应使用金属材料制成，缝隙间距或网眼应小于10mm。</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61" w:hRule="atLeast"/>
        </w:trPr>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4、健康管理</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★4.1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从业人员取得有效健康证明按实际情况完成每日晨检并记录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166" w:hRule="atLeast"/>
        </w:trPr>
        <w:tc>
          <w:tcPr>
            <w:tcW w:w="127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4.2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从业人员穿戴清洁的工作衣帽，双手清洁，保持个人卫生</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28" w:hRule="atLeast"/>
        </w:trPr>
        <w:tc>
          <w:tcPr>
            <w:tcW w:w="127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4.3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对从业人员进行培训或考核（记录）。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7" w:hRule="atLeast"/>
        </w:trPr>
        <w:tc>
          <w:tcPr>
            <w:tcW w:w="1276" w:type="dxa"/>
            <w:vMerge w:val="restart"/>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5、原料把控</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不采购、贮存和使用国家禁止使用或来源不明的食品及原料、食品相关产品。</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24"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查验并留存供货商的资质（营业执照、食品经营许可证等）。</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00"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查验食材出厂检验合格证或其他合格证明并做到“货、票、证”同步。</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65"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原料库房是否通风、干燥并配备温湿度监测和处理设备</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2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★5.5</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原料贮存符合离墙离地等安全要求，库存食品、调料无“三无”产品。</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1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★5.6</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原料外包装标识符合要求，按照外包装标识的条件和要求规范贮存，及时清理变质或者超过保质期的食品并记录。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42"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★5.7</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冷冻（冷藏）原料、半成品和成品，分开存放且区分标识明显。</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★5.8</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食品添加剂专人专柜（位）保管，做到计量 使用、专册记录。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24"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★5.9</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食品及相关产品与有毒有害物质分开存放。</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14" w:hRule="atLeast"/>
        </w:trPr>
        <w:tc>
          <w:tcPr>
            <w:tcW w:w="1276" w:type="dxa"/>
            <w:vMerge w:val="restart"/>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6、加工制作</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冷荤类、冷加工糕点须专间制作；植物性性冷食、自制饮品、预包装食品拆封、分切、装盘、调味等应专间或专用操作区制作；专间不得放置无关物品。</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2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严格要求重大活动禁用、慎用食品类别。</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7"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烧熟煮透、熟食存放温度保持60以上，食用前存放时间不超过2小时。</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99"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菜品留样，每个品种至少125克，冷藏存放48小时以上，并由专人上锁保管。</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199"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6.5</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厨余垃圾及时清理、必要时对容器清洗消毒。</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45"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★6.6</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备餐场所、备餐人员个人卫生、盛装食品成品的容器和分派菜肴整理造型的工具、菜肴围边和盘花符合要求。</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13" w:hRule="atLeast"/>
        </w:trPr>
        <w:tc>
          <w:tcPr>
            <w:tcW w:w="1276" w:type="dxa"/>
            <w:vMerge w:val="restart"/>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7、清洗消毒</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★7.1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洗涤剂符合《食品安全国家标准 洗涤剂》（GB 14930.1—2022），消毒消毒剂符合《食品安全国家标准 消毒剂》（GB 14930.2—2012）并严格按照配比使用。</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777"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★7.2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餐用具清洗、化学消毒（一洗、二清、三消毒、四冲洗（流水））、热力消毒（一洗、二清、三冲洗（流水）、四消毒）；消毒后的餐饮具、盛放或接触直接入口食品的容器和工具放在专用的密闭保洁设施内。</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62"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★7.3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定位存放消毒后的餐饮具、盛放或接触直接入口食品的容器和工具在清洁、专用、密闭的保洁设施中，并有明显区分标识。</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3</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02"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7.4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定期对餐饮具清洗消毒设施设备进行清洁、维护并做好记录。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2</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24" w:hRule="atLeast"/>
        </w:trPr>
        <w:tc>
          <w:tcPr>
            <w:tcW w:w="1276" w:type="dxa"/>
            <w:vMerge w:val="restart"/>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8、宣传信息</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8.1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在就餐场所有“禁食、禁售”野生动物宣传。</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57"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8.2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在就餐场所有倡导“光盘行动”等制止餐饮浪费的宣传；在菜单中增加部分菜品的半份（或小份）菜的明码标价。</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11"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8.3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是否在醒目位置设置禁烟标识；或者设置吸烟区。</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58" w:hRule="atLeast"/>
        </w:trPr>
        <w:tc>
          <w:tcPr>
            <w:tcW w:w="1276" w:type="dxa"/>
            <w:vMerge w:val="restart"/>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eastAsia" w:ascii="Times New Roman" w:hAnsi="Times New Roman" w:eastAsia="宋体" w:cs="Times New Roman"/>
                <w:bCs/>
                <w:lang w:eastAsia="zh-CN"/>
              </w:rPr>
            </w:pPr>
            <w:r>
              <w:rPr>
                <w:rFonts w:hint="default" w:ascii="Times New Roman" w:hAnsi="Times New Roman" w:cs="Times New Roman"/>
                <w:bCs/>
              </w:rPr>
              <w:t>9、加分项</w:t>
            </w:r>
            <w:r>
              <w:rPr>
                <w:rFonts w:hint="eastAsia" w:ascii="Times New Roman" w:hAnsi="Times New Roman" w:cs="Times New Roman"/>
                <w:bCs/>
                <w:lang w:eastAsia="zh-CN"/>
              </w:rPr>
              <w:t>（学校食堂实行扣分制）</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9.1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实施“互联网+明厨亮灶+AI识别”是否在线正常运行。</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+10</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6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9.2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实现“餐饮阳光码”电子信息公示。</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+5</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26"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9.3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利用“重庆阳光食品”APP进行数字化管理晨检、食材、留样、陪餐、餐厨垃圾以及“日管控、周排查、月调度”并记录。</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+5</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08" w:hRule="atLeast"/>
        </w:trPr>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9.4</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及时处理“重庆阳光食品”APP提示的风险隐患，对监管部门或AI抓拍的风险隐患完成闭环整改。</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+5</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277" w:hRule="atLeast"/>
        </w:trPr>
        <w:tc>
          <w:tcPr>
            <w:tcW w:w="1276" w:type="dxa"/>
            <w:vMerge w:val="restart"/>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10、其他扣分项目</w:t>
            </w: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10.1</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30天内因为食品安全被投诉举报且查证属实的。</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-5</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499"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10.2</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1年内媒体报道食品安全负面问题，经查证属实。</w:t>
            </w:r>
          </w:p>
        </w:tc>
        <w:tc>
          <w:tcPr>
            <w:tcW w:w="1134" w:type="dxa"/>
            <w:tcBorders>
              <w:top w:val="nil"/>
              <w:left w:val="nil"/>
              <w:bottom w:val="single" w:color="auto" w:sz="4" w:space="0"/>
              <w:right w:val="single" w:color="auto" w:sz="4" w:space="0"/>
            </w:tcBorders>
            <w:shd w:val="clear" w:color="auto" w:fill="auto"/>
            <w:noWrap w:val="0"/>
            <w:vAlign w:val="top"/>
          </w:tcPr>
          <w:p>
            <w:pPr>
              <w:jc w:val="center"/>
              <w:rPr>
                <w:rFonts w:hint="default" w:ascii="Times New Roman" w:hAnsi="Times New Roman" w:cs="Times New Roman"/>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-10</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341" w:hRule="atLeast"/>
        </w:trPr>
        <w:tc>
          <w:tcPr>
            <w:tcW w:w="1276" w:type="dxa"/>
            <w:vMerge w:val="continue"/>
            <w:tcBorders>
              <w:top w:val="nil"/>
              <w:left w:val="single" w:color="auto" w:sz="4" w:space="0"/>
              <w:bottom w:val="single" w:color="000000"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p>
        </w:tc>
        <w:tc>
          <w:tcPr>
            <w:tcW w:w="70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10.3</w:t>
            </w:r>
          </w:p>
        </w:tc>
        <w:tc>
          <w:tcPr>
            <w:tcW w:w="963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1年内因违法食品安全法被行政处罚的。</w:t>
            </w:r>
          </w:p>
        </w:tc>
        <w:tc>
          <w:tcPr>
            <w:tcW w:w="1134"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□是□否</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r>
              <w:rPr>
                <w:rFonts w:hint="default" w:ascii="Times New Roman" w:hAnsi="Times New Roman" w:cs="Times New Roman"/>
                <w:bCs/>
              </w:rPr>
              <w:t>-10</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center"/>
              <w:rPr>
                <w:rFonts w:hint="default" w:ascii="Times New Roman" w:hAnsi="Times New Roman" w:cs="Times New Roman"/>
                <w:bCs/>
              </w:rPr>
            </w:pPr>
          </w:p>
        </w:tc>
      </w:tr>
      <w:tr>
        <w:tblPrEx>
          <w:tblLayout w:type="fixed"/>
          <w:tblCellMar>
            <w:top w:w="0" w:type="dxa"/>
            <w:left w:w="108" w:type="dxa"/>
            <w:bottom w:w="0" w:type="dxa"/>
            <w:right w:w="108" w:type="dxa"/>
          </w:tblCellMar>
        </w:tblPrEx>
        <w:trPr>
          <w:trHeight w:val="599" w:hRule="atLeast"/>
        </w:trPr>
        <w:tc>
          <w:tcPr>
            <w:tcW w:w="12758" w:type="dxa"/>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检查人员：                                                 被检查单位：                      年    月    日</w:t>
            </w:r>
          </w:p>
        </w:tc>
        <w:tc>
          <w:tcPr>
            <w:tcW w:w="720"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总分</w:t>
            </w:r>
          </w:p>
        </w:tc>
        <w:tc>
          <w:tcPr>
            <w:tcW w:w="1389" w:type="dxa"/>
            <w:tcBorders>
              <w:top w:val="nil"/>
              <w:left w:val="nil"/>
              <w:bottom w:val="single" w:color="auto" w:sz="4" w:space="0"/>
              <w:right w:val="single" w:color="auto"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100</w:t>
            </w:r>
          </w:p>
        </w:tc>
      </w:tr>
      <w:tr>
        <w:tblPrEx>
          <w:tblLayout w:type="fixed"/>
          <w:tblCellMar>
            <w:top w:w="0" w:type="dxa"/>
            <w:left w:w="108" w:type="dxa"/>
            <w:bottom w:w="0" w:type="dxa"/>
            <w:right w:w="108" w:type="dxa"/>
          </w:tblCellMar>
        </w:tblPrEx>
        <w:trPr>
          <w:trHeight w:val="1557" w:hRule="atLeast"/>
        </w:trPr>
        <w:tc>
          <w:tcPr>
            <w:tcW w:w="14867"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pPr>
              <w:adjustRightInd w:val="0"/>
              <w:snapToGrid w:val="0"/>
              <w:spacing w:line="360" w:lineRule="exact"/>
              <w:jc w:val="left"/>
              <w:rPr>
                <w:rFonts w:hint="default" w:ascii="Times New Roman" w:hAnsi="Times New Roman" w:cs="Times New Roman"/>
                <w:bCs/>
              </w:rPr>
            </w:pPr>
            <w:r>
              <w:rPr>
                <w:rFonts w:hint="default" w:ascii="Times New Roman" w:hAnsi="Times New Roman" w:cs="Times New Roman"/>
                <w:bCs/>
              </w:rPr>
              <w:t>注：1.★重点项不合格≤3项且总分≥90，视为重大活动餐饮服务提供者符合相关要求；</w:t>
            </w:r>
            <w:r>
              <w:rPr>
                <w:rFonts w:hint="default" w:ascii="Times New Roman" w:hAnsi="Times New Roman" w:cs="Times New Roman"/>
                <w:bCs/>
              </w:rPr>
              <w:br w:type="textWrapping"/>
            </w:r>
            <w:r>
              <w:rPr>
                <w:rFonts w:hint="default" w:ascii="Times New Roman" w:hAnsi="Times New Roman" w:cs="Times New Roman"/>
                <w:bCs/>
              </w:rPr>
              <w:t xml:space="preserve">    2.★重点项不合格≤6项且80≤总分&lt;90，通过整改复查后应符合要求；</w:t>
            </w:r>
            <w:r>
              <w:rPr>
                <w:rFonts w:hint="default" w:ascii="Times New Roman" w:hAnsi="Times New Roman" w:cs="Times New Roman"/>
                <w:bCs/>
              </w:rPr>
              <w:br w:type="textWrapping"/>
            </w:r>
            <w:r>
              <w:rPr>
                <w:rFonts w:hint="default" w:ascii="Times New Roman" w:hAnsi="Times New Roman" w:cs="Times New Roman"/>
                <w:bCs/>
              </w:rPr>
              <w:t xml:space="preserve">    3.★重点项不合格≥7项或总分&lt;80，视为不符合重大活动餐饮服务提供者要求；</w:t>
            </w:r>
            <w:r>
              <w:rPr>
                <w:rFonts w:hint="default" w:ascii="Times New Roman" w:hAnsi="Times New Roman" w:cs="Times New Roman"/>
                <w:bCs/>
              </w:rPr>
              <w:br w:type="textWrapping"/>
            </w:r>
            <w:r>
              <w:rPr>
                <w:rFonts w:hint="default" w:ascii="Times New Roman" w:hAnsi="Times New Roman" w:cs="Times New Roman"/>
                <w:bCs/>
              </w:rPr>
              <w:t xml:space="preserve">    4.餐饮服务提供者具有合法有效的食品经营许可证，具备与重大活动规模、供餐人数、供餐方式相适应的食品安全保障能力。</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B4F96"/>
    <w:rsid w:val="124617D2"/>
    <w:rsid w:val="27AB4F96"/>
    <w:rsid w:val="51FA5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索引 51"/>
    <w:basedOn w:val="1"/>
    <w:next w:val="1"/>
    <w:qFormat/>
    <w:uiPriority w:val="0"/>
    <w:pPr>
      <w:ind w:left="1680"/>
    </w:pPr>
  </w:style>
  <w:style w:type="paragraph" w:styleId="4">
    <w:name w:val="Normal (Web)"/>
    <w:basedOn w:val="1"/>
    <w:qFormat/>
    <w:uiPriority w:val="0"/>
    <w:pPr>
      <w:spacing w:before="100" w:beforeAutospacing="1" w:after="100" w:afterAutospacing="1"/>
      <w:jc w:val="left"/>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区市场监管局</Company>
  <Pages>1</Pages>
  <Words>0</Words>
  <Characters>0</Characters>
  <Lines>0</Lines>
  <Paragraphs>0</Paragraphs>
  <TotalTime>3</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2025-05-15T02:16:00Z</dcterms:created>
  <dc:creator>雷勇</dc:creator>
  <cp:lastModifiedBy>万州区市场监管局</cp:lastModifiedBy>
  <dcterms:modified xsi:type="dcterms:W3CDTF">2025-05-27T07:26:41Z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