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1040" w:lineRule="exact"/>
        <w:ind w:left="170" w:right="170"/>
        <w:jc w:val="distribute"/>
        <w:textAlignment w:val="auto"/>
        <w:rPr>
          <w:rFonts w:hint="eastAsia" w:ascii="方正小标宋简体" w:hAnsi="宋体" w:eastAsia="方正小标宋简体"/>
          <w:color w:val="FF0000"/>
          <w:kern w:val="2"/>
          <w:sz w:val="72"/>
          <w:szCs w:val="72"/>
          <w:lang w:eastAsia="zh-CN"/>
        </w:rPr>
      </w:pPr>
      <w:r>
        <w:rPr>
          <w:rFonts w:hint="eastAsia" w:ascii="方正小标宋简体" w:hAnsi="宋体" w:eastAsia="方正小标宋简体"/>
          <w:color w:val="FF0000"/>
          <w:kern w:val="2"/>
          <w:sz w:val="72"/>
          <w:szCs w:val="72"/>
        </w:rPr>
        <w:t>上海市市场监督管理局</w:t>
      </w:r>
    </w:p>
    <w:p>
      <w:pPr>
        <w:keepNext w:val="0"/>
        <w:keepLines w:val="0"/>
        <w:pageBreakBefore w:val="0"/>
        <w:widowControl w:val="0"/>
        <w:kinsoku/>
        <w:wordWrap/>
        <w:overflowPunct w:val="0"/>
        <w:topLinePunct w:val="0"/>
        <w:autoSpaceDE/>
        <w:autoSpaceDN/>
        <w:bidi w:val="0"/>
        <w:adjustRightInd w:val="0"/>
        <w:snapToGrid w:val="0"/>
        <w:spacing w:line="1040" w:lineRule="exact"/>
        <w:ind w:left="170" w:right="170"/>
        <w:jc w:val="distribute"/>
        <w:textAlignment w:val="auto"/>
        <w:rPr>
          <w:rFonts w:hint="eastAsia" w:ascii="方正小标宋简体" w:hAnsi="宋体" w:eastAsia="方正小标宋简体"/>
          <w:color w:val="FF0000"/>
          <w:kern w:val="2"/>
          <w:sz w:val="72"/>
          <w:szCs w:val="72"/>
          <w:lang w:eastAsia="zh-CN"/>
        </w:rPr>
      </w:pPr>
      <w:r>
        <w:rPr>
          <w:rFonts w:hint="eastAsia" w:ascii="方正小标宋简体" w:hAnsi="宋体" w:eastAsia="方正小标宋简体"/>
          <w:color w:val="FF0000"/>
          <w:kern w:val="2"/>
          <w:sz w:val="72"/>
          <w:szCs w:val="72"/>
        </w:rPr>
        <w:t>北京市市场监督管理局</w:t>
      </w:r>
    </w:p>
    <w:p>
      <w:pPr>
        <w:keepNext w:val="0"/>
        <w:keepLines w:val="0"/>
        <w:pageBreakBefore w:val="0"/>
        <w:widowControl w:val="0"/>
        <w:kinsoku/>
        <w:wordWrap/>
        <w:overflowPunct w:val="0"/>
        <w:topLinePunct w:val="0"/>
        <w:autoSpaceDE/>
        <w:autoSpaceDN/>
        <w:bidi w:val="0"/>
        <w:adjustRightInd w:val="0"/>
        <w:snapToGrid w:val="0"/>
        <w:spacing w:line="1040" w:lineRule="exact"/>
        <w:ind w:left="170" w:right="170"/>
        <w:jc w:val="distribute"/>
        <w:textAlignment w:val="auto"/>
        <w:rPr>
          <w:rFonts w:hint="eastAsia" w:ascii="方正小标宋简体" w:hAnsi="宋体" w:eastAsia="方正小标宋简体"/>
          <w:color w:val="FF0000"/>
          <w:w w:val="95"/>
          <w:kern w:val="2"/>
          <w:sz w:val="72"/>
          <w:szCs w:val="72"/>
          <w:lang w:eastAsia="zh-CN"/>
        </w:rPr>
      </w:pPr>
      <w:r>
        <w:rPr>
          <w:rFonts w:hint="eastAsia" w:ascii="方正小标宋简体" w:hAnsi="宋体" w:eastAsia="方正小标宋简体"/>
          <w:color w:val="FF0000"/>
          <w:w w:val="95"/>
          <w:kern w:val="2"/>
          <w:sz w:val="72"/>
          <w:szCs w:val="72"/>
        </w:rPr>
        <w:t>天津市市场监督管理委员会</w:t>
      </w:r>
    </w:p>
    <w:p>
      <w:pPr>
        <w:keepNext w:val="0"/>
        <w:keepLines w:val="0"/>
        <w:pageBreakBefore w:val="0"/>
        <w:widowControl w:val="0"/>
        <w:kinsoku/>
        <w:wordWrap/>
        <w:overflowPunct w:val="0"/>
        <w:topLinePunct w:val="0"/>
        <w:autoSpaceDE/>
        <w:autoSpaceDN/>
        <w:bidi w:val="0"/>
        <w:adjustRightInd w:val="0"/>
        <w:snapToGrid w:val="0"/>
        <w:spacing w:line="1040" w:lineRule="exact"/>
        <w:ind w:left="170" w:right="170"/>
        <w:jc w:val="distribute"/>
        <w:textAlignment w:val="auto"/>
        <w:rPr>
          <w:rFonts w:hint="eastAsia" w:ascii="方正小标宋简体" w:hAnsi="宋体" w:eastAsia="方正小标宋简体"/>
          <w:color w:val="FF0000"/>
          <w:kern w:val="2"/>
          <w:sz w:val="72"/>
          <w:szCs w:val="72"/>
        </w:rPr>
      </w:pPr>
      <w:r>
        <w:rPr>
          <w:rFonts w:hint="eastAsia" w:ascii="方正小标宋简体" w:hAnsi="宋体" w:eastAsia="方正小标宋简体"/>
          <w:color w:val="FF0000"/>
          <w:kern w:val="2"/>
          <w:sz w:val="72"/>
          <w:szCs w:val="72"/>
        </w:rPr>
        <w:t>重庆市市场监督管理局</w:t>
      </w:r>
    </w:p>
    <w:p>
      <w:pPr>
        <w:tabs>
          <w:tab w:val="left" w:pos="790"/>
        </w:tabs>
        <w:overflowPunct w:val="0"/>
        <w:adjustRightInd w:val="0"/>
        <w:snapToGrid w:val="0"/>
        <w:spacing w:line="252" w:lineRule="auto"/>
        <w:jc w:val="center"/>
        <w:rPr>
          <w:rFonts w:hint="eastAsia" w:ascii="黑体" w:eastAsia="黑体"/>
          <w:kern w:val="2"/>
          <w:szCs w:val="32"/>
        </w:rPr>
      </w:pPr>
    </w:p>
    <w:p>
      <w:pPr>
        <w:tabs>
          <w:tab w:val="left" w:pos="790"/>
        </w:tabs>
        <w:overflowPunct w:val="0"/>
        <w:adjustRightInd w:val="0"/>
        <w:snapToGrid w:val="0"/>
        <w:spacing w:line="252" w:lineRule="auto"/>
        <w:jc w:val="center"/>
        <w:rPr>
          <w:rFonts w:hint="eastAsia" w:ascii="黑体" w:eastAsia="黑体"/>
          <w:kern w:val="2"/>
          <w:szCs w:val="32"/>
        </w:rPr>
      </w:pPr>
    </w:p>
    <w:p>
      <w:pPr>
        <w:tabs>
          <w:tab w:val="left" w:pos="790"/>
        </w:tabs>
        <w:overflowPunct w:val="0"/>
        <w:adjustRightInd w:val="0"/>
        <w:snapToGrid w:val="0"/>
        <w:spacing w:line="336" w:lineRule="auto"/>
        <w:jc w:val="center"/>
        <w:rPr>
          <w:rFonts w:hint="eastAsia"/>
          <w:kern w:val="2"/>
          <w:szCs w:val="32"/>
        </w:rPr>
      </w:pPr>
      <w:r>
        <w:rPr>
          <w:rFonts w:hint="eastAsia"/>
          <w:kern w:val="2"/>
          <w:szCs w:val="30"/>
        </w:rPr>
        <mc:AlternateContent>
          <mc:Choice Requires="wps">
            <w:drawing>
              <wp:anchor distT="0" distB="0" distL="114300" distR="114300" simplePos="0" relativeHeight="251658240" behindDoc="0" locked="1" layoutInCell="1" allowOverlap="1">
                <wp:simplePos x="0" y="0"/>
                <wp:positionH relativeFrom="column">
                  <wp:posOffset>635</wp:posOffset>
                </wp:positionH>
                <wp:positionV relativeFrom="paragraph">
                  <wp:posOffset>386080</wp:posOffset>
                </wp:positionV>
                <wp:extent cx="5615940" cy="0"/>
                <wp:effectExtent l="0" t="9525" r="3810" b="9525"/>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05pt;margin-top:30.4pt;height:0pt;width:442.2pt;z-index:251658240;mso-width-relative:page;mso-height-relative:page;" filled="f" stroked="t" coordsize="21600,21600" o:gfxdata="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IgOgsDUAAAABgEAAA8AAAAAAAAAAQAgAAAAOAAAAGRycy9kb3ducmV2LnhtbFBLAQIUABQA&#10;AAAIAIdO4kApw8Qv3gEAAJoDAAAOAAAAAAAAAAEAIAAAADkBAABkcnMvZTJvRG9jLnhtbFBLBQYA&#10;AAAABgAGAFkBAACJBQAAAAA=&#10;">
                <v:fill on="f" focussize="0,0"/>
                <v:stroke weight="1.5pt" color="#FF0000" joinstyle="round"/>
                <v:imagedata o:title=""/>
                <o:lock v:ext="edit" aspectratio="f"/>
                <w10:anchorlock/>
              </v:line>
            </w:pict>
          </mc:Fallback>
        </mc:AlternateContent>
      </w:r>
      <w:r>
        <w:rPr>
          <w:rFonts w:hint="eastAsia"/>
          <w:kern w:val="2"/>
          <w:szCs w:val="32"/>
        </w:rPr>
        <w:t>沪市监</w:t>
      </w:r>
      <w:r>
        <w:rPr>
          <w:rFonts w:hint="eastAsia"/>
          <w:kern w:val="2"/>
          <w:szCs w:val="32"/>
          <w:lang w:eastAsia="zh-CN"/>
        </w:rPr>
        <w:t>产质</w:t>
      </w:r>
      <w:r>
        <w:rPr>
          <w:rFonts w:hint="eastAsia"/>
          <w:kern w:val="2"/>
          <w:szCs w:val="32"/>
        </w:rPr>
        <w:t>〔202</w:t>
      </w:r>
      <w:r>
        <w:rPr>
          <w:rFonts w:hint="default"/>
          <w:kern w:val="2"/>
          <w:szCs w:val="32"/>
          <w:lang w:val="en"/>
        </w:rPr>
        <w:t>4</w:t>
      </w:r>
      <w:r>
        <w:rPr>
          <w:rFonts w:hint="eastAsia"/>
          <w:kern w:val="2"/>
          <w:szCs w:val="32"/>
        </w:rPr>
        <w:t>〕</w:t>
      </w:r>
      <w:r>
        <w:rPr>
          <w:rFonts w:hint="eastAsia"/>
          <w:kern w:val="2"/>
          <w:szCs w:val="32"/>
          <w:lang w:val="en-US" w:eastAsia="zh-CN"/>
        </w:rPr>
        <w:t>124</w:t>
      </w:r>
      <w:r>
        <w:rPr>
          <w:rFonts w:hint="eastAsia"/>
          <w:kern w:val="2"/>
          <w:szCs w:val="32"/>
        </w:rPr>
        <w:t>号</w:t>
      </w:r>
    </w:p>
    <w:p>
      <w:pPr>
        <w:tabs>
          <w:tab w:val="left" w:pos="790"/>
        </w:tabs>
        <w:overflowPunct w:val="0"/>
        <w:adjustRightInd w:val="0"/>
        <w:snapToGrid w:val="0"/>
        <w:spacing w:line="336" w:lineRule="auto"/>
        <w:jc w:val="center"/>
        <w:rPr>
          <w:rFonts w:hint="eastAsia"/>
          <w:kern w:val="2"/>
          <w:szCs w:val="30"/>
        </w:rPr>
      </w:pPr>
    </w:p>
    <w:p>
      <w:pPr>
        <w:tabs>
          <w:tab w:val="left" w:pos="790"/>
        </w:tabs>
        <w:overflowPunct w:val="0"/>
        <w:adjustRightInd w:val="0"/>
        <w:snapToGrid w:val="0"/>
        <w:spacing w:line="336" w:lineRule="auto"/>
        <w:jc w:val="center"/>
        <w:rPr>
          <w:rFonts w:hint="eastAsia"/>
          <w:kern w:val="2"/>
          <w:szCs w:val="30"/>
        </w:rPr>
      </w:pPr>
    </w:p>
    <w:p>
      <w:pPr>
        <w:keepNext w:val="0"/>
        <w:keepLines w:val="0"/>
        <w:pageBreakBefore w:val="0"/>
        <w:widowControl w:val="0"/>
        <w:tabs>
          <w:tab w:val="left" w:pos="790"/>
        </w:tabs>
        <w:kinsoku/>
        <w:wordWrap/>
        <w:overflowPunct w:val="0"/>
        <w:topLinePunct w:val="0"/>
        <w:autoSpaceDE/>
        <w:autoSpaceDN/>
        <w:bidi w:val="0"/>
        <w:adjustRightInd w:val="0"/>
        <w:snapToGrid w:val="0"/>
        <w:spacing w:line="600" w:lineRule="exact"/>
        <w:jc w:val="center"/>
        <w:textAlignment w:val="auto"/>
        <w:rPr>
          <w:rFonts w:hint="eastAsia" w:ascii="方正小标宋简体" w:hAnsi="宋体" w:eastAsia="方正小标宋简体"/>
          <w:w w:val="97"/>
          <w:kern w:val="2"/>
          <w:sz w:val="44"/>
          <w:szCs w:val="44"/>
          <w:lang w:eastAsia="zh-CN"/>
        </w:rPr>
      </w:pPr>
      <w:r>
        <w:rPr>
          <w:rFonts w:hint="eastAsia" w:ascii="方正小标宋简体" w:hAnsi="宋体" w:eastAsia="方正小标宋简体"/>
          <w:w w:val="97"/>
          <w:kern w:val="2"/>
          <w:sz w:val="44"/>
          <w:szCs w:val="44"/>
        </w:rPr>
        <w:t>上海市市场监督管理局</w:t>
      </w:r>
      <w:r>
        <w:rPr>
          <w:rFonts w:hint="eastAsia" w:ascii="方正小标宋简体" w:hAnsi="宋体" w:eastAsia="方正小标宋简体"/>
          <w:w w:val="97"/>
          <w:kern w:val="2"/>
          <w:sz w:val="44"/>
          <w:szCs w:val="44"/>
          <w:lang w:eastAsia="zh-CN"/>
        </w:rPr>
        <w:t>　</w:t>
      </w:r>
    </w:p>
    <w:p>
      <w:pPr>
        <w:keepNext w:val="0"/>
        <w:keepLines w:val="0"/>
        <w:pageBreakBefore w:val="0"/>
        <w:widowControl w:val="0"/>
        <w:tabs>
          <w:tab w:val="left" w:pos="790"/>
        </w:tabs>
        <w:kinsoku/>
        <w:wordWrap/>
        <w:overflowPunct w:val="0"/>
        <w:topLinePunct w:val="0"/>
        <w:autoSpaceDE/>
        <w:autoSpaceDN/>
        <w:bidi w:val="0"/>
        <w:adjustRightInd w:val="0"/>
        <w:snapToGrid w:val="0"/>
        <w:spacing w:line="600" w:lineRule="exact"/>
        <w:jc w:val="center"/>
        <w:textAlignment w:val="auto"/>
        <w:rPr>
          <w:rFonts w:hint="eastAsia" w:ascii="方正小标宋简体" w:hAnsi="宋体" w:eastAsia="方正小标宋简体"/>
          <w:w w:val="97"/>
          <w:kern w:val="2"/>
          <w:sz w:val="44"/>
          <w:szCs w:val="44"/>
          <w:lang w:eastAsia="zh-CN"/>
        </w:rPr>
      </w:pPr>
      <w:r>
        <w:rPr>
          <w:rFonts w:hint="eastAsia" w:ascii="方正小标宋简体" w:hAnsi="宋体" w:eastAsia="方正小标宋简体"/>
          <w:w w:val="97"/>
          <w:kern w:val="2"/>
          <w:sz w:val="44"/>
          <w:szCs w:val="44"/>
        </w:rPr>
        <w:t>北京市市场监督管理局</w:t>
      </w:r>
      <w:r>
        <w:rPr>
          <w:rFonts w:hint="eastAsia" w:ascii="方正小标宋简体" w:hAnsi="宋体" w:eastAsia="方正小标宋简体"/>
          <w:w w:val="97"/>
          <w:kern w:val="2"/>
          <w:sz w:val="44"/>
          <w:szCs w:val="44"/>
          <w:lang w:eastAsia="zh-CN"/>
        </w:rPr>
        <w:t>　</w:t>
      </w:r>
    </w:p>
    <w:p>
      <w:pPr>
        <w:keepNext w:val="0"/>
        <w:keepLines w:val="0"/>
        <w:pageBreakBefore w:val="0"/>
        <w:widowControl w:val="0"/>
        <w:tabs>
          <w:tab w:val="left" w:pos="790"/>
        </w:tabs>
        <w:kinsoku/>
        <w:wordWrap/>
        <w:overflowPunct w:val="0"/>
        <w:topLinePunct w:val="0"/>
        <w:autoSpaceDE/>
        <w:autoSpaceDN/>
        <w:bidi w:val="0"/>
        <w:adjustRightInd w:val="0"/>
        <w:snapToGrid w:val="0"/>
        <w:spacing w:line="600" w:lineRule="exact"/>
        <w:jc w:val="center"/>
        <w:textAlignment w:val="auto"/>
        <w:rPr>
          <w:rFonts w:hint="eastAsia" w:ascii="方正小标宋简体" w:hAnsi="宋体" w:eastAsia="方正小标宋简体"/>
          <w:w w:val="97"/>
          <w:kern w:val="2"/>
          <w:sz w:val="44"/>
          <w:szCs w:val="44"/>
          <w:lang w:eastAsia="zh-CN"/>
        </w:rPr>
      </w:pPr>
      <w:r>
        <w:rPr>
          <w:rFonts w:hint="eastAsia" w:ascii="方正小标宋简体" w:hAnsi="宋体" w:eastAsia="方正小标宋简体"/>
          <w:w w:val="97"/>
          <w:kern w:val="2"/>
          <w:sz w:val="44"/>
          <w:szCs w:val="44"/>
        </w:rPr>
        <w:t>天津市市场监督管理委员会</w:t>
      </w:r>
      <w:r>
        <w:rPr>
          <w:rFonts w:hint="eastAsia" w:ascii="方正小标宋简体" w:hAnsi="宋体" w:eastAsia="方正小标宋简体"/>
          <w:w w:val="97"/>
          <w:kern w:val="2"/>
          <w:sz w:val="44"/>
          <w:szCs w:val="44"/>
          <w:lang w:eastAsia="zh-CN"/>
        </w:rPr>
        <w:t>　</w:t>
      </w:r>
    </w:p>
    <w:p>
      <w:pPr>
        <w:keepNext w:val="0"/>
        <w:keepLines w:val="0"/>
        <w:pageBreakBefore w:val="0"/>
        <w:widowControl w:val="0"/>
        <w:tabs>
          <w:tab w:val="left" w:pos="790"/>
        </w:tabs>
        <w:kinsoku/>
        <w:wordWrap/>
        <w:overflowPunct w:val="0"/>
        <w:topLinePunct w:val="0"/>
        <w:autoSpaceDE/>
        <w:autoSpaceDN/>
        <w:bidi w:val="0"/>
        <w:adjustRightInd w:val="0"/>
        <w:snapToGrid w:val="0"/>
        <w:spacing w:line="600" w:lineRule="exact"/>
        <w:jc w:val="center"/>
        <w:textAlignment w:val="auto"/>
        <w:rPr>
          <w:rFonts w:hint="eastAsia" w:ascii="方正小标宋简体" w:hAnsi="宋体" w:eastAsia="方正小标宋简体"/>
          <w:w w:val="97"/>
          <w:kern w:val="2"/>
          <w:sz w:val="44"/>
          <w:szCs w:val="44"/>
        </w:rPr>
      </w:pPr>
      <w:r>
        <w:rPr>
          <w:rFonts w:hint="eastAsia" w:ascii="方正小标宋简体" w:hAnsi="宋体" w:eastAsia="方正小标宋简体"/>
          <w:w w:val="97"/>
          <w:kern w:val="2"/>
          <w:sz w:val="44"/>
          <w:szCs w:val="44"/>
        </w:rPr>
        <w:t>重庆市市场监督管理局关于印发《产品质量</w:t>
      </w:r>
    </w:p>
    <w:p>
      <w:pPr>
        <w:keepNext w:val="0"/>
        <w:keepLines w:val="0"/>
        <w:pageBreakBefore w:val="0"/>
        <w:widowControl w:val="0"/>
        <w:tabs>
          <w:tab w:val="left" w:pos="790"/>
        </w:tabs>
        <w:kinsoku/>
        <w:wordWrap/>
        <w:overflowPunct w:val="0"/>
        <w:topLinePunct w:val="0"/>
        <w:autoSpaceDE/>
        <w:autoSpaceDN/>
        <w:bidi w:val="0"/>
        <w:adjustRightInd w:val="0"/>
        <w:snapToGrid w:val="0"/>
        <w:spacing w:line="600" w:lineRule="exact"/>
        <w:jc w:val="center"/>
        <w:textAlignment w:val="auto"/>
        <w:rPr>
          <w:rFonts w:hint="eastAsia" w:ascii="方正小标宋简体" w:hAnsi="宋体" w:eastAsia="方正小标宋简体"/>
          <w:w w:val="97"/>
          <w:kern w:val="2"/>
          <w:sz w:val="44"/>
          <w:szCs w:val="44"/>
          <w:lang w:eastAsia="zh-CN"/>
        </w:rPr>
      </w:pPr>
      <w:r>
        <w:rPr>
          <w:rFonts w:hint="eastAsia" w:ascii="方正小标宋简体" w:hAnsi="宋体" w:eastAsia="方正小标宋简体"/>
          <w:w w:val="97"/>
          <w:kern w:val="2"/>
          <w:sz w:val="44"/>
          <w:szCs w:val="44"/>
        </w:rPr>
        <w:t>可靠性评价通用要求》和《产品质量可靠性</w:t>
      </w:r>
      <w:r>
        <w:rPr>
          <w:rFonts w:hint="eastAsia" w:ascii="方正小标宋简体" w:hAnsi="宋体" w:eastAsia="方正小标宋简体"/>
          <w:w w:val="97"/>
          <w:kern w:val="2"/>
          <w:sz w:val="44"/>
          <w:szCs w:val="44"/>
          <w:lang w:eastAsia="zh-CN"/>
        </w:rPr>
        <w:t>创新</w:t>
      </w:r>
    </w:p>
    <w:p>
      <w:pPr>
        <w:keepNext w:val="0"/>
        <w:keepLines w:val="0"/>
        <w:pageBreakBefore w:val="0"/>
        <w:widowControl w:val="0"/>
        <w:tabs>
          <w:tab w:val="left" w:pos="790"/>
        </w:tabs>
        <w:kinsoku/>
        <w:wordWrap/>
        <w:overflowPunct w:val="0"/>
        <w:topLinePunct w:val="0"/>
        <w:autoSpaceDE/>
        <w:autoSpaceDN/>
        <w:bidi w:val="0"/>
        <w:adjustRightInd w:val="0"/>
        <w:snapToGrid w:val="0"/>
        <w:spacing w:line="600" w:lineRule="exact"/>
        <w:jc w:val="center"/>
        <w:textAlignment w:val="auto"/>
        <w:rPr>
          <w:rFonts w:hint="eastAsia" w:ascii="方正小标宋简体" w:hAnsi="宋体" w:eastAsia="方正小标宋简体"/>
          <w:w w:val="97"/>
          <w:kern w:val="2"/>
          <w:sz w:val="44"/>
          <w:szCs w:val="44"/>
        </w:rPr>
      </w:pPr>
      <w:r>
        <w:rPr>
          <w:rFonts w:hint="eastAsia" w:ascii="方正小标宋简体" w:hAnsi="宋体" w:eastAsia="方正小标宋简体"/>
          <w:w w:val="97"/>
          <w:kern w:val="2"/>
          <w:sz w:val="44"/>
          <w:szCs w:val="44"/>
        </w:rPr>
        <w:t>“最佳实践”培育孵化工作指南》的通知</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jc w:val="both"/>
        <w:textAlignment w:val="auto"/>
        <w:rPr>
          <w:rFonts w:hint="eastAsia" w:hAnsi="宋体"/>
          <w:kern w:val="2"/>
          <w:szCs w:val="30"/>
        </w:rPr>
      </w:pPr>
      <w:r>
        <w:rPr>
          <w:rFonts w:hint="eastAsia" w:hAnsi="宋体"/>
          <w:kern w:val="2"/>
          <w:szCs w:val="30"/>
        </w:rPr>
        <w:t>各区（县）市场监管局，各有关单位：</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根据《上海市市场监督管理局</w:t>
      </w:r>
      <w:r>
        <w:rPr>
          <w:rFonts w:hint="eastAsia" w:hAnsi="宋体"/>
          <w:kern w:val="2"/>
          <w:szCs w:val="30"/>
          <w:lang w:eastAsia="zh-CN"/>
        </w:rPr>
        <w:t>　</w:t>
      </w:r>
      <w:r>
        <w:rPr>
          <w:rFonts w:hint="eastAsia" w:hAnsi="宋体"/>
          <w:kern w:val="2"/>
          <w:szCs w:val="30"/>
        </w:rPr>
        <w:t>北京市市场监督管理局</w:t>
      </w:r>
      <w:r>
        <w:rPr>
          <w:rFonts w:hint="eastAsia" w:hAnsi="宋体"/>
          <w:kern w:val="2"/>
          <w:szCs w:val="30"/>
          <w:lang w:eastAsia="zh-CN"/>
        </w:rPr>
        <w:t>　</w:t>
      </w:r>
      <w:r>
        <w:rPr>
          <w:rFonts w:hint="eastAsia" w:hAnsi="宋体"/>
          <w:kern w:val="2"/>
          <w:szCs w:val="30"/>
        </w:rPr>
        <w:t>天津市市场监督管理委员会</w:t>
      </w:r>
      <w:r>
        <w:rPr>
          <w:rFonts w:hint="eastAsia" w:hAnsi="宋体"/>
          <w:kern w:val="2"/>
          <w:szCs w:val="30"/>
          <w:lang w:eastAsia="zh-CN"/>
        </w:rPr>
        <w:t>　</w:t>
      </w:r>
      <w:r>
        <w:rPr>
          <w:rFonts w:hint="eastAsia" w:hAnsi="宋体"/>
          <w:kern w:val="2"/>
          <w:szCs w:val="30"/>
        </w:rPr>
        <w:t>重庆市市场监督管理局关于联合开展产品质量可靠性创新实践赋能制造业高质量发展的意见》（</w:t>
      </w:r>
      <w:r>
        <w:rPr>
          <w:rFonts w:hint="eastAsia"/>
          <w:kern w:val="2"/>
          <w:szCs w:val="32"/>
        </w:rPr>
        <w:t>沪市监</w:t>
      </w:r>
      <w:bookmarkStart w:id="6" w:name="_GoBack"/>
      <w:bookmarkEnd w:id="6"/>
      <w:r>
        <w:rPr>
          <w:rFonts w:hint="eastAsia"/>
          <w:kern w:val="2"/>
          <w:szCs w:val="32"/>
          <w:lang w:eastAsia="zh-CN"/>
        </w:rPr>
        <w:t>产质</w:t>
      </w:r>
      <w:r>
        <w:rPr>
          <w:rFonts w:hint="eastAsia"/>
          <w:kern w:val="2"/>
          <w:szCs w:val="32"/>
        </w:rPr>
        <w:t>〔202</w:t>
      </w:r>
      <w:r>
        <w:rPr>
          <w:rFonts w:hint="default"/>
          <w:kern w:val="2"/>
          <w:szCs w:val="32"/>
          <w:lang w:val="en"/>
        </w:rPr>
        <w:t>4</w:t>
      </w:r>
      <w:r>
        <w:rPr>
          <w:rFonts w:hint="eastAsia"/>
          <w:kern w:val="2"/>
          <w:szCs w:val="32"/>
        </w:rPr>
        <w:t>〕</w:t>
      </w:r>
      <w:r>
        <w:rPr>
          <w:rFonts w:hint="default"/>
          <w:kern w:val="2"/>
          <w:szCs w:val="32"/>
          <w:lang w:val="en"/>
        </w:rPr>
        <w:t>120</w:t>
      </w:r>
      <w:r>
        <w:rPr>
          <w:rFonts w:hint="eastAsia"/>
          <w:kern w:val="2"/>
          <w:szCs w:val="32"/>
          <w:lang w:val="en" w:eastAsia="zh-CN"/>
        </w:rPr>
        <w:t>号</w:t>
      </w:r>
      <w:r>
        <w:rPr>
          <w:rFonts w:hint="eastAsia" w:hAnsi="宋体"/>
          <w:kern w:val="2"/>
          <w:szCs w:val="30"/>
        </w:rPr>
        <w:t>），现将《产品质量可靠性评价通用要求（2024版）》和《产品质量可靠性</w:t>
      </w:r>
      <w:r>
        <w:rPr>
          <w:rFonts w:hint="eastAsia" w:hAnsi="宋体"/>
          <w:kern w:val="2"/>
          <w:szCs w:val="30"/>
          <w:lang w:eastAsia="zh-CN"/>
        </w:rPr>
        <w:t>创新</w:t>
      </w:r>
      <w:r>
        <w:rPr>
          <w:rFonts w:hint="eastAsia" w:hAnsi="宋体"/>
          <w:kern w:val="2"/>
          <w:szCs w:val="30"/>
        </w:rPr>
        <w:t>“最佳实践”培育孵化工作指南》印发给你们，请遵照执行。</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right="941" w:firstLine="624"/>
        <w:jc w:val="right"/>
        <w:textAlignment w:val="auto"/>
        <w:rPr>
          <w:rFonts w:hint="eastAsia" w:hAnsi="宋体"/>
          <w:kern w:val="2"/>
          <w:szCs w:val="30"/>
        </w:rPr>
      </w:pPr>
      <w:r>
        <w:rPr>
          <w:rFonts w:hint="eastAsia" w:hAnsi="宋体"/>
          <w:kern w:val="2"/>
          <w:szCs w:val="30"/>
        </w:rPr>
        <w:t>上海市市场监督管理局</w:t>
      </w:r>
      <w:r>
        <w:rPr>
          <w:rFonts w:hint="eastAsia" w:hAnsi="宋体"/>
          <w:kern w:val="2"/>
          <w:szCs w:val="30"/>
          <w:lang w:eastAsia="zh-CN"/>
        </w:rPr>
        <w:t>　　　</w:t>
      </w:r>
      <w:r>
        <w:rPr>
          <w:rFonts w:hint="eastAsia" w:hAnsi="宋体"/>
          <w:kern w:val="2"/>
          <w:szCs w:val="30"/>
        </w:rPr>
        <w:t>北京市市场监督管理局</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96" w:lineRule="auto"/>
        <w:ind w:firstLine="624"/>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96" w:lineRule="auto"/>
        <w:ind w:firstLine="624"/>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96" w:lineRule="auto"/>
        <w:ind w:firstLine="624"/>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right="941" w:firstLine="624"/>
        <w:jc w:val="right"/>
        <w:textAlignment w:val="auto"/>
        <w:rPr>
          <w:rFonts w:hint="eastAsia" w:hAnsi="宋体"/>
          <w:kern w:val="2"/>
          <w:szCs w:val="30"/>
        </w:rPr>
      </w:pPr>
      <w:r>
        <w:rPr>
          <w:rFonts w:hint="eastAsia" w:hAnsi="宋体"/>
          <w:spacing w:val="-11"/>
          <w:w w:val="90"/>
          <w:kern w:val="2"/>
          <w:sz w:val="32"/>
          <w:szCs w:val="30"/>
        </w:rPr>
        <w:t>天津市市场监督管理委员会</w:t>
      </w:r>
      <w:r>
        <w:rPr>
          <w:rFonts w:hint="eastAsia" w:hAnsi="宋体"/>
          <w:kern w:val="2"/>
          <w:szCs w:val="30"/>
          <w:lang w:eastAsia="zh-CN"/>
        </w:rPr>
        <w:t>　　　</w:t>
      </w:r>
      <w:r>
        <w:rPr>
          <w:rFonts w:hint="eastAsia" w:hAnsi="宋体"/>
          <w:kern w:val="2"/>
          <w:szCs w:val="30"/>
        </w:rPr>
        <w:t>重庆市市场监督管理局</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right="1247" w:firstLine="624"/>
        <w:jc w:val="right"/>
        <w:textAlignment w:val="auto"/>
        <w:rPr>
          <w:rFonts w:hint="eastAsia" w:hAnsi="宋体"/>
          <w:kern w:val="2"/>
          <w:szCs w:val="30"/>
        </w:rPr>
      </w:pPr>
      <w:r>
        <w:rPr>
          <w:rFonts w:hint="eastAsia" w:hAnsi="宋体"/>
          <w:kern w:val="2"/>
          <w:szCs w:val="30"/>
        </w:rPr>
        <w:t>202</w:t>
      </w:r>
      <w:r>
        <w:rPr>
          <w:rFonts w:hint="default" w:hAnsi="宋体"/>
          <w:kern w:val="2"/>
          <w:szCs w:val="30"/>
          <w:lang w:val="en"/>
        </w:rPr>
        <w:t>4</w:t>
      </w:r>
      <w:r>
        <w:rPr>
          <w:rFonts w:hint="eastAsia" w:hAnsi="宋体"/>
          <w:kern w:val="2"/>
          <w:szCs w:val="30"/>
        </w:rPr>
        <w:t>年</w:t>
      </w:r>
      <w:r>
        <w:rPr>
          <w:rFonts w:hint="eastAsia" w:hAnsi="宋体"/>
          <w:kern w:val="2"/>
          <w:szCs w:val="30"/>
          <w:lang w:val="en-US" w:eastAsia="zh-CN"/>
        </w:rPr>
        <w:t>3</w:t>
      </w:r>
      <w:r>
        <w:rPr>
          <w:rFonts w:hint="eastAsia" w:hAnsi="宋体"/>
          <w:kern w:val="2"/>
          <w:szCs w:val="30"/>
        </w:rPr>
        <w:t>月</w:t>
      </w:r>
      <w:r>
        <w:rPr>
          <w:rFonts w:hint="eastAsia" w:hAnsi="宋体"/>
          <w:kern w:val="2"/>
          <w:szCs w:val="30"/>
          <w:lang w:val="en-US" w:eastAsia="zh-CN"/>
        </w:rPr>
        <w:t>26</w:t>
      </w:r>
      <w:r>
        <w:rPr>
          <w:rFonts w:hint="eastAsia" w:hAnsi="宋体"/>
          <w:kern w:val="2"/>
          <w:szCs w:val="30"/>
        </w:rPr>
        <w:t>日</w:t>
      </w:r>
    </w:p>
    <w:p>
      <w:pPr>
        <w:tabs>
          <w:tab w:val="left" w:pos="790"/>
          <w:tab w:val="left" w:pos="1264"/>
        </w:tabs>
        <w:overflowPunct w:val="0"/>
        <w:adjustRightInd w:val="0"/>
        <w:snapToGrid w:val="0"/>
        <w:spacing w:line="336" w:lineRule="auto"/>
        <w:ind w:firstLine="624"/>
        <w:rPr>
          <w:rFonts w:hint="eastAsia" w:hAnsi="宋体"/>
          <w:kern w:val="2"/>
          <w:szCs w:val="30"/>
        </w:rPr>
      </w:pPr>
      <w:r>
        <w:rPr>
          <w:rFonts w:hint="eastAsia" w:hAnsi="宋体"/>
          <w:kern w:val="2"/>
          <w:szCs w:val="30"/>
        </w:rPr>
        <w:t>（此件公开发布）</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rPr>
          <w:rFonts w:hint="eastAsia" w:ascii="方正小标宋简体" w:hAnsi="宋体" w:eastAsia="方正小标宋简体"/>
          <w:w w:val="97"/>
          <w:kern w:val="2"/>
          <w:sz w:val="44"/>
          <w:szCs w:val="44"/>
        </w:rPr>
      </w:pPr>
      <w:r>
        <w:rPr>
          <w:rFonts w:hint="eastAsia" w:ascii="方正小标宋简体" w:hAnsi="宋体" w:eastAsia="方正小标宋简体"/>
          <w:w w:val="97"/>
          <w:kern w:val="2"/>
          <w:sz w:val="44"/>
          <w:szCs w:val="44"/>
        </w:rPr>
        <w:br w:type="page"/>
      </w:r>
    </w:p>
    <w:p>
      <w:pPr>
        <w:keepNext w:val="0"/>
        <w:keepLines w:val="0"/>
        <w:pageBreakBefore w:val="0"/>
        <w:widowControl w:val="0"/>
        <w:tabs>
          <w:tab w:val="left" w:pos="790"/>
        </w:tabs>
        <w:kinsoku/>
        <w:wordWrap/>
        <w:overflowPunct w:val="0"/>
        <w:topLinePunct w:val="0"/>
        <w:autoSpaceDE/>
        <w:autoSpaceDN/>
        <w:bidi w:val="0"/>
        <w:adjustRightInd w:val="0"/>
        <w:snapToGrid w:val="0"/>
        <w:spacing w:line="240" w:lineRule="auto"/>
        <w:jc w:val="center"/>
        <w:textAlignment w:val="auto"/>
        <w:rPr>
          <w:rFonts w:hint="eastAsia" w:ascii="方正小标宋简体" w:hAnsi="宋体" w:eastAsia="方正小标宋简体"/>
          <w:w w:val="97"/>
          <w:kern w:val="2"/>
          <w:sz w:val="44"/>
          <w:szCs w:val="44"/>
        </w:rPr>
      </w:pPr>
      <w:r>
        <w:rPr>
          <w:rFonts w:hint="eastAsia" w:ascii="方正小标宋简体" w:hAnsi="宋体" w:eastAsia="方正小标宋简体"/>
          <w:w w:val="97"/>
          <w:kern w:val="2"/>
          <w:sz w:val="44"/>
          <w:szCs w:val="44"/>
        </w:rPr>
        <w:t>产品质量可靠性评价通用要求</w:t>
      </w:r>
    </w:p>
    <w:p>
      <w:pPr>
        <w:tabs>
          <w:tab w:val="left" w:pos="790"/>
          <w:tab w:val="left" w:pos="948"/>
        </w:tabs>
        <w:overflowPunct w:val="0"/>
        <w:adjustRightInd w:val="0"/>
        <w:snapToGrid w:val="0"/>
        <w:spacing w:before="120"/>
        <w:jc w:val="center"/>
        <w:rPr>
          <w:rFonts w:hint="eastAsia" w:ascii="楷体_GB2312" w:hAnsi="宋体" w:eastAsia="楷体_GB2312"/>
          <w:kern w:val="2"/>
          <w:szCs w:val="30"/>
        </w:rPr>
      </w:pPr>
      <w:r>
        <w:rPr>
          <w:rFonts w:hint="eastAsia" w:ascii="楷体_GB2312" w:hAnsi="宋体" w:eastAsia="楷体_GB2312"/>
          <w:kern w:val="2"/>
          <w:szCs w:val="30"/>
        </w:rPr>
        <w:t>（2024版）</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黑体" w:hAnsi="黑体" w:eastAsia="黑体" w:cs="黑体"/>
          <w:kern w:val="2"/>
          <w:szCs w:val="30"/>
        </w:rPr>
      </w:pPr>
      <w:r>
        <w:rPr>
          <w:rFonts w:hint="eastAsia" w:ascii="黑体" w:hAnsi="黑体" w:eastAsia="黑体" w:cs="黑体"/>
          <w:kern w:val="2"/>
          <w:szCs w:val="30"/>
        </w:rPr>
        <w:t>一、评价原则</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楷体_GB2312" w:hAnsi="楷体_GB2312" w:eastAsia="楷体_GB2312" w:cs="楷体_GB2312"/>
          <w:kern w:val="2"/>
          <w:szCs w:val="30"/>
        </w:rPr>
      </w:pPr>
      <w:r>
        <w:rPr>
          <w:rFonts w:hint="eastAsia" w:ascii="楷体_GB2312" w:hAnsi="楷体_GB2312" w:eastAsia="楷体_GB2312" w:cs="楷体_GB2312"/>
          <w:kern w:val="2"/>
          <w:szCs w:val="30"/>
        </w:rPr>
        <w:t>（一）</w:t>
      </w:r>
      <w:bookmarkStart w:id="0" w:name="_Toc136158872"/>
      <w:r>
        <w:rPr>
          <w:rFonts w:hint="eastAsia" w:ascii="楷体_GB2312" w:hAnsi="楷体_GB2312" w:eastAsia="楷体_GB2312" w:cs="楷体_GB2312"/>
          <w:kern w:val="2"/>
          <w:szCs w:val="30"/>
        </w:rPr>
        <w:t>方法科学性</w:t>
      </w:r>
      <w:bookmarkEnd w:id="0"/>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企业提供的产品质量可靠性水平材料中所采用的方法应：科学、合理、有效。</w:t>
      </w:r>
      <w:bookmarkStart w:id="1" w:name="_Toc136158873"/>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楷体_GB2312" w:hAnsi="楷体_GB2312" w:eastAsia="楷体_GB2312" w:cs="楷体_GB2312"/>
          <w:kern w:val="2"/>
          <w:szCs w:val="30"/>
        </w:rPr>
      </w:pPr>
      <w:r>
        <w:rPr>
          <w:rFonts w:hint="eastAsia" w:ascii="楷体_GB2312" w:hAnsi="楷体_GB2312" w:eastAsia="楷体_GB2312" w:cs="楷体_GB2312"/>
          <w:kern w:val="2"/>
          <w:szCs w:val="30"/>
        </w:rPr>
        <w:t>（二）数据有效性</w:t>
      </w:r>
      <w:bookmarkEnd w:id="1"/>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企业提供的产品质量可靠性水平材料中所采用的数据应：准确、可靠、一致、完整、合法、可验证、有代表性。</w:t>
      </w:r>
      <w:bookmarkStart w:id="2" w:name="_Toc136158874"/>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楷体_GB2312" w:hAnsi="楷体_GB2312" w:eastAsia="楷体_GB2312" w:cs="楷体_GB2312"/>
          <w:kern w:val="2"/>
          <w:szCs w:val="30"/>
        </w:rPr>
      </w:pPr>
      <w:r>
        <w:rPr>
          <w:rFonts w:hint="eastAsia" w:ascii="楷体_GB2312" w:hAnsi="楷体_GB2312" w:eastAsia="楷体_GB2312" w:cs="楷体_GB2312"/>
          <w:kern w:val="2"/>
          <w:szCs w:val="30"/>
        </w:rPr>
        <w:t>（三）材料规范性</w:t>
      </w:r>
      <w:bookmarkEnd w:id="2"/>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企业提供的产品质量可靠性水平材料应当格式规范、结构完整、层次分明、论据充分、结论明确。</w:t>
      </w:r>
      <w:bookmarkStart w:id="3" w:name="_Toc136158885"/>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黑体" w:hAnsi="黑体" w:eastAsia="黑体" w:cs="黑体"/>
          <w:kern w:val="2"/>
          <w:szCs w:val="30"/>
        </w:rPr>
      </w:pPr>
      <w:r>
        <w:rPr>
          <w:rFonts w:hint="eastAsia" w:ascii="黑体" w:hAnsi="黑体" w:eastAsia="黑体" w:cs="黑体"/>
          <w:kern w:val="2"/>
          <w:szCs w:val="30"/>
        </w:rPr>
        <w:t>二、评价内容</w:t>
      </w:r>
      <w:bookmarkEnd w:id="3"/>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楷体_GB2312" w:hAnsi="楷体_GB2312" w:eastAsia="楷体_GB2312" w:cs="楷体_GB2312"/>
          <w:kern w:val="2"/>
          <w:szCs w:val="30"/>
        </w:rPr>
      </w:pPr>
      <w:bookmarkStart w:id="4" w:name="_Toc136158892"/>
      <w:r>
        <w:rPr>
          <w:rFonts w:hint="eastAsia" w:ascii="楷体_GB2312" w:hAnsi="楷体_GB2312" w:eastAsia="楷体_GB2312" w:cs="楷体_GB2312"/>
          <w:kern w:val="2"/>
          <w:szCs w:val="30"/>
        </w:rPr>
        <w:t>（一）专业指标</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专业指标是主要体现产品质量可靠性的直接技术类指标，包括：关键性能一致性（I</w:t>
      </w:r>
      <w:r>
        <w:rPr>
          <w:rFonts w:hint="eastAsia" w:hAnsi="宋体"/>
          <w:kern w:val="2"/>
          <w:szCs w:val="30"/>
          <w:vertAlign w:val="subscript"/>
        </w:rPr>
        <w:t>c</w:t>
      </w:r>
      <w:r>
        <w:rPr>
          <w:rFonts w:hint="eastAsia" w:hAnsi="宋体"/>
          <w:kern w:val="2"/>
          <w:szCs w:val="30"/>
        </w:rPr>
        <w:t>）、关键性能退化量（I</w:t>
      </w:r>
      <w:r>
        <w:rPr>
          <w:rFonts w:hint="eastAsia" w:hAnsi="宋体"/>
          <w:kern w:val="2"/>
          <w:szCs w:val="30"/>
          <w:vertAlign w:val="subscript"/>
        </w:rPr>
        <w:t>d</w:t>
      </w:r>
      <w:r>
        <w:rPr>
          <w:rFonts w:hint="eastAsia" w:hAnsi="宋体"/>
          <w:kern w:val="2"/>
          <w:szCs w:val="30"/>
        </w:rPr>
        <w:t>）、关键性能可靠域（I</w:t>
      </w:r>
      <w:r>
        <w:rPr>
          <w:rFonts w:hint="eastAsia" w:hAnsi="宋体"/>
          <w:kern w:val="2"/>
          <w:szCs w:val="30"/>
          <w:vertAlign w:val="subscript"/>
        </w:rPr>
        <w:t>r</w:t>
      </w:r>
      <w:r>
        <w:rPr>
          <w:rFonts w:hint="eastAsia" w:hAnsi="宋体"/>
          <w:kern w:val="2"/>
          <w:szCs w:val="30"/>
        </w:rPr>
        <w:t>）等。在评价产品关键性能指标（I</w:t>
      </w:r>
      <w:r>
        <w:rPr>
          <w:rFonts w:hint="eastAsia" w:hAnsi="宋体"/>
          <w:kern w:val="2"/>
          <w:szCs w:val="30"/>
          <w:vertAlign w:val="subscript"/>
        </w:rPr>
        <w:t>c</w:t>
      </w:r>
      <w:r>
        <w:rPr>
          <w:rFonts w:hint="eastAsia" w:hAnsi="宋体"/>
          <w:kern w:val="2"/>
          <w:szCs w:val="30"/>
        </w:rPr>
        <w:t>、I</w:t>
      </w:r>
      <w:r>
        <w:rPr>
          <w:rFonts w:hint="eastAsia" w:hAnsi="宋体"/>
          <w:kern w:val="2"/>
          <w:szCs w:val="30"/>
          <w:vertAlign w:val="subscript"/>
        </w:rPr>
        <w:t>d</w:t>
      </w:r>
      <w:r>
        <w:rPr>
          <w:rFonts w:hint="eastAsia" w:hAnsi="宋体"/>
          <w:kern w:val="2"/>
          <w:szCs w:val="30"/>
        </w:rPr>
        <w:t>、I</w:t>
      </w:r>
      <w:r>
        <w:rPr>
          <w:rFonts w:hint="eastAsia" w:hAnsi="宋体"/>
          <w:kern w:val="2"/>
          <w:szCs w:val="30"/>
          <w:vertAlign w:val="subscript"/>
        </w:rPr>
        <w:t>r</w:t>
      </w:r>
      <w:r>
        <w:rPr>
          <w:rFonts w:hint="eastAsia" w:hAnsi="宋体"/>
          <w:kern w:val="2"/>
          <w:szCs w:val="30"/>
        </w:rPr>
        <w:t>）时需要考虑的因素主要包括（但不限于）：关键性能参数选取合理性、样品状态有效性、样本量合理性、检测仪器/设备合理有效性、检测方案科学可行性、数据可信有效等。</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关键性能一致性（I</w:t>
      </w:r>
      <w:r>
        <w:rPr>
          <w:rFonts w:hint="eastAsia" w:hAnsi="宋体"/>
          <w:kern w:val="2"/>
          <w:szCs w:val="30"/>
          <w:vertAlign w:val="subscript"/>
        </w:rPr>
        <w:t>c</w:t>
      </w:r>
      <w:r>
        <w:rPr>
          <w:rFonts w:hint="eastAsia" w:hAnsi="宋体"/>
          <w:kern w:val="2"/>
          <w:szCs w:val="30"/>
        </w:rPr>
        <w:t>）：是指质量检验合格的产品，其关键性能参数的波动范围小的一种特性。按照时间划分，关键性能一致性可分为“产品出厂时（t</w:t>
      </w:r>
      <w:r>
        <w:rPr>
          <w:rFonts w:hint="eastAsia" w:hAnsi="宋体"/>
          <w:kern w:val="2"/>
          <w:szCs w:val="30"/>
          <w:lang w:eastAsia="zh-CN"/>
        </w:rPr>
        <w:t>＝</w:t>
      </w:r>
      <w:r>
        <w:rPr>
          <w:rFonts w:hint="eastAsia" w:hAnsi="宋体"/>
          <w:kern w:val="2"/>
          <w:szCs w:val="30"/>
        </w:rPr>
        <w:t>0）”和“产品使用一段时间</w:t>
      </w:r>
      <w:r>
        <w:rPr>
          <w:rFonts w:hint="eastAsia" w:ascii="仿宋_GB2312" w:hAnsi="仿宋_GB2312" w:eastAsia="仿宋_GB2312" w:cs="仿宋_GB2312"/>
          <w:kern w:val="2"/>
          <w:szCs w:val="30"/>
        </w:rPr>
        <w:t>后（t</w:t>
      </w:r>
      <w:r>
        <w:rPr>
          <w:rFonts w:hint="eastAsia" w:ascii="仿宋_GB2312" w:hAnsi="仿宋_GB2312" w:eastAsia="仿宋_GB2312" w:cs="仿宋_GB2312"/>
          <w:kern w:val="2"/>
          <w:szCs w:val="30"/>
          <w:lang w:val="en"/>
        </w:rPr>
        <w:t>﹥</w:t>
      </w:r>
      <w:r>
        <w:rPr>
          <w:rFonts w:hint="eastAsia" w:ascii="仿宋_GB2312" w:hAnsi="仿宋_GB2312" w:eastAsia="仿宋_GB2312" w:cs="仿宋_GB2312"/>
          <w:kern w:val="2"/>
          <w:szCs w:val="30"/>
        </w:rPr>
        <w:t>0）</w:t>
      </w:r>
      <w:r>
        <w:rPr>
          <w:rFonts w:hint="eastAsia" w:hAnsi="宋体"/>
          <w:kern w:val="2"/>
          <w:szCs w:val="30"/>
        </w:rPr>
        <w:t>”两个阶段来评价。企业至少需要提供“产品出厂时（t</w:t>
      </w:r>
      <w:r>
        <w:rPr>
          <w:rFonts w:hint="eastAsia" w:hAnsi="宋体"/>
          <w:kern w:val="2"/>
          <w:szCs w:val="30"/>
          <w:lang w:eastAsia="zh-CN"/>
        </w:rPr>
        <w:t>＝</w:t>
      </w:r>
      <w:r>
        <w:rPr>
          <w:rFonts w:hint="eastAsia" w:hAnsi="宋体"/>
          <w:kern w:val="2"/>
          <w:szCs w:val="30"/>
        </w:rPr>
        <w:t>0）”的关键性能一致性数据。对于“产品使用一段时间后（t</w:t>
      </w:r>
      <w:r>
        <w:rPr>
          <w:rFonts w:hint="default" w:hAnsi="宋体"/>
          <w:kern w:val="2"/>
          <w:szCs w:val="30"/>
          <w:lang w:val="en"/>
        </w:rPr>
        <w:t>﹥</w:t>
      </w:r>
      <w:r>
        <w:rPr>
          <w:rFonts w:hint="eastAsia" w:hAnsi="宋体"/>
          <w:kern w:val="2"/>
          <w:szCs w:val="30"/>
        </w:rPr>
        <w:t>0）”的关键性能一致性评价，推荐采用现场使用达到一定时间的产品进行性能参数的测试，或采用在实验室经历过一定时间典型工作模式和环境条件的模拟试验后的产品进行性能参数测试。关键性能一致性根据实际测试结果计算性能参数的变异系数（一组数据的标准差与均值之比），使用时间越长且变异系数越低，则产品质量可靠性越好。</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关键性能退化量（I</w:t>
      </w:r>
      <w:r>
        <w:rPr>
          <w:rFonts w:hint="eastAsia" w:hAnsi="宋体"/>
          <w:kern w:val="2"/>
          <w:szCs w:val="30"/>
          <w:vertAlign w:val="subscript"/>
        </w:rPr>
        <w:t>d</w:t>
      </w:r>
      <w:r>
        <w:rPr>
          <w:rFonts w:hint="eastAsia" w:hAnsi="宋体"/>
          <w:kern w:val="2"/>
          <w:szCs w:val="30"/>
        </w:rPr>
        <w:t>）：是指质量检验合格的产品，在典型工作模式与环境条件下其关键性能参数长时间保持合格状态的特性。关键性能退化量评价推荐采用现场使用达到一定时间的产品进行性能参数测试，或采用在实验室经历过一定时间典型工作模式和环境条件的模拟使用试验后的产品进行性能参数测试。根据测试结果判断合格的产品，计算其性能退化程度，使用时间越长且性能退化程度越小，则产品质量可靠性越好。</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关键性能可靠域（I</w:t>
      </w:r>
      <w:r>
        <w:rPr>
          <w:rFonts w:hint="eastAsia" w:hAnsi="宋体"/>
          <w:kern w:val="2"/>
          <w:szCs w:val="30"/>
          <w:vertAlign w:val="subscript"/>
        </w:rPr>
        <w:t>r</w:t>
      </w:r>
      <w:r>
        <w:rPr>
          <w:rFonts w:hint="eastAsia" w:hAnsi="宋体"/>
          <w:kern w:val="2"/>
          <w:szCs w:val="30"/>
        </w:rPr>
        <w:t>）：是指质量检验合格的产品，能保证关键性能裕量大于零的各种极限应用场景。应用场景是产品实际使用中的环境应力和工作应力及其多种组合条件。企业应基于产品所属行业、细分领域及其功能和性能要求等内容，系统分析产品可能经历的各种极限应用场景。关键性能可靠域评价可采用产品实际使用时经历的各种极限应用场景信息和数据；也可以采用实验室测试方法，在模拟极限使用的工作模式与环境条件下，测试产品的关键性能参数，计算其裕量。每种极限应用场景至少测试一个样品，极限应用场景不少于3种。产品能耐受的极限应用场景的种类越多越严酷，其质量可靠性越好。</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楷体_GB2312" w:hAnsi="楷体_GB2312" w:eastAsia="楷体_GB2312" w:cs="楷体_GB2312"/>
          <w:kern w:val="2"/>
          <w:szCs w:val="30"/>
        </w:rPr>
      </w:pPr>
      <w:r>
        <w:rPr>
          <w:rFonts w:hint="eastAsia" w:ascii="楷体_GB2312" w:hAnsi="楷体_GB2312" w:eastAsia="楷体_GB2312" w:cs="楷体_GB2312"/>
          <w:kern w:val="2"/>
          <w:szCs w:val="30"/>
        </w:rPr>
        <w:t>（二）效益指标</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效益指标应反映产品质量可靠性水平提升取得的质量效益和社会效益，包括：售后责任故障数（率）（W）、创新性（C）、可推广性（G）等。在评价产品效益性指标（W、C、G）时需要考虑的因素主要包括（但不限于）：数据信息来源的可信性、计算方法的合理性、创新性、实用性、影响力、通用性等。</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售后责任故障数（率）（W）：是指在产品售后统计得到的由于产品自身质量可靠性问题导致的故障数量或故障比率。推荐企业提供开展产品质量可靠性提升工作前后的售后责任故障对比数据。</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创新性（C）：企业产品在质量可靠性水平提升工作中取得的可靠性技术与方法的各种创新，可以是可靠性科学和技术的颠覆性创新，也可以是可靠性工程和技术的应用创新。</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可推广性（G）：企业产品在质量可靠性水平提升工作中的可靠性技术与方法的对行业发展起到引领和带动作用，在行业内外具有广泛的借鉴意义。</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黑体" w:hAnsi="黑体" w:eastAsia="黑体" w:cs="黑体"/>
          <w:kern w:val="2"/>
          <w:szCs w:val="30"/>
        </w:rPr>
      </w:pPr>
      <w:r>
        <w:rPr>
          <w:rFonts w:hint="eastAsia" w:ascii="黑体" w:hAnsi="黑体" w:eastAsia="黑体" w:cs="黑体"/>
          <w:kern w:val="2"/>
          <w:szCs w:val="30"/>
        </w:rPr>
        <w:t>三、评价</w:t>
      </w:r>
      <w:bookmarkEnd w:id="4"/>
      <w:bookmarkStart w:id="5" w:name="_Toc136158893"/>
      <w:r>
        <w:rPr>
          <w:rFonts w:hint="eastAsia" w:ascii="黑体" w:hAnsi="黑体" w:eastAsia="黑体" w:cs="黑体"/>
          <w:kern w:val="2"/>
          <w:szCs w:val="30"/>
        </w:rPr>
        <w:t>总分</w:t>
      </w:r>
    </w:p>
    <w:bookmarkEnd w:id="5"/>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产品质量可靠性评价按照产品质量可靠性评分表（见附表）进行评分，总分的计算公式如下：</w:t>
      </w:r>
    </w:p>
    <w:p>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eastAsia" w:ascii="仿宋_GB2312" w:hAnsi="仿宋_GB2312" w:eastAsia="仿宋_GB2312" w:cs="仿宋_GB2312"/>
          <w:i/>
          <w:sz w:val="28"/>
          <w:szCs w:val="28"/>
        </w:rPr>
      </w:pPr>
      <m:oMathPara>
        <m:oMath>
          <m:r>
            <m:rPr>
              <m:sty m:val="p"/>
            </m:rPr>
            <w:rPr>
              <w:rFonts w:hint="eastAsia" w:ascii="DejaVu Math TeX Gyre" w:hAnsi="DejaVu Math TeX Gyre" w:eastAsia="仿宋_GB2312" w:cs="仿宋_GB2312"/>
              <w:sz w:val="28"/>
              <w:szCs w:val="28"/>
            </w:rPr>
            <m:t xml:space="preserve">评价总分 </m:t>
          </m:r>
          <m:r>
            <m:rPr/>
            <w:rPr>
              <w:rFonts w:hint="eastAsia" w:ascii="DejaVu Math TeX Gyre" w:hAnsi="DejaVu Math TeX Gyre" w:eastAsia="仿宋_GB2312" w:cs="仿宋_GB2312"/>
              <w:sz w:val="28"/>
              <w:szCs w:val="28"/>
            </w:rPr>
            <m:t>=</m:t>
          </m:r>
          <m:nary>
            <m:naryPr>
              <m:chr m:val="∑"/>
              <m:limLoc m:val="undOvr"/>
              <m:supHide m:val="true"/>
              <m:ctrlPr>
                <w:rPr>
                  <w:rFonts w:hint="eastAsia" w:ascii="DejaVu Math TeX Gyre" w:hAnsi="DejaVu Math TeX Gyre" w:eastAsia="仿宋_GB2312" w:cs="仿宋_GB2312"/>
                  <w:i/>
                  <w:sz w:val="28"/>
                  <w:szCs w:val="28"/>
                </w:rPr>
              </m:ctrlPr>
            </m:naryPr>
            <m:sub>
              <m:r>
                <m:rPr/>
                <w:rPr>
                  <w:rFonts w:hint="eastAsia" w:ascii="DejaVu Math TeX Gyre" w:hAnsi="DejaVu Math TeX Gyre" w:eastAsia="仿宋_GB2312" w:cs="仿宋_GB2312"/>
                  <w:sz w:val="28"/>
                  <w:szCs w:val="28"/>
                </w:rPr>
                <m:t>全部二级指标</m:t>
              </m:r>
              <m:ctrlPr>
                <w:rPr>
                  <w:rFonts w:hint="eastAsia" w:ascii="DejaVu Math TeX Gyre" w:hAnsi="DejaVu Math TeX Gyre" w:eastAsia="仿宋_GB2312" w:cs="仿宋_GB2312"/>
                  <w:i/>
                  <w:sz w:val="28"/>
                  <w:szCs w:val="28"/>
                </w:rPr>
              </m:ctrlPr>
            </m:sub>
            <m:sup>
              <m:ctrlPr>
                <w:rPr>
                  <w:rFonts w:hint="eastAsia" w:ascii="DejaVu Math TeX Gyre" w:hAnsi="DejaVu Math TeX Gyre" w:eastAsia="仿宋_GB2312" w:cs="仿宋_GB2312"/>
                  <w:i/>
                  <w:sz w:val="28"/>
                  <w:szCs w:val="28"/>
                </w:rPr>
              </m:ctrlPr>
            </m:sup>
            <m:e>
              <m:r>
                <m:rPr>
                  <m:sty m:val="p"/>
                </m:rPr>
                <w:rPr>
                  <w:rFonts w:hint="eastAsia" w:ascii="DejaVu Math TeX Gyre" w:hAnsi="DejaVu Math TeX Gyre" w:eastAsia="仿宋_GB2312" w:cs="仿宋_GB2312"/>
                  <w:sz w:val="28"/>
                  <w:szCs w:val="28"/>
                </w:rPr>
                <m:t>单项加权得分</m:t>
              </m:r>
              <m:ctrlPr>
                <w:rPr>
                  <w:rFonts w:hint="eastAsia" w:ascii="DejaVu Math TeX Gyre" w:hAnsi="DejaVu Math TeX Gyre" w:eastAsia="仿宋_GB2312" w:cs="仿宋_GB2312"/>
                  <w:i/>
                  <w:sz w:val="28"/>
                  <w:szCs w:val="28"/>
                </w:rPr>
              </m:ctrlPr>
            </m:e>
          </m:nary>
        </m:oMath>
      </m:oMathPara>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附表：产品质量可靠性评分表</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rPr>
          <w:rFonts w:hint="eastAsia" w:ascii="黑体" w:eastAsia="黑体"/>
          <w:kern w:val="2"/>
          <w:szCs w:val="30"/>
        </w:rPr>
      </w:pPr>
      <w:r>
        <w:rPr>
          <w:rFonts w:hint="eastAsia" w:ascii="黑体" w:eastAsia="黑体"/>
          <w:kern w:val="2"/>
          <w:szCs w:val="30"/>
        </w:rPr>
        <w:br w:type="page"/>
      </w:r>
    </w:p>
    <w:p>
      <w:pPr>
        <w:tabs>
          <w:tab w:val="left" w:pos="790"/>
          <w:tab w:val="left" w:pos="1264"/>
        </w:tabs>
        <w:overflowPunct w:val="0"/>
        <w:adjustRightInd w:val="0"/>
        <w:snapToGrid w:val="0"/>
        <w:rPr>
          <w:rFonts w:hint="eastAsia" w:ascii="黑体" w:eastAsia="黑体"/>
          <w:kern w:val="2"/>
          <w:szCs w:val="30"/>
          <w:lang w:eastAsia="zh-CN"/>
        </w:rPr>
      </w:pPr>
      <w:r>
        <w:rPr>
          <w:rFonts w:hint="eastAsia" w:ascii="黑体" w:eastAsia="黑体"/>
          <w:kern w:val="2"/>
          <w:szCs w:val="30"/>
        </w:rPr>
        <w:t>附</w:t>
      </w:r>
      <w:r>
        <w:rPr>
          <w:rFonts w:hint="eastAsia" w:ascii="黑体" w:eastAsia="黑体"/>
          <w:kern w:val="2"/>
          <w:szCs w:val="30"/>
          <w:lang w:eastAsia="zh-CN"/>
        </w:rPr>
        <w:t>表</w:t>
      </w:r>
    </w:p>
    <w:p>
      <w:pPr>
        <w:overflowPunct w:val="0"/>
        <w:adjustRightInd w:val="0"/>
        <w:snapToGrid w:val="0"/>
        <w:spacing w:line="336" w:lineRule="auto"/>
        <w:rPr>
          <w:rFonts w:hint="eastAsia"/>
          <w:kern w:val="2"/>
          <w:szCs w:val="30"/>
        </w:rPr>
      </w:pPr>
    </w:p>
    <w:p>
      <w:pPr>
        <w:keepNext w:val="0"/>
        <w:keepLines w:val="0"/>
        <w:pageBreakBefore w:val="0"/>
        <w:widowControl w:val="0"/>
        <w:tabs>
          <w:tab w:val="left" w:pos="790"/>
        </w:tabs>
        <w:kinsoku/>
        <w:wordWrap/>
        <w:overflowPunct w:val="0"/>
        <w:topLinePunct w:val="0"/>
        <w:autoSpaceDE/>
        <w:autoSpaceDN/>
        <w:bidi w:val="0"/>
        <w:adjustRightInd w:val="0"/>
        <w:snapToGrid w:val="0"/>
        <w:spacing w:line="240" w:lineRule="auto"/>
        <w:jc w:val="center"/>
        <w:textAlignment w:val="auto"/>
        <w:rPr>
          <w:rFonts w:hint="eastAsia" w:ascii="方正小标宋简体" w:hAnsi="宋体" w:eastAsia="方正小标宋简体"/>
          <w:w w:val="97"/>
          <w:kern w:val="2"/>
          <w:sz w:val="44"/>
          <w:szCs w:val="44"/>
        </w:rPr>
      </w:pPr>
      <w:r>
        <w:rPr>
          <w:rFonts w:hint="eastAsia" w:ascii="方正小标宋简体" w:hAnsi="宋体" w:eastAsia="方正小标宋简体"/>
          <w:w w:val="97"/>
          <w:kern w:val="2"/>
          <w:sz w:val="44"/>
          <w:szCs w:val="44"/>
        </w:rPr>
        <w:t>产品质量可靠性评分表</w:t>
      </w:r>
    </w:p>
    <w:p>
      <w:pPr>
        <w:keepNext w:val="0"/>
        <w:keepLines w:val="0"/>
        <w:pageBreakBefore w:val="0"/>
        <w:widowControl w:val="0"/>
        <w:kinsoku/>
        <w:wordWrap/>
        <w:overflowPunct w:val="0"/>
        <w:topLinePunct w:val="0"/>
        <w:autoSpaceDE/>
        <w:autoSpaceDN/>
        <w:bidi w:val="0"/>
        <w:adjustRightInd w:val="0"/>
        <w:snapToGrid w:val="0"/>
        <w:spacing w:line="240" w:lineRule="auto"/>
        <w:textAlignment w:val="auto"/>
        <w:rPr>
          <w:rFonts w:hint="eastAsia"/>
          <w:kern w:val="2"/>
          <w:sz w:val="32"/>
          <w:szCs w:val="32"/>
        </w:rPr>
      </w:pPr>
    </w:p>
    <w:tbl>
      <w:tblPr>
        <w:tblStyle w:val="8"/>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7" w:type="dxa"/>
          <w:left w:w="108" w:type="dxa"/>
          <w:bottom w:w="17" w:type="dxa"/>
          <w:right w:w="108" w:type="dxa"/>
        </w:tblCellMar>
      </w:tblPr>
      <w:tblGrid>
        <w:gridCol w:w="714"/>
        <w:gridCol w:w="1080"/>
        <w:gridCol w:w="570"/>
        <w:gridCol w:w="4140"/>
        <w:gridCol w:w="855"/>
        <w:gridCol w:w="735"/>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tblHeader/>
          <w:jc w:val="center"/>
        </w:trPr>
        <w:tc>
          <w:tcPr>
            <w:tcW w:w="714"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黑体" w:hAnsi="黑体" w:eastAsia="黑体" w:cs="黑体"/>
                <w:b w:val="0"/>
                <w:bCs w:val="0"/>
                <w:kern w:val="0"/>
                <w:sz w:val="21"/>
                <w:szCs w:val="21"/>
                <w14:ligatures w14:val="none"/>
              </w:rPr>
            </w:pPr>
            <w:r>
              <w:rPr>
                <w:rFonts w:hint="eastAsia" w:ascii="黑体" w:hAnsi="黑体" w:eastAsia="黑体" w:cs="黑体"/>
                <w:b w:val="0"/>
                <w:bCs w:val="0"/>
                <w:kern w:val="0"/>
                <w:sz w:val="21"/>
                <w:szCs w:val="21"/>
                <w14:ligatures w14:val="none"/>
              </w:rPr>
              <w:t>一级</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黑体" w:hAnsi="黑体" w:eastAsia="黑体" w:cs="黑体"/>
                <w:b w:val="0"/>
                <w:bCs w:val="0"/>
                <w:kern w:val="0"/>
                <w:sz w:val="21"/>
                <w:szCs w:val="21"/>
                <w14:ligatures w14:val="none"/>
              </w:rPr>
            </w:pPr>
            <w:r>
              <w:rPr>
                <w:rFonts w:hint="eastAsia" w:ascii="黑体" w:hAnsi="黑体" w:eastAsia="黑体" w:cs="黑体"/>
                <w:b w:val="0"/>
                <w:bCs w:val="0"/>
                <w:kern w:val="0"/>
                <w:sz w:val="21"/>
                <w:szCs w:val="21"/>
                <w14:ligatures w14:val="none"/>
              </w:rPr>
              <w:t>指标</w:t>
            </w:r>
          </w:p>
        </w:tc>
        <w:tc>
          <w:tcPr>
            <w:tcW w:w="108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黑体" w:hAnsi="黑体" w:eastAsia="黑体" w:cs="黑体"/>
                <w:b w:val="0"/>
                <w:bCs w:val="0"/>
                <w:kern w:val="0"/>
                <w:sz w:val="21"/>
                <w:szCs w:val="21"/>
                <w14:ligatures w14:val="none"/>
              </w:rPr>
            </w:pPr>
            <w:r>
              <w:rPr>
                <w:rFonts w:hint="eastAsia" w:ascii="黑体" w:hAnsi="黑体" w:eastAsia="黑体" w:cs="黑体"/>
                <w:b w:val="0"/>
                <w:bCs w:val="0"/>
                <w:kern w:val="0"/>
                <w:sz w:val="21"/>
                <w:szCs w:val="21"/>
                <w14:ligatures w14:val="none"/>
              </w:rPr>
              <w:t>二级</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黑体" w:hAnsi="黑体" w:eastAsia="黑体" w:cs="黑体"/>
                <w:b w:val="0"/>
                <w:bCs w:val="0"/>
                <w:kern w:val="0"/>
                <w:sz w:val="21"/>
                <w:szCs w:val="21"/>
                <w14:ligatures w14:val="none"/>
              </w:rPr>
            </w:pPr>
            <w:r>
              <w:rPr>
                <w:rFonts w:hint="eastAsia" w:ascii="黑体" w:hAnsi="黑体" w:eastAsia="黑体" w:cs="黑体"/>
                <w:b w:val="0"/>
                <w:bCs w:val="0"/>
                <w:kern w:val="0"/>
                <w:sz w:val="21"/>
                <w:szCs w:val="21"/>
                <w14:ligatures w14:val="none"/>
              </w:rPr>
              <w:t>指标</w:t>
            </w:r>
          </w:p>
        </w:tc>
        <w:tc>
          <w:tcPr>
            <w:tcW w:w="57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黑体" w:hAnsi="黑体" w:eastAsia="黑体" w:cs="黑体"/>
                <w:b w:val="0"/>
                <w:bCs w:val="0"/>
                <w:kern w:val="0"/>
                <w:sz w:val="21"/>
                <w:szCs w:val="21"/>
                <w14:ligatures w14:val="none"/>
              </w:rPr>
            </w:pPr>
            <w:r>
              <w:rPr>
                <w:rFonts w:hint="eastAsia" w:ascii="黑体" w:hAnsi="黑体" w:eastAsia="黑体" w:cs="黑体"/>
                <w:b w:val="0"/>
                <w:bCs w:val="0"/>
                <w:kern w:val="0"/>
                <w:sz w:val="21"/>
                <w:szCs w:val="21"/>
                <w14:ligatures w14:val="none"/>
              </w:rPr>
              <w:t>权</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黑体" w:hAnsi="黑体" w:eastAsia="黑体" w:cs="黑体"/>
                <w:b w:val="0"/>
                <w:bCs w:val="0"/>
                <w:kern w:val="0"/>
                <w:sz w:val="21"/>
                <w:szCs w:val="21"/>
                <w14:ligatures w14:val="none"/>
              </w:rPr>
            </w:pPr>
            <w:r>
              <w:rPr>
                <w:rFonts w:hint="eastAsia" w:ascii="黑体" w:hAnsi="黑体" w:eastAsia="黑体" w:cs="黑体"/>
                <w:b w:val="0"/>
                <w:bCs w:val="0"/>
                <w:kern w:val="0"/>
                <w:sz w:val="21"/>
                <w:szCs w:val="21"/>
                <w14:ligatures w14:val="none"/>
              </w:rPr>
              <w:t>重</w:t>
            </w: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黑体" w:hAnsi="黑体" w:eastAsia="黑体" w:cs="黑体"/>
                <w:b w:val="0"/>
                <w:bCs w:val="0"/>
                <w:kern w:val="0"/>
                <w:sz w:val="21"/>
                <w:szCs w:val="21"/>
                <w14:ligatures w14:val="none"/>
              </w:rPr>
            </w:pPr>
            <w:r>
              <w:rPr>
                <w:rFonts w:hint="eastAsia" w:ascii="黑体" w:hAnsi="黑体" w:eastAsia="黑体" w:cs="黑体"/>
                <w:b w:val="0"/>
                <w:bCs w:val="0"/>
                <w:kern w:val="0"/>
                <w:sz w:val="21"/>
                <w:szCs w:val="21"/>
                <w14:ligatures w14:val="none"/>
              </w:rPr>
              <w:t>评价准则</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黑体" w:hAnsi="黑体" w:eastAsia="黑体" w:cs="黑体"/>
                <w:b w:val="0"/>
                <w:bCs w:val="0"/>
                <w:kern w:val="0"/>
                <w:sz w:val="21"/>
                <w:szCs w:val="21"/>
                <w14:ligatures w14:val="none"/>
              </w:rPr>
            </w:pPr>
            <w:r>
              <w:rPr>
                <w:rFonts w:hint="eastAsia" w:ascii="黑体" w:hAnsi="黑体" w:eastAsia="黑体" w:cs="黑体"/>
                <w:b w:val="0"/>
                <w:bCs w:val="0"/>
                <w:kern w:val="0"/>
                <w:sz w:val="21"/>
                <w:szCs w:val="21"/>
                <w14:ligatures w14:val="none"/>
              </w:rPr>
              <w:t>参考</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黑体" w:hAnsi="黑体" w:eastAsia="黑体" w:cs="黑体"/>
                <w:b w:val="0"/>
                <w:bCs w:val="0"/>
                <w:kern w:val="0"/>
                <w:sz w:val="21"/>
                <w:szCs w:val="21"/>
                <w14:ligatures w14:val="none"/>
              </w:rPr>
            </w:pPr>
            <w:r>
              <w:rPr>
                <w:rFonts w:hint="eastAsia" w:ascii="黑体" w:hAnsi="黑体" w:eastAsia="黑体" w:cs="黑体"/>
                <w:b w:val="0"/>
                <w:bCs w:val="0"/>
                <w:kern w:val="0"/>
                <w:sz w:val="21"/>
                <w:szCs w:val="21"/>
                <w14:ligatures w14:val="none"/>
              </w:rPr>
              <w:t>分值</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51" w:right="-51" w:firstLine="0" w:firstLineChars="0"/>
              <w:jc w:val="center"/>
              <w:textAlignment w:val="auto"/>
              <w:rPr>
                <w:rFonts w:hint="eastAsia" w:ascii="黑体" w:hAnsi="黑体" w:eastAsia="黑体" w:cs="黑体"/>
                <w:b w:val="0"/>
                <w:bCs w:val="0"/>
                <w:kern w:val="0"/>
                <w:sz w:val="21"/>
                <w:szCs w:val="21"/>
                <w14:ligatures w14:val="none"/>
              </w:rPr>
            </w:pPr>
            <w:r>
              <w:rPr>
                <w:rFonts w:hint="eastAsia" w:ascii="黑体" w:hAnsi="黑体" w:eastAsia="黑体" w:cs="黑体"/>
                <w:b w:val="0"/>
                <w:bCs w:val="0"/>
                <w:kern w:val="0"/>
                <w:sz w:val="21"/>
                <w:szCs w:val="21"/>
                <w14:ligatures w14:val="none"/>
              </w:rPr>
              <w:t>单项原始得分</w:t>
            </w:r>
          </w:p>
        </w:tc>
        <w:tc>
          <w:tcPr>
            <w:tcW w:w="7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51" w:right="-51" w:firstLine="0" w:firstLineChars="0"/>
              <w:jc w:val="center"/>
              <w:textAlignment w:val="auto"/>
              <w:rPr>
                <w:rFonts w:hint="eastAsia" w:ascii="黑体" w:hAnsi="黑体" w:eastAsia="黑体" w:cs="黑体"/>
                <w:b w:val="0"/>
                <w:bCs w:val="0"/>
                <w:kern w:val="0"/>
                <w:sz w:val="21"/>
                <w:szCs w:val="21"/>
                <w14:ligatures w14:val="none"/>
              </w:rPr>
            </w:pPr>
            <w:r>
              <w:rPr>
                <w:rFonts w:hint="eastAsia" w:ascii="黑体" w:hAnsi="黑体" w:eastAsia="黑体" w:cs="黑体"/>
                <w:b w:val="0"/>
                <w:bCs w:val="0"/>
                <w:kern w:val="0"/>
                <w:sz w:val="21"/>
                <w:szCs w:val="21"/>
                <w14:ligatures w14:val="none"/>
              </w:rPr>
              <w:t>单项加权得分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737" w:hRule="atLeast"/>
          <w:jc w:val="center"/>
        </w:trPr>
        <w:tc>
          <w:tcPr>
            <w:tcW w:w="714"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专业</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指标</w:t>
            </w:r>
          </w:p>
        </w:tc>
        <w:tc>
          <w:tcPr>
            <w:tcW w:w="108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关键性能</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一致性</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（I</w:t>
            </w:r>
            <w:r>
              <w:rPr>
                <w:rFonts w:hint="eastAsia" w:ascii="仿宋_GB2312" w:hAnsi="仿宋_GB2312" w:eastAsia="仿宋_GB2312" w:cs="仿宋_GB2312"/>
                <w:kern w:val="0"/>
                <w:sz w:val="21"/>
                <w:szCs w:val="21"/>
                <w:vertAlign w:val="subscript"/>
                <w14:ligatures w14:val="none"/>
              </w:rPr>
              <w:t>c</w:t>
            </w:r>
            <w:r>
              <w:rPr>
                <w:rFonts w:hint="eastAsia" w:ascii="仿宋_GB2312" w:hAnsi="仿宋_GB2312" w:eastAsia="仿宋_GB2312" w:cs="仿宋_GB2312"/>
                <w:kern w:val="0"/>
                <w:sz w:val="21"/>
                <w:szCs w:val="21"/>
                <w14:ligatures w14:val="none"/>
              </w:rPr>
              <w:t>）</w:t>
            </w:r>
          </w:p>
        </w:tc>
        <w:tc>
          <w:tcPr>
            <w:tcW w:w="57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20%</w:t>
            </w: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在满足“基本要求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”的基础上，产品出厂时（t</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0）和产品使用一段时间后（t</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0）两个阶段的关键性能一致性都很好。</w:t>
            </w:r>
          </w:p>
        </w:tc>
        <w:tc>
          <w:tcPr>
            <w:tcW w:w="8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28" w:right="-28" w:firstLine="0" w:firstLineChars="0"/>
              <w:jc w:val="center"/>
              <w:textAlignment w:val="auto"/>
              <w:rPr>
                <w:rFonts w:hint="eastAsia" w:ascii="仿宋_GB2312" w:hAnsi="仿宋_GB2312" w:eastAsia="仿宋_GB2312" w:cs="仿宋_GB2312"/>
                <w:spacing w:val="-6"/>
                <w:kern w:val="0"/>
                <w:sz w:val="21"/>
                <w:szCs w:val="21"/>
                <w14:ligatures w14:val="none"/>
              </w:rPr>
            </w:pPr>
            <w:r>
              <w:rPr>
                <w:rFonts w:hint="eastAsia" w:ascii="仿宋_GB2312" w:hAnsi="仿宋_GB2312" w:eastAsia="仿宋_GB2312" w:cs="仿宋_GB2312"/>
                <w:spacing w:val="-6"/>
                <w:kern w:val="0"/>
                <w:sz w:val="21"/>
                <w:szCs w:val="21"/>
                <w14:ligatures w14:val="none"/>
              </w:rPr>
              <w:t>91</w:t>
            </w:r>
            <w:r>
              <w:rPr>
                <w:rFonts w:hint="default" w:cs="仿宋_GB2312"/>
                <w:spacing w:val="-6"/>
                <w:kern w:val="0"/>
                <w:sz w:val="21"/>
                <w:szCs w:val="21"/>
                <w:lang w:val="en"/>
                <w14:ligatures w14:val="none"/>
              </w:rPr>
              <w:t>～</w:t>
            </w:r>
            <w:r>
              <w:rPr>
                <w:rFonts w:hint="eastAsia" w:ascii="仿宋_GB2312" w:hAnsi="仿宋_GB2312" w:eastAsia="仿宋_GB2312" w:cs="仿宋_GB2312"/>
                <w:spacing w:val="-6"/>
                <w:kern w:val="0"/>
                <w:sz w:val="21"/>
                <w:szCs w:val="21"/>
                <w14:ligatures w14:val="none"/>
              </w:rPr>
              <w:t>100</w:t>
            </w:r>
          </w:p>
        </w:tc>
        <w:tc>
          <w:tcPr>
            <w:tcW w:w="735"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737"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在满足“基本要求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”的基础上，产品出厂时（t</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0）和产品使用一段时间后（t</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0）两个阶段的关键性能一致性都较好。</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71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90</w:t>
            </w:r>
          </w:p>
        </w:tc>
        <w:tc>
          <w:tcPr>
            <w:tcW w:w="73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680"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在满足“基本要求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”的基础上，产品出厂时（t</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0）关键性能一致性较好。</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41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70</w:t>
            </w:r>
          </w:p>
        </w:tc>
        <w:tc>
          <w:tcPr>
            <w:tcW w:w="73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680"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产品出厂时（t</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0）关键性能一致性较差，</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或不满足评价的“基本要求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0</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40</w:t>
            </w:r>
          </w:p>
        </w:tc>
        <w:tc>
          <w:tcPr>
            <w:tcW w:w="73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737"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关键性能</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退化量</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（I</w:t>
            </w:r>
            <w:r>
              <w:rPr>
                <w:rFonts w:hint="eastAsia" w:ascii="仿宋_GB2312" w:hAnsi="仿宋_GB2312" w:eastAsia="仿宋_GB2312" w:cs="仿宋_GB2312"/>
                <w:kern w:val="0"/>
                <w:sz w:val="21"/>
                <w:szCs w:val="21"/>
                <w:vertAlign w:val="subscript"/>
                <w14:ligatures w14:val="none"/>
              </w:rPr>
              <w:t>d</w:t>
            </w:r>
            <w:r>
              <w:rPr>
                <w:rFonts w:hint="eastAsia" w:ascii="仿宋_GB2312" w:hAnsi="仿宋_GB2312" w:eastAsia="仿宋_GB2312" w:cs="仿宋_GB2312"/>
                <w:kern w:val="0"/>
                <w:sz w:val="21"/>
                <w:szCs w:val="21"/>
                <w14:ligatures w14:val="none"/>
              </w:rPr>
              <w:t>）</w:t>
            </w:r>
          </w:p>
        </w:tc>
        <w:tc>
          <w:tcPr>
            <w:tcW w:w="57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25%</w:t>
            </w: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在满足“基本要求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”的基础上，典型应用场景下，产品关键性能参数在寿命期内退化量很小，对产品功能和性能指标无影响，且建立了有效的退化模型。</w:t>
            </w:r>
          </w:p>
        </w:tc>
        <w:tc>
          <w:tcPr>
            <w:tcW w:w="8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28" w:right="-28" w:firstLine="0" w:firstLineChars="0"/>
              <w:jc w:val="center"/>
              <w:textAlignment w:val="auto"/>
              <w:rPr>
                <w:rFonts w:hint="eastAsia" w:ascii="仿宋_GB2312" w:hAnsi="仿宋_GB2312" w:eastAsia="仿宋_GB2312" w:cs="仿宋_GB2312"/>
                <w:spacing w:val="-6"/>
                <w:kern w:val="0"/>
                <w:sz w:val="21"/>
                <w:szCs w:val="21"/>
                <w14:ligatures w14:val="none"/>
              </w:rPr>
            </w:pPr>
            <w:r>
              <w:rPr>
                <w:rFonts w:hint="eastAsia" w:ascii="仿宋_GB2312" w:hAnsi="仿宋_GB2312" w:eastAsia="仿宋_GB2312" w:cs="仿宋_GB2312"/>
                <w:spacing w:val="-6"/>
                <w:kern w:val="0"/>
                <w:sz w:val="21"/>
                <w:szCs w:val="21"/>
                <w14:ligatures w14:val="none"/>
              </w:rPr>
              <w:t>91</w:t>
            </w:r>
            <w:r>
              <w:rPr>
                <w:rFonts w:hint="default" w:ascii="仿宋_GB2312" w:hAnsi="仿宋_GB2312" w:eastAsia="仿宋_GB2312" w:cs="仿宋_GB2312"/>
                <w:spacing w:val="-6"/>
                <w:kern w:val="0"/>
                <w:sz w:val="21"/>
                <w:szCs w:val="21"/>
                <w:lang w:val="en"/>
                <w14:ligatures w14:val="none"/>
              </w:rPr>
              <w:t>～</w:t>
            </w:r>
            <w:r>
              <w:rPr>
                <w:rFonts w:hint="eastAsia" w:ascii="仿宋_GB2312" w:hAnsi="仿宋_GB2312" w:eastAsia="仿宋_GB2312" w:cs="仿宋_GB2312"/>
                <w:spacing w:val="-6"/>
                <w:kern w:val="0"/>
                <w:sz w:val="21"/>
                <w:szCs w:val="21"/>
                <w14:ligatures w14:val="none"/>
              </w:rPr>
              <w:t>100</w:t>
            </w:r>
          </w:p>
        </w:tc>
        <w:tc>
          <w:tcPr>
            <w:tcW w:w="735"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color w:val="FF0000"/>
                <w:kern w:val="0"/>
                <w:sz w:val="21"/>
                <w:szCs w:val="21"/>
                <w14:ligatures w14:val="none"/>
              </w:rPr>
            </w:pPr>
          </w:p>
        </w:tc>
        <w:tc>
          <w:tcPr>
            <w:tcW w:w="75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737"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在满足“基本要求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”的基础上，典型应用场景下，产品关键性能参数在寿命期内退化量较小，不影响产品功能和性能指标。</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71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90</w:t>
            </w:r>
          </w:p>
        </w:tc>
        <w:tc>
          <w:tcPr>
            <w:tcW w:w="73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737"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在满足“基本要求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”的基础上，典型应用场景下，产品关键性能参数在寿命期内退化量较大，部分影响产品功能和性能。</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41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70</w:t>
            </w:r>
          </w:p>
        </w:tc>
        <w:tc>
          <w:tcPr>
            <w:tcW w:w="73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737"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典型应用场景下，产品关键性能参数在寿命期内退化量很大，严重影响产品功能和性能，或不满足评价的“基本要求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0</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40</w:t>
            </w:r>
          </w:p>
        </w:tc>
        <w:tc>
          <w:tcPr>
            <w:tcW w:w="73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737"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关键性能</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可靠域</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（I</w:t>
            </w:r>
            <w:r>
              <w:rPr>
                <w:rFonts w:hint="eastAsia" w:ascii="仿宋_GB2312" w:hAnsi="仿宋_GB2312" w:eastAsia="仿宋_GB2312" w:cs="仿宋_GB2312"/>
                <w:kern w:val="0"/>
                <w:sz w:val="21"/>
                <w:szCs w:val="21"/>
                <w:vertAlign w:val="subscript"/>
                <w14:ligatures w14:val="none"/>
              </w:rPr>
              <w:t>r</w:t>
            </w:r>
            <w:r>
              <w:rPr>
                <w:rFonts w:hint="eastAsia" w:ascii="仿宋_GB2312" w:hAnsi="仿宋_GB2312" w:eastAsia="仿宋_GB2312" w:cs="仿宋_GB2312"/>
                <w:kern w:val="0"/>
                <w:sz w:val="21"/>
                <w:szCs w:val="21"/>
                <w14:ligatures w14:val="none"/>
              </w:rPr>
              <w:t>）</w:t>
            </w:r>
          </w:p>
        </w:tc>
        <w:tc>
          <w:tcPr>
            <w:tcW w:w="57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25%</w:t>
            </w: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在满足“基本要求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”的基础上，产品关键性能裕量大于零的极限应用场景覆盖非常全面，表述信息和数据详实。</w:t>
            </w:r>
          </w:p>
        </w:tc>
        <w:tc>
          <w:tcPr>
            <w:tcW w:w="8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28" w:right="-28" w:firstLine="0" w:firstLineChars="0"/>
              <w:jc w:val="center"/>
              <w:textAlignment w:val="auto"/>
              <w:rPr>
                <w:rFonts w:hint="eastAsia" w:ascii="仿宋_GB2312" w:hAnsi="仿宋_GB2312" w:eastAsia="仿宋_GB2312" w:cs="仿宋_GB2312"/>
                <w:spacing w:val="-6"/>
                <w:kern w:val="0"/>
                <w:sz w:val="21"/>
                <w:szCs w:val="21"/>
                <w14:ligatures w14:val="none"/>
              </w:rPr>
            </w:pPr>
            <w:r>
              <w:rPr>
                <w:rFonts w:hint="eastAsia" w:ascii="仿宋_GB2312" w:hAnsi="仿宋_GB2312" w:eastAsia="仿宋_GB2312" w:cs="仿宋_GB2312"/>
                <w:spacing w:val="-6"/>
                <w:kern w:val="0"/>
                <w:sz w:val="21"/>
                <w:szCs w:val="21"/>
                <w14:ligatures w14:val="none"/>
              </w:rPr>
              <w:t>91</w:t>
            </w:r>
            <w:r>
              <w:rPr>
                <w:rFonts w:hint="default" w:ascii="仿宋_GB2312" w:hAnsi="仿宋_GB2312" w:eastAsia="仿宋_GB2312" w:cs="仿宋_GB2312"/>
                <w:spacing w:val="-6"/>
                <w:kern w:val="0"/>
                <w:sz w:val="21"/>
                <w:szCs w:val="21"/>
                <w:lang w:val="en"/>
                <w14:ligatures w14:val="none"/>
              </w:rPr>
              <w:t>～</w:t>
            </w:r>
            <w:r>
              <w:rPr>
                <w:rFonts w:hint="eastAsia" w:ascii="仿宋_GB2312" w:hAnsi="仿宋_GB2312" w:eastAsia="仿宋_GB2312" w:cs="仿宋_GB2312"/>
                <w:spacing w:val="-6"/>
                <w:kern w:val="0"/>
                <w:sz w:val="21"/>
                <w:szCs w:val="21"/>
                <w14:ligatures w14:val="none"/>
              </w:rPr>
              <w:t>100</w:t>
            </w:r>
          </w:p>
        </w:tc>
        <w:tc>
          <w:tcPr>
            <w:tcW w:w="735"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737"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在满足“基本要求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”的基础上，产品关键性能裕量大于零的极限应用场景覆盖较全面，表述信息和数据较详实。</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71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90</w:t>
            </w:r>
          </w:p>
        </w:tc>
        <w:tc>
          <w:tcPr>
            <w:tcW w:w="73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737"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在满足“基本要求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”的基础上，产品关键性能裕量大于零的极限应用场景覆盖情况有限，表述信息和数据较详实。</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41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70</w:t>
            </w:r>
          </w:p>
        </w:tc>
        <w:tc>
          <w:tcPr>
            <w:tcW w:w="73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737" w:hRule="atLeast"/>
          <w:jc w:val="center"/>
        </w:trPr>
        <w:tc>
          <w:tcPr>
            <w:tcW w:w="71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产品关键性能裕量大于零的极限应用场景覆盖严重不足，表述信息和数据不够详实，或不满足评价的“基本要求</w:t>
            </w:r>
            <w:r>
              <w:rPr>
                <w:rFonts w:hint="eastAsia" w:cs="仿宋_GB2312"/>
                <w:kern w:val="0"/>
                <w:sz w:val="21"/>
                <w:szCs w:val="21"/>
                <w:lang w:eastAsia="zh-CN"/>
                <w14:ligatures w14:val="none"/>
              </w:rPr>
              <w:t>（</w:t>
            </w:r>
            <w:r>
              <w:rPr>
                <w:rFonts w:hint="eastAsia" w:ascii="仿宋_GB2312" w:hAnsi="仿宋_GB2312" w:eastAsia="仿宋_GB2312" w:cs="仿宋_GB2312"/>
                <w:kern w:val="0"/>
                <w:sz w:val="21"/>
                <w:szCs w:val="21"/>
                <w14:ligatures w14:val="none"/>
              </w:rPr>
              <w:t>a</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0</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40</w:t>
            </w:r>
          </w:p>
        </w:tc>
        <w:tc>
          <w:tcPr>
            <w:tcW w:w="73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效益</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指标</w:t>
            </w:r>
          </w:p>
        </w:tc>
        <w:tc>
          <w:tcPr>
            <w:tcW w:w="108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售后责任</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故障数（率）</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（W）</w:t>
            </w:r>
          </w:p>
        </w:tc>
        <w:tc>
          <w:tcPr>
            <w:tcW w:w="57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15%</w:t>
            </w: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产品售后责任故障数（率）很少（低），强化了企业的品牌和声誉，是企业的核心竞争力之一。</w:t>
            </w:r>
          </w:p>
        </w:tc>
        <w:tc>
          <w:tcPr>
            <w:tcW w:w="8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28" w:right="-28" w:firstLine="0" w:firstLineChars="0"/>
              <w:jc w:val="center"/>
              <w:textAlignment w:val="auto"/>
              <w:rPr>
                <w:rFonts w:hint="eastAsia" w:ascii="仿宋_GB2312" w:hAnsi="仿宋_GB2312" w:eastAsia="仿宋_GB2312" w:cs="仿宋_GB2312"/>
                <w:spacing w:val="-6"/>
                <w:kern w:val="0"/>
                <w:sz w:val="21"/>
                <w:szCs w:val="21"/>
                <w14:ligatures w14:val="none"/>
              </w:rPr>
            </w:pPr>
            <w:r>
              <w:rPr>
                <w:rFonts w:hint="eastAsia" w:ascii="仿宋_GB2312" w:hAnsi="仿宋_GB2312" w:eastAsia="仿宋_GB2312" w:cs="仿宋_GB2312"/>
                <w:spacing w:val="-6"/>
                <w:kern w:val="0"/>
                <w:sz w:val="21"/>
                <w:szCs w:val="21"/>
                <w14:ligatures w14:val="none"/>
              </w:rPr>
              <w:t>91</w:t>
            </w:r>
            <w:r>
              <w:rPr>
                <w:rFonts w:hint="default" w:ascii="仿宋_GB2312" w:hAnsi="仿宋_GB2312" w:eastAsia="仿宋_GB2312" w:cs="仿宋_GB2312"/>
                <w:spacing w:val="-6"/>
                <w:kern w:val="0"/>
                <w:sz w:val="21"/>
                <w:szCs w:val="21"/>
                <w:lang w:val="en"/>
                <w14:ligatures w14:val="none"/>
              </w:rPr>
              <w:t>～</w:t>
            </w:r>
            <w:r>
              <w:rPr>
                <w:rFonts w:hint="eastAsia" w:ascii="仿宋_GB2312" w:hAnsi="仿宋_GB2312" w:eastAsia="仿宋_GB2312" w:cs="仿宋_GB2312"/>
                <w:spacing w:val="-6"/>
                <w:kern w:val="0"/>
                <w:sz w:val="21"/>
                <w:szCs w:val="21"/>
                <w14:ligatures w14:val="none"/>
              </w:rPr>
              <w:t>100</w:t>
            </w:r>
          </w:p>
        </w:tc>
        <w:tc>
          <w:tcPr>
            <w:tcW w:w="735"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产品售后责任故障数（率）较少（低），对企业综合成本和声誉基本没有影响。</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71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90</w:t>
            </w:r>
          </w:p>
        </w:tc>
        <w:tc>
          <w:tcPr>
            <w:tcW w:w="73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产品售后责任故障数（率）较多（高），对企业综合成本和声誉有一定程度影响。</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41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70</w:t>
            </w:r>
          </w:p>
        </w:tc>
        <w:tc>
          <w:tcPr>
            <w:tcW w:w="73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产品售后责任故障数（率）很多（高），严重影响企业综合成本和声誉。</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0</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40</w:t>
            </w:r>
          </w:p>
        </w:tc>
        <w:tc>
          <w:tcPr>
            <w:tcW w:w="73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创新性</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（C）</w:t>
            </w:r>
          </w:p>
        </w:tc>
        <w:tc>
          <w:tcPr>
            <w:tcW w:w="57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5%</w:t>
            </w: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企业在产品质量可靠性水平提升工作中采用的可靠性技术和/或方法具有颠覆式创新性。</w:t>
            </w:r>
          </w:p>
        </w:tc>
        <w:tc>
          <w:tcPr>
            <w:tcW w:w="8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28" w:right="-28" w:firstLine="0" w:firstLineChars="0"/>
              <w:jc w:val="center"/>
              <w:textAlignment w:val="auto"/>
              <w:rPr>
                <w:rFonts w:hint="eastAsia" w:ascii="仿宋_GB2312" w:hAnsi="仿宋_GB2312" w:eastAsia="仿宋_GB2312" w:cs="仿宋_GB2312"/>
                <w:spacing w:val="-6"/>
                <w:kern w:val="0"/>
                <w:sz w:val="21"/>
                <w:szCs w:val="21"/>
                <w14:ligatures w14:val="none"/>
              </w:rPr>
            </w:pPr>
            <w:r>
              <w:rPr>
                <w:rFonts w:hint="eastAsia" w:ascii="仿宋_GB2312" w:hAnsi="仿宋_GB2312" w:eastAsia="仿宋_GB2312" w:cs="仿宋_GB2312"/>
                <w:spacing w:val="-6"/>
                <w:kern w:val="0"/>
                <w:sz w:val="21"/>
                <w:szCs w:val="21"/>
                <w14:ligatures w14:val="none"/>
              </w:rPr>
              <w:t>91</w:t>
            </w:r>
            <w:r>
              <w:rPr>
                <w:rFonts w:hint="default" w:ascii="仿宋_GB2312" w:hAnsi="仿宋_GB2312" w:eastAsia="仿宋_GB2312" w:cs="仿宋_GB2312"/>
                <w:spacing w:val="-6"/>
                <w:kern w:val="0"/>
                <w:sz w:val="21"/>
                <w:szCs w:val="21"/>
                <w:lang w:val="en"/>
                <w14:ligatures w14:val="none"/>
              </w:rPr>
              <w:t>～</w:t>
            </w:r>
            <w:r>
              <w:rPr>
                <w:rFonts w:hint="eastAsia" w:ascii="仿宋_GB2312" w:hAnsi="仿宋_GB2312" w:eastAsia="仿宋_GB2312" w:cs="仿宋_GB2312"/>
                <w:spacing w:val="-6"/>
                <w:kern w:val="0"/>
                <w:sz w:val="21"/>
                <w:szCs w:val="21"/>
                <w14:ligatures w14:val="none"/>
              </w:rPr>
              <w:t>100</w:t>
            </w:r>
          </w:p>
        </w:tc>
        <w:tc>
          <w:tcPr>
            <w:tcW w:w="735"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企业在产品质量可靠性水平提升工作中采取的可靠性技术和/或方法具有较强的应用创新性。</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71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90</w:t>
            </w:r>
          </w:p>
        </w:tc>
        <w:tc>
          <w:tcPr>
            <w:tcW w:w="73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企业在产品质量可靠性水平提升工作中采取的可靠性技术和/或方法具有一定的应用创新性。</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41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70</w:t>
            </w:r>
          </w:p>
        </w:tc>
        <w:tc>
          <w:tcPr>
            <w:tcW w:w="73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企业在产品质量可靠性水平提升工作中采取的可靠性技术和/或方法为常规技术和方法，基本没有创新性。</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0</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40</w:t>
            </w:r>
          </w:p>
        </w:tc>
        <w:tc>
          <w:tcPr>
            <w:tcW w:w="73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可推广性</w:t>
            </w:r>
          </w:p>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（G）</w:t>
            </w:r>
          </w:p>
        </w:tc>
        <w:tc>
          <w:tcPr>
            <w:tcW w:w="57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10%</w:t>
            </w: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企业在产品质量可靠性水平提升工作中采取的可靠性技术和方法可以对行业发展起到引领和带动作用，可以为行业内外提供广泛的借鉴意义。</w:t>
            </w:r>
          </w:p>
        </w:tc>
        <w:tc>
          <w:tcPr>
            <w:tcW w:w="8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28" w:right="-28" w:firstLine="0" w:firstLineChars="0"/>
              <w:jc w:val="center"/>
              <w:textAlignment w:val="auto"/>
              <w:rPr>
                <w:rFonts w:hint="eastAsia" w:ascii="仿宋_GB2312" w:hAnsi="仿宋_GB2312" w:eastAsia="仿宋_GB2312" w:cs="仿宋_GB2312"/>
                <w:spacing w:val="-6"/>
                <w:kern w:val="0"/>
                <w:sz w:val="21"/>
                <w:szCs w:val="21"/>
                <w14:ligatures w14:val="none"/>
              </w:rPr>
            </w:pPr>
            <w:r>
              <w:rPr>
                <w:rFonts w:hint="eastAsia" w:ascii="仿宋_GB2312" w:hAnsi="仿宋_GB2312" w:eastAsia="仿宋_GB2312" w:cs="仿宋_GB2312"/>
                <w:spacing w:val="-6"/>
                <w:kern w:val="0"/>
                <w:sz w:val="21"/>
                <w:szCs w:val="21"/>
                <w14:ligatures w14:val="none"/>
              </w:rPr>
              <w:t>91</w:t>
            </w:r>
            <w:r>
              <w:rPr>
                <w:rFonts w:hint="default" w:ascii="仿宋_GB2312" w:hAnsi="仿宋_GB2312" w:eastAsia="仿宋_GB2312" w:cs="仿宋_GB2312"/>
                <w:spacing w:val="-6"/>
                <w:kern w:val="0"/>
                <w:sz w:val="21"/>
                <w:szCs w:val="21"/>
                <w:lang w:val="en"/>
                <w14:ligatures w14:val="none"/>
              </w:rPr>
              <w:t>～</w:t>
            </w:r>
            <w:r>
              <w:rPr>
                <w:rFonts w:hint="eastAsia" w:ascii="仿宋_GB2312" w:hAnsi="仿宋_GB2312" w:eastAsia="仿宋_GB2312" w:cs="仿宋_GB2312"/>
                <w:spacing w:val="-6"/>
                <w:kern w:val="0"/>
                <w:sz w:val="21"/>
                <w:szCs w:val="21"/>
                <w14:ligatures w14:val="none"/>
              </w:rPr>
              <w:t>100</w:t>
            </w:r>
          </w:p>
        </w:tc>
        <w:tc>
          <w:tcPr>
            <w:tcW w:w="735"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企业在产品质量可靠性水平提升工作中采取的可靠性技术和方法可以对行业发展起到较好带动作用，可以为行业内提供较大的借鉴意义。</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71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90</w:t>
            </w:r>
          </w:p>
        </w:tc>
        <w:tc>
          <w:tcPr>
            <w:tcW w:w="73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企业在产品质量可靠性水平提升工作中采取的可靠性技术和方法可以对行业发展起到一定带动作用，可以为本行业提供一定的借鉴意义。</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41</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70</w:t>
            </w:r>
          </w:p>
        </w:tc>
        <w:tc>
          <w:tcPr>
            <w:tcW w:w="73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71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10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57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41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企业在产品质量可靠性水平提升工作中采取的可靠性技术和方法为本行业提供很少的借鉴意义。</w:t>
            </w:r>
          </w:p>
        </w:tc>
        <w:tc>
          <w:tcPr>
            <w:tcW w:w="855"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0</w:t>
            </w:r>
            <w:r>
              <w:rPr>
                <w:rFonts w:hint="default" w:cs="仿宋_GB2312"/>
                <w:kern w:val="0"/>
                <w:sz w:val="21"/>
                <w:szCs w:val="21"/>
                <w:lang w:val="en"/>
                <w14:ligatures w14:val="none"/>
              </w:rPr>
              <w:t>～</w:t>
            </w:r>
            <w:r>
              <w:rPr>
                <w:rFonts w:hint="eastAsia" w:ascii="仿宋_GB2312" w:hAnsi="仿宋_GB2312" w:eastAsia="仿宋_GB2312" w:cs="仿宋_GB2312"/>
                <w:kern w:val="0"/>
                <w:sz w:val="21"/>
                <w:szCs w:val="21"/>
                <w14:ligatures w14:val="none"/>
              </w:rPr>
              <w:t>40</w:t>
            </w:r>
          </w:p>
        </w:tc>
        <w:tc>
          <w:tcPr>
            <w:tcW w:w="73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c>
          <w:tcPr>
            <w:tcW w:w="75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0" w:firstLineChars="0"/>
              <w:jc w:val="center"/>
              <w:textAlignment w:val="auto"/>
              <w:rPr>
                <w:rFonts w:hint="eastAsia" w:ascii="仿宋_GB2312" w:hAnsi="仿宋_GB2312" w:eastAsia="仿宋_GB2312" w:cs="仿宋_GB2312"/>
                <w:kern w:val="0"/>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283" w:hRule="atLeast"/>
          <w:jc w:val="center"/>
        </w:trPr>
        <w:tc>
          <w:tcPr>
            <w:tcW w:w="8844" w:type="dxa"/>
            <w:gridSpan w:val="7"/>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楷体_GB2312" w:hAnsi="楷体_GB2312" w:eastAsia="楷体_GB2312" w:cs="楷体_GB2312"/>
                <w:b w:val="0"/>
                <w:bCs w:val="0"/>
                <w:kern w:val="0"/>
                <w:sz w:val="21"/>
                <w:szCs w:val="21"/>
                <w14:ligatures w14:val="none"/>
              </w:rPr>
            </w:pPr>
            <w:r>
              <w:rPr>
                <w:rFonts w:hint="eastAsia" w:ascii="楷体_GB2312" w:hAnsi="楷体_GB2312" w:eastAsia="楷体_GB2312" w:cs="楷体_GB2312"/>
                <w:b w:val="0"/>
                <w:bCs w:val="0"/>
                <w:kern w:val="0"/>
                <w:sz w:val="21"/>
                <w:szCs w:val="21"/>
                <w14:ligatures w14:val="none"/>
              </w:rPr>
              <w:t>评分说明：</w:t>
            </w:r>
          </w:p>
          <w:p>
            <w:pPr>
              <w:keepNext w:val="0"/>
              <w:keepLines w:val="0"/>
              <w:pageBreakBefore w:val="0"/>
              <w:widowControl w:val="0"/>
              <w:kinsoku/>
              <w:wordWrap/>
              <w:overflowPunct/>
              <w:topLinePunct w:val="0"/>
              <w:autoSpaceDE/>
              <w:autoSpaceDN/>
              <w:bidi w:val="0"/>
              <w:adjustRightInd w:val="0"/>
              <w:snapToGrid w:val="0"/>
              <w:spacing w:line="240" w:lineRule="exact"/>
              <w:ind w:firstLine="420" w:firstLineChars="0"/>
              <w:jc w:val="both"/>
              <w:textAlignment w:val="auto"/>
              <w:rPr>
                <w:rFonts w:hint="eastAsia" w:ascii="楷体_GB2312" w:hAnsi="楷体_GB2312" w:eastAsia="楷体_GB2312" w:cs="楷体_GB2312"/>
                <w:b w:val="0"/>
                <w:bCs w:val="0"/>
                <w:kern w:val="0"/>
                <w:sz w:val="21"/>
                <w:szCs w:val="21"/>
                <w14:ligatures w14:val="none"/>
              </w:rPr>
            </w:pPr>
            <w:r>
              <w:rPr>
                <w:rFonts w:hint="eastAsia" w:ascii="楷体_GB2312" w:hAnsi="楷体_GB2312" w:eastAsia="楷体_GB2312" w:cs="楷体_GB2312"/>
                <w:b w:val="0"/>
                <w:bCs w:val="0"/>
                <w:kern w:val="0"/>
                <w:sz w:val="21"/>
                <w:szCs w:val="21"/>
                <w:lang w:eastAsia="zh-CN"/>
                <w14:ligatures w14:val="none"/>
              </w:rPr>
              <w:t>（</w:t>
            </w:r>
            <w:r>
              <w:rPr>
                <w:rFonts w:hint="eastAsia" w:ascii="楷体_GB2312" w:hAnsi="楷体_GB2312" w:eastAsia="楷体_GB2312" w:cs="楷体_GB2312"/>
                <w:b w:val="0"/>
                <w:bCs w:val="0"/>
                <w:kern w:val="0"/>
                <w:sz w:val="21"/>
                <w:szCs w:val="21"/>
                <w14:ligatures w14:val="none"/>
              </w:rPr>
              <w:t>a</w:t>
            </w:r>
            <w:r>
              <w:rPr>
                <w:rFonts w:hint="default" w:ascii="楷体_GB2312" w:hAnsi="楷体_GB2312" w:eastAsia="楷体_GB2312" w:cs="楷体_GB2312"/>
                <w:b w:val="0"/>
                <w:bCs w:val="0"/>
                <w:kern w:val="0"/>
                <w:sz w:val="21"/>
                <w:szCs w:val="21"/>
                <w:lang w:val="en"/>
                <w14:ligatures w14:val="none"/>
              </w:rPr>
              <w:t>）</w:t>
            </w:r>
            <w:r>
              <w:rPr>
                <w:rFonts w:hint="eastAsia" w:ascii="楷体_GB2312" w:hAnsi="楷体_GB2312" w:eastAsia="楷体_GB2312" w:cs="楷体_GB2312"/>
                <w:b w:val="0"/>
                <w:bCs w:val="0"/>
                <w:kern w:val="0"/>
                <w:sz w:val="21"/>
                <w:szCs w:val="21"/>
                <w14:ligatures w14:val="none"/>
              </w:rPr>
              <w:t>．专业指标评价的“基本要求”应满足如下因素：关键性能参数选取合理、样品状态有效、样本量合理、现场产品数据可信、检测仪器/设备合理有效、检测方案科学可行、结果数据合理有效等。</w:t>
            </w:r>
          </w:p>
          <w:p>
            <w:pPr>
              <w:keepNext w:val="0"/>
              <w:keepLines w:val="0"/>
              <w:pageBreakBefore w:val="0"/>
              <w:widowControl w:val="0"/>
              <w:kinsoku/>
              <w:wordWrap/>
              <w:overflowPunct/>
              <w:topLinePunct w:val="0"/>
              <w:autoSpaceDE/>
              <w:autoSpaceDN/>
              <w:bidi w:val="0"/>
              <w:adjustRightInd w:val="0"/>
              <w:snapToGrid w:val="0"/>
              <w:spacing w:line="240" w:lineRule="exact"/>
              <w:ind w:firstLine="420" w:firstLineChars="0"/>
              <w:jc w:val="both"/>
              <w:textAlignment w:val="auto"/>
              <w:rPr>
                <w:rFonts w:hint="eastAsia" w:ascii="楷体_GB2312" w:hAnsi="楷体_GB2312" w:eastAsia="楷体_GB2312" w:cs="楷体_GB2312"/>
                <w:b w:val="0"/>
                <w:bCs w:val="0"/>
                <w:kern w:val="0"/>
                <w:sz w:val="21"/>
                <w:szCs w:val="21"/>
                <w14:ligatures w14:val="none"/>
              </w:rPr>
            </w:pPr>
            <w:r>
              <w:rPr>
                <w:rFonts w:hint="eastAsia" w:ascii="楷体_GB2312" w:hAnsi="楷体_GB2312" w:eastAsia="楷体_GB2312" w:cs="楷体_GB2312"/>
                <w:b w:val="0"/>
                <w:bCs w:val="0"/>
                <w:kern w:val="0"/>
                <w:sz w:val="21"/>
                <w:szCs w:val="21"/>
                <w:lang w:eastAsia="zh-CN"/>
                <w14:ligatures w14:val="none"/>
              </w:rPr>
              <w:t>（</w:t>
            </w:r>
            <w:r>
              <w:rPr>
                <w:rFonts w:hint="eastAsia" w:ascii="楷体_GB2312" w:hAnsi="楷体_GB2312" w:eastAsia="楷体_GB2312" w:cs="楷体_GB2312"/>
                <w:b w:val="0"/>
                <w:bCs w:val="0"/>
                <w:kern w:val="0"/>
                <w:sz w:val="21"/>
                <w:szCs w:val="21"/>
                <w14:ligatures w14:val="none"/>
              </w:rPr>
              <w:t>b</w:t>
            </w:r>
            <w:r>
              <w:rPr>
                <w:rFonts w:hint="default" w:ascii="楷体_GB2312" w:hAnsi="楷体_GB2312" w:eastAsia="楷体_GB2312" w:cs="楷体_GB2312"/>
                <w:b w:val="0"/>
                <w:bCs w:val="0"/>
                <w:kern w:val="0"/>
                <w:sz w:val="21"/>
                <w:szCs w:val="21"/>
                <w:lang w:val="en"/>
                <w14:ligatures w14:val="none"/>
              </w:rPr>
              <w:t>）</w:t>
            </w:r>
            <w:r>
              <w:rPr>
                <w:rFonts w:hint="eastAsia" w:ascii="楷体_GB2312" w:hAnsi="楷体_GB2312" w:eastAsia="楷体_GB2312" w:cs="楷体_GB2312"/>
                <w:b w:val="0"/>
                <w:bCs w:val="0"/>
                <w:kern w:val="0"/>
                <w:sz w:val="21"/>
                <w:szCs w:val="21"/>
                <w14:ligatures w14:val="none"/>
              </w:rPr>
              <w:t>．每个单项原始得分的满分分值为100分。</w:t>
            </w:r>
          </w:p>
          <w:p>
            <w:pPr>
              <w:keepNext w:val="0"/>
              <w:keepLines w:val="0"/>
              <w:pageBreakBefore w:val="0"/>
              <w:widowControl w:val="0"/>
              <w:kinsoku/>
              <w:wordWrap/>
              <w:overflowPunct/>
              <w:topLinePunct w:val="0"/>
              <w:autoSpaceDE/>
              <w:autoSpaceDN/>
              <w:bidi w:val="0"/>
              <w:adjustRightInd w:val="0"/>
              <w:snapToGrid w:val="0"/>
              <w:spacing w:line="240" w:lineRule="exact"/>
              <w:ind w:firstLine="420" w:firstLineChars="0"/>
              <w:jc w:val="both"/>
              <w:textAlignment w:val="auto"/>
              <w:rPr>
                <w:rFonts w:hint="eastAsia" w:ascii="楷体_GB2312" w:hAnsi="楷体_GB2312" w:eastAsia="楷体_GB2312" w:cs="楷体_GB2312"/>
                <w:b w:val="0"/>
                <w:bCs w:val="0"/>
                <w:kern w:val="0"/>
                <w:sz w:val="21"/>
                <w:szCs w:val="21"/>
                <w14:ligatures w14:val="none"/>
              </w:rPr>
            </w:pPr>
            <w:r>
              <w:rPr>
                <w:rFonts w:hint="eastAsia" w:ascii="楷体_GB2312" w:hAnsi="楷体_GB2312" w:eastAsia="楷体_GB2312" w:cs="楷体_GB2312"/>
                <w:b w:val="0"/>
                <w:bCs w:val="0"/>
                <w:kern w:val="0"/>
                <w:sz w:val="21"/>
                <w:szCs w:val="21"/>
                <w:lang w:eastAsia="zh-CN"/>
                <w14:ligatures w14:val="none"/>
              </w:rPr>
              <w:t>（</w:t>
            </w:r>
            <w:r>
              <w:rPr>
                <w:rFonts w:hint="eastAsia" w:ascii="楷体_GB2312" w:hAnsi="楷体_GB2312" w:eastAsia="楷体_GB2312" w:cs="楷体_GB2312"/>
                <w:b w:val="0"/>
                <w:bCs w:val="0"/>
                <w:kern w:val="0"/>
                <w:sz w:val="21"/>
                <w:szCs w:val="21"/>
                <w14:ligatures w14:val="none"/>
              </w:rPr>
              <w:t>c</w:t>
            </w:r>
            <w:r>
              <w:rPr>
                <w:rFonts w:hint="default" w:ascii="楷体_GB2312" w:hAnsi="楷体_GB2312" w:eastAsia="楷体_GB2312" w:cs="楷体_GB2312"/>
                <w:b w:val="0"/>
                <w:bCs w:val="0"/>
                <w:kern w:val="0"/>
                <w:sz w:val="21"/>
                <w:szCs w:val="21"/>
                <w:lang w:val="en"/>
                <w14:ligatures w14:val="none"/>
              </w:rPr>
              <w:t>）</w:t>
            </w:r>
            <w:r>
              <w:rPr>
                <w:rFonts w:hint="eastAsia" w:ascii="楷体_GB2312" w:hAnsi="楷体_GB2312" w:eastAsia="楷体_GB2312" w:cs="楷体_GB2312"/>
                <w:b w:val="0"/>
                <w:bCs w:val="0"/>
                <w:kern w:val="0"/>
                <w:sz w:val="21"/>
                <w:szCs w:val="21"/>
                <w14:ligatures w14:val="none"/>
              </w:rPr>
              <w:t>．总分为所有“单项加权得分”之和。</w:t>
            </w:r>
          </w:p>
          <w:p>
            <w:pPr>
              <w:keepNext w:val="0"/>
              <w:keepLines w:val="0"/>
              <w:pageBreakBefore w:val="0"/>
              <w:widowControl w:val="0"/>
              <w:kinsoku/>
              <w:wordWrap/>
              <w:overflowPunct/>
              <w:topLinePunct w:val="0"/>
              <w:autoSpaceDE/>
              <w:autoSpaceDN/>
              <w:bidi w:val="0"/>
              <w:adjustRightInd w:val="0"/>
              <w:snapToGrid w:val="0"/>
              <w:spacing w:line="240" w:lineRule="exact"/>
              <w:ind w:firstLine="420" w:firstLineChars="0"/>
              <w:jc w:val="both"/>
              <w:textAlignment w:val="auto"/>
              <w:rPr>
                <w:rFonts w:hint="eastAsia" w:ascii="楷体_GB2312" w:hAnsi="楷体_GB2312" w:eastAsia="楷体_GB2312" w:cs="楷体_GB2312"/>
                <w:b w:val="0"/>
                <w:bCs w:val="0"/>
                <w:kern w:val="0"/>
                <w:sz w:val="21"/>
                <w:szCs w:val="21"/>
                <w14:ligatures w14:val="none"/>
              </w:rPr>
            </w:pPr>
            <w:r>
              <w:rPr>
                <w:rFonts w:hint="eastAsia" w:ascii="楷体_GB2312" w:hAnsi="楷体_GB2312" w:eastAsia="楷体_GB2312" w:cs="楷体_GB2312"/>
                <w:b w:val="0"/>
                <w:bCs w:val="0"/>
                <w:kern w:val="0"/>
                <w:sz w:val="21"/>
                <w:szCs w:val="21"/>
                <w:lang w:eastAsia="zh-CN"/>
                <w14:ligatures w14:val="none"/>
              </w:rPr>
              <w:t>（</w:t>
            </w:r>
            <w:r>
              <w:rPr>
                <w:rFonts w:hint="eastAsia" w:ascii="楷体_GB2312" w:hAnsi="楷体_GB2312" w:eastAsia="楷体_GB2312" w:cs="楷体_GB2312"/>
                <w:b w:val="0"/>
                <w:bCs w:val="0"/>
                <w:kern w:val="0"/>
                <w:sz w:val="21"/>
                <w:szCs w:val="21"/>
                <w14:ligatures w14:val="none"/>
              </w:rPr>
              <w:t>d</w:t>
            </w:r>
            <w:r>
              <w:rPr>
                <w:rFonts w:hint="default" w:ascii="楷体_GB2312" w:hAnsi="楷体_GB2312" w:eastAsia="楷体_GB2312" w:cs="楷体_GB2312"/>
                <w:b w:val="0"/>
                <w:bCs w:val="0"/>
                <w:kern w:val="0"/>
                <w:sz w:val="21"/>
                <w:szCs w:val="21"/>
                <w:lang w:val="en"/>
                <w14:ligatures w14:val="none"/>
              </w:rPr>
              <w:t>）</w:t>
            </w:r>
            <w:r>
              <w:rPr>
                <w:rFonts w:hint="eastAsia" w:ascii="楷体_GB2312" w:hAnsi="楷体_GB2312" w:eastAsia="楷体_GB2312" w:cs="楷体_GB2312"/>
                <w:b w:val="0"/>
                <w:bCs w:val="0"/>
                <w:kern w:val="0"/>
                <w:sz w:val="21"/>
                <w:szCs w:val="21"/>
                <w14:ligatures w14:val="none"/>
              </w:rPr>
              <w:t>．评价过程中，如发现企业数据或信息造假，相应指标评分得0分。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08" w:type="dxa"/>
            <w:bottom w:w="17" w:type="dxa"/>
            <w:right w:w="108" w:type="dxa"/>
          </w:tblCellMar>
        </w:tblPrEx>
        <w:trPr>
          <w:cantSplit/>
          <w:trHeight w:val="1417" w:hRule="atLeast"/>
          <w:jc w:val="center"/>
        </w:trPr>
        <w:tc>
          <w:tcPr>
            <w:tcW w:w="2364" w:type="dxa"/>
            <w:gridSpan w:val="3"/>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b/>
                <w:bCs/>
                <w:kern w:val="0"/>
                <w:sz w:val="21"/>
                <w:szCs w:val="21"/>
                <w14:ligatures w14:val="none"/>
              </w:rPr>
            </w:pPr>
            <w:r>
              <w:rPr>
                <w:rFonts w:hint="eastAsia" w:cs="仿宋_GB2312"/>
                <w:b/>
                <w:bCs/>
                <w:kern w:val="0"/>
                <w:sz w:val="21"/>
                <w:szCs w:val="21"/>
                <w:lang w:eastAsia="zh-CN"/>
                <w14:ligatures w14:val="none"/>
              </w:rPr>
              <w:t>　</w:t>
            </w:r>
            <w:r>
              <w:rPr>
                <w:rFonts w:hint="eastAsia" w:ascii="仿宋_GB2312" w:hAnsi="仿宋_GB2312" w:eastAsia="仿宋_GB2312" w:cs="仿宋_GB2312"/>
                <w:b/>
                <w:bCs/>
                <w:kern w:val="0"/>
                <w:sz w:val="21"/>
                <w:szCs w:val="21"/>
                <w14:ligatures w14:val="none"/>
              </w:rPr>
              <w:t>总分：</w:t>
            </w:r>
          </w:p>
        </w:tc>
        <w:tc>
          <w:tcPr>
            <w:tcW w:w="6480" w:type="dxa"/>
            <w:gridSpan w:val="4"/>
            <w:tcBorders>
              <w:tl2br w:val="nil"/>
              <w:tr2bl w:val="nil"/>
            </w:tcBorders>
            <w:vAlign w:val="top"/>
          </w:tcPr>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p>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p>
          <w:p>
            <w:pPr>
              <w:keepNext w:val="0"/>
              <w:keepLines w:val="0"/>
              <w:pageBreakBefore w:val="0"/>
              <w:kinsoku/>
              <w:wordWrap/>
              <w:overflowPunct/>
              <w:topLinePunct w:val="0"/>
              <w:autoSpaceDE/>
              <w:autoSpaceDN/>
              <w:bidi w:val="0"/>
              <w:adjustRightInd w:val="0"/>
              <w:snapToGrid w:val="0"/>
              <w:spacing w:line="260" w:lineRule="exact"/>
              <w:ind w:firstLine="0" w:firstLineChars="0"/>
              <w:jc w:val="both"/>
              <w:textAlignment w:val="auto"/>
              <w:rPr>
                <w:rFonts w:hint="eastAsia" w:ascii="仿宋_GB2312" w:hAnsi="仿宋_GB2312" w:eastAsia="仿宋_GB2312" w:cs="仿宋_GB2312"/>
                <w:kern w:val="0"/>
                <w:sz w:val="21"/>
                <w:szCs w:val="21"/>
                <w14:ligatures w14:val="none"/>
              </w:rPr>
            </w:pPr>
          </w:p>
          <w:p>
            <w:pPr>
              <w:keepNext w:val="0"/>
              <w:keepLines w:val="0"/>
              <w:pageBreakBefore w:val="0"/>
              <w:widowControl w:val="0"/>
              <w:kinsoku/>
              <w:wordWrap/>
              <w:overflowPunct/>
              <w:topLinePunct w:val="0"/>
              <w:autoSpaceDE/>
              <w:autoSpaceDN/>
              <w:bidi w:val="0"/>
              <w:adjustRightInd w:val="0"/>
              <w:snapToGrid w:val="0"/>
              <w:spacing w:after="60" w:line="260" w:lineRule="exact"/>
              <w:ind w:left="0" w:leftChars="0" w:firstLine="252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专家签字：</w:t>
            </w:r>
          </w:p>
          <w:p>
            <w:pPr>
              <w:keepNext w:val="0"/>
              <w:keepLines w:val="0"/>
              <w:pageBreakBefore w:val="0"/>
              <w:kinsoku/>
              <w:wordWrap/>
              <w:overflowPunct/>
              <w:topLinePunct w:val="0"/>
              <w:autoSpaceDE/>
              <w:autoSpaceDN/>
              <w:bidi w:val="0"/>
              <w:adjustRightInd w:val="0"/>
              <w:snapToGrid w:val="0"/>
              <w:spacing w:line="260" w:lineRule="exact"/>
              <w:ind w:left="0" w:leftChars="0" w:firstLine="2520" w:firstLineChars="0"/>
              <w:jc w:val="both"/>
              <w:textAlignment w:val="auto"/>
              <w:rPr>
                <w:rFonts w:hint="eastAsia" w:ascii="仿宋_GB2312" w:hAnsi="仿宋_GB2312" w:eastAsia="仿宋_GB2312" w:cs="仿宋_GB2312"/>
                <w:kern w:val="0"/>
                <w:sz w:val="21"/>
                <w:szCs w:val="21"/>
                <w14:ligatures w14:val="none"/>
              </w:rPr>
            </w:pPr>
            <w:r>
              <w:rPr>
                <w:rFonts w:hint="eastAsia" w:ascii="仿宋_GB2312" w:hAnsi="仿宋_GB2312" w:eastAsia="仿宋_GB2312" w:cs="仿宋_GB2312"/>
                <w:kern w:val="0"/>
                <w:sz w:val="21"/>
                <w:szCs w:val="21"/>
                <w14:ligatures w14:val="none"/>
              </w:rPr>
              <w:t>日    期：</w:t>
            </w:r>
          </w:p>
        </w:tc>
      </w:tr>
    </w:tbl>
    <w:p>
      <w:pPr>
        <w:keepNext w:val="0"/>
        <w:keepLines w:val="0"/>
        <w:pageBreakBefore w:val="0"/>
        <w:widowControl w:val="0"/>
        <w:tabs>
          <w:tab w:val="left" w:pos="790"/>
        </w:tabs>
        <w:kinsoku/>
        <w:wordWrap/>
        <w:overflowPunct w:val="0"/>
        <w:topLinePunct w:val="0"/>
        <w:autoSpaceDE/>
        <w:autoSpaceDN/>
        <w:bidi w:val="0"/>
        <w:adjustRightInd w:val="0"/>
        <w:snapToGrid w:val="0"/>
        <w:spacing w:line="560" w:lineRule="exact"/>
        <w:jc w:val="center"/>
        <w:textAlignment w:val="auto"/>
        <w:rPr>
          <w:rFonts w:hint="eastAsia" w:ascii="方正小标宋简体" w:hAnsi="宋体" w:eastAsia="方正小标宋简体"/>
          <w:w w:val="97"/>
          <w:kern w:val="2"/>
          <w:sz w:val="44"/>
          <w:szCs w:val="44"/>
        </w:rPr>
      </w:pPr>
      <w:r>
        <w:rPr>
          <w:rFonts w:hint="eastAsia" w:ascii="方正小标宋简体" w:hAnsi="宋体" w:eastAsia="方正小标宋简体"/>
          <w:w w:val="97"/>
          <w:kern w:val="2"/>
          <w:sz w:val="44"/>
          <w:szCs w:val="44"/>
        </w:rPr>
        <w:t>产品质量可靠性</w:t>
      </w:r>
      <w:r>
        <w:rPr>
          <w:rFonts w:hint="eastAsia" w:ascii="方正小标宋简体" w:hAnsi="宋体" w:eastAsia="方正小标宋简体"/>
          <w:w w:val="97"/>
          <w:kern w:val="2"/>
          <w:sz w:val="44"/>
          <w:szCs w:val="44"/>
          <w:lang w:eastAsia="zh-CN"/>
        </w:rPr>
        <w:t>创新</w:t>
      </w:r>
      <w:r>
        <w:rPr>
          <w:rFonts w:hint="eastAsia" w:ascii="方正小标宋简体" w:hAnsi="宋体" w:eastAsia="方正小标宋简体"/>
          <w:w w:val="97"/>
          <w:kern w:val="2"/>
          <w:sz w:val="44"/>
          <w:szCs w:val="44"/>
        </w:rPr>
        <w:t>“最佳实践”培育孵化</w:t>
      </w:r>
    </w:p>
    <w:p>
      <w:pPr>
        <w:keepNext w:val="0"/>
        <w:keepLines w:val="0"/>
        <w:pageBreakBefore w:val="0"/>
        <w:widowControl w:val="0"/>
        <w:tabs>
          <w:tab w:val="left" w:pos="790"/>
        </w:tabs>
        <w:kinsoku/>
        <w:wordWrap/>
        <w:overflowPunct w:val="0"/>
        <w:topLinePunct w:val="0"/>
        <w:autoSpaceDE/>
        <w:autoSpaceDN/>
        <w:bidi w:val="0"/>
        <w:adjustRightInd w:val="0"/>
        <w:snapToGrid w:val="0"/>
        <w:spacing w:line="560" w:lineRule="exact"/>
        <w:jc w:val="center"/>
        <w:textAlignment w:val="auto"/>
        <w:rPr>
          <w:rFonts w:hint="eastAsia" w:ascii="方正小标宋简体" w:hAnsi="宋体" w:eastAsia="方正小标宋简体"/>
          <w:w w:val="97"/>
          <w:kern w:val="2"/>
          <w:sz w:val="44"/>
          <w:szCs w:val="44"/>
        </w:rPr>
      </w:pPr>
      <w:r>
        <w:rPr>
          <w:rFonts w:hint="eastAsia" w:ascii="方正小标宋简体" w:hAnsi="宋体" w:eastAsia="方正小标宋简体"/>
          <w:w w:val="97"/>
          <w:kern w:val="2"/>
          <w:sz w:val="44"/>
          <w:szCs w:val="44"/>
        </w:rPr>
        <w:t>工作指南</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为发挥好产品质量可靠性对工业产品“提质强企”的牵引作用，加快产品质量可靠性技术创新与应用，引导更多企业提高产品质量可靠性意识，提升产品质量可靠性水平，根据《</w:t>
      </w:r>
      <w:r>
        <w:rPr>
          <w:rFonts w:hint="eastAsia" w:hAnsi="宋体"/>
          <w:kern w:val="2"/>
          <w:szCs w:val="30"/>
          <w:lang w:eastAsia="zh-CN"/>
        </w:rPr>
        <w:t>上海市市场监督管理局</w:t>
      </w:r>
      <w:r>
        <w:rPr>
          <w:rFonts w:hint="eastAsia" w:hAnsi="宋体"/>
          <w:kern w:val="2"/>
          <w:szCs w:val="30"/>
          <w:lang w:val="en-US" w:eastAsia="zh-CN"/>
        </w:rPr>
        <w:t>　北京市市场监督管理局　天津市市场监督管理委员会　重庆市市场监督管理局</w:t>
      </w:r>
      <w:r>
        <w:rPr>
          <w:rFonts w:hint="eastAsia" w:hAnsi="宋体"/>
          <w:kern w:val="2"/>
          <w:szCs w:val="30"/>
        </w:rPr>
        <w:t>关于联合开展产品质量可靠性创新实践赋能制造业高质量发展的意见》（</w:t>
      </w:r>
      <w:r>
        <w:rPr>
          <w:rFonts w:hint="eastAsia"/>
          <w:kern w:val="2"/>
          <w:szCs w:val="32"/>
        </w:rPr>
        <w:t>沪市监</w:t>
      </w:r>
      <w:r>
        <w:rPr>
          <w:rFonts w:hint="eastAsia"/>
          <w:kern w:val="2"/>
          <w:szCs w:val="32"/>
          <w:lang w:eastAsia="zh-CN"/>
        </w:rPr>
        <w:t>产质</w:t>
      </w:r>
      <w:r>
        <w:rPr>
          <w:rFonts w:hint="eastAsia"/>
          <w:kern w:val="2"/>
          <w:szCs w:val="32"/>
        </w:rPr>
        <w:t>〔202</w:t>
      </w:r>
      <w:r>
        <w:rPr>
          <w:rFonts w:hint="default"/>
          <w:kern w:val="2"/>
          <w:szCs w:val="32"/>
          <w:lang w:val="en"/>
        </w:rPr>
        <w:t>4</w:t>
      </w:r>
      <w:r>
        <w:rPr>
          <w:rFonts w:hint="eastAsia"/>
          <w:kern w:val="2"/>
          <w:szCs w:val="32"/>
        </w:rPr>
        <w:t>〕</w:t>
      </w:r>
      <w:r>
        <w:rPr>
          <w:rFonts w:hint="eastAsia"/>
          <w:kern w:val="2"/>
          <w:szCs w:val="32"/>
          <w:lang w:val="en-US" w:eastAsia="zh-CN"/>
        </w:rPr>
        <w:t>120号</w:t>
      </w:r>
      <w:r>
        <w:rPr>
          <w:rFonts w:hint="eastAsia" w:hAnsi="宋体"/>
          <w:kern w:val="2"/>
          <w:szCs w:val="30"/>
        </w:rPr>
        <w:t>），制定本工作指南。</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黑体" w:hAnsi="黑体" w:eastAsia="黑体" w:cs="黑体"/>
          <w:kern w:val="2"/>
          <w:szCs w:val="30"/>
        </w:rPr>
      </w:pPr>
      <w:r>
        <w:rPr>
          <w:rFonts w:hint="eastAsia" w:ascii="黑体" w:hAnsi="黑体" w:eastAsia="黑体" w:cs="黑体"/>
          <w:kern w:val="2"/>
          <w:szCs w:val="30"/>
        </w:rPr>
        <w:t>一、工作目标</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eastAsia="仿宋_GB2312"/>
          <w:kern w:val="2"/>
          <w:szCs w:val="30"/>
          <w:lang w:eastAsia="zh-CN"/>
        </w:rPr>
      </w:pPr>
      <w:r>
        <w:rPr>
          <w:rFonts w:hint="eastAsia" w:hAnsi="宋体"/>
          <w:kern w:val="2"/>
          <w:szCs w:val="30"/>
        </w:rPr>
        <w:t>通过开展产品质量可靠性</w:t>
      </w:r>
      <w:r>
        <w:rPr>
          <w:rFonts w:hint="eastAsia" w:hAnsi="宋体"/>
          <w:kern w:val="2"/>
          <w:szCs w:val="30"/>
          <w:lang w:eastAsia="zh-CN"/>
        </w:rPr>
        <w:t>创新</w:t>
      </w:r>
      <w:r>
        <w:rPr>
          <w:rFonts w:hint="eastAsia" w:hAnsi="宋体"/>
          <w:kern w:val="2"/>
          <w:szCs w:val="30"/>
        </w:rPr>
        <w:t>“最佳实践”培育孵化工作，激发企业内生动力，以创新驱动为引领，推动产品质量可靠性先进经验在各行业的推广应用，促进产品提质升级，形成产品质量可靠性创新实践的先进模式和显著成果。</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黑体" w:hAnsi="黑体" w:eastAsia="黑体" w:cs="黑体"/>
          <w:kern w:val="2"/>
          <w:szCs w:val="30"/>
        </w:rPr>
      </w:pPr>
      <w:r>
        <w:rPr>
          <w:rFonts w:hint="eastAsia" w:ascii="黑体" w:hAnsi="黑体" w:eastAsia="黑体" w:cs="黑体"/>
          <w:kern w:val="2"/>
          <w:szCs w:val="30"/>
        </w:rPr>
        <w:t>二、基本原则</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ascii="楷体_GB2312" w:hAnsi="楷体_GB2312" w:eastAsia="楷体_GB2312" w:cs="楷体_GB2312"/>
          <w:kern w:val="2"/>
          <w:szCs w:val="30"/>
        </w:rPr>
        <w:t>（一）政府引导，企业主导。</w:t>
      </w:r>
      <w:r>
        <w:rPr>
          <w:rFonts w:hint="eastAsia" w:hAnsi="宋体"/>
          <w:kern w:val="2"/>
          <w:szCs w:val="30"/>
        </w:rPr>
        <w:t>充分发挥政府引导的推动作用，调动企业的积极性和创造性，鼓励企业积极开展产品质量可靠性创新实践。</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ascii="楷体_GB2312" w:hAnsi="楷体_GB2312" w:eastAsia="楷体_GB2312" w:cs="楷体_GB2312"/>
          <w:kern w:val="2"/>
          <w:szCs w:val="30"/>
        </w:rPr>
        <w:t>（二）聚焦重点，服务发展。</w:t>
      </w:r>
      <w:r>
        <w:rPr>
          <w:rFonts w:hint="eastAsia" w:hAnsi="宋体"/>
          <w:kern w:val="2"/>
          <w:szCs w:val="30"/>
        </w:rPr>
        <w:t>以战略性新兴产业为主攻方向，推进可靠性创新技术向纵深发展，提升产品质量可靠性水平和产业核心竞争力。</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ascii="楷体_GB2312" w:hAnsi="楷体_GB2312" w:eastAsia="楷体_GB2312" w:cs="楷体_GB2312"/>
          <w:kern w:val="2"/>
          <w:szCs w:val="30"/>
        </w:rPr>
        <w:t>（三）分类施策，精准发力。</w:t>
      </w:r>
      <w:r>
        <w:rPr>
          <w:rFonts w:hint="eastAsia" w:hAnsi="宋体"/>
          <w:kern w:val="2"/>
          <w:szCs w:val="30"/>
        </w:rPr>
        <w:t>结合各市产业特点及发展优势，因地制宜细化工作措施，优化对企精准服务，提高培育孵化工作的针对性、实效性。</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ascii="楷体_GB2312" w:hAnsi="楷体_GB2312" w:eastAsia="楷体_GB2312" w:cs="楷体_GB2312"/>
          <w:kern w:val="2"/>
          <w:szCs w:val="30"/>
        </w:rPr>
        <w:t>（四）多方参与，社会共治。</w:t>
      </w:r>
      <w:r>
        <w:rPr>
          <w:rFonts w:hint="eastAsia" w:hAnsi="宋体"/>
          <w:kern w:val="2"/>
          <w:szCs w:val="30"/>
        </w:rPr>
        <w:t>引导支持高等院校、行业组织、专业机构、龙头企业发挥自身优势，参与培育孵化工作，协同合作，营造社会共治的良好氛围。</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黑体" w:hAnsi="黑体" w:eastAsia="黑体" w:cs="黑体"/>
          <w:kern w:val="2"/>
          <w:szCs w:val="30"/>
        </w:rPr>
      </w:pPr>
      <w:r>
        <w:rPr>
          <w:rFonts w:hint="eastAsia" w:ascii="黑体" w:hAnsi="黑体" w:eastAsia="黑体" w:cs="黑体"/>
          <w:kern w:val="2"/>
          <w:szCs w:val="30"/>
        </w:rPr>
        <w:t>三、培育孵化对象</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选择培育孵化对象应重点考虑以下因素：</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（一）行政管理辖区内从事新能源汽车、电子信息、高端装备等重点产业的生产企业，可以适当兼顾其他产业；</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（二）符合国家和本地产业政策及法律法规政策要求，具有良好社会信用记录；</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（三）产品质量稳定、管理体系健全且有意愿开展产品质量可靠性评价工作。</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hAnsi="宋体"/>
          <w:kern w:val="2"/>
          <w:szCs w:val="30"/>
        </w:rPr>
        <w:t>各区（县）市场监管部门应对照前款要求，结合辖区产业特点选定培育孵化对象。</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ascii="黑体" w:hAnsi="黑体" w:eastAsia="黑体" w:cs="黑体"/>
          <w:kern w:val="2"/>
          <w:szCs w:val="30"/>
        </w:rPr>
      </w:pPr>
      <w:r>
        <w:rPr>
          <w:rFonts w:hint="eastAsia" w:ascii="黑体" w:hAnsi="黑体" w:eastAsia="黑体" w:cs="黑体"/>
          <w:kern w:val="2"/>
          <w:szCs w:val="30"/>
        </w:rPr>
        <w:t>四、组织实施</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ascii="楷体_GB2312" w:hAnsi="楷体_GB2312" w:eastAsia="楷体_GB2312" w:cs="楷体_GB2312"/>
          <w:kern w:val="2"/>
          <w:szCs w:val="30"/>
        </w:rPr>
        <w:t>（一）培训筑基</w:t>
      </w:r>
      <w:r>
        <w:rPr>
          <w:rFonts w:hint="eastAsia" w:ascii="楷体_GB2312" w:hAnsi="楷体_GB2312" w:eastAsia="楷体_GB2312" w:cs="楷体_GB2312"/>
          <w:kern w:val="2"/>
          <w:szCs w:val="30"/>
          <w:lang w:eastAsia="zh-CN"/>
        </w:rPr>
        <w:t>。</w:t>
      </w:r>
      <w:r>
        <w:rPr>
          <w:rFonts w:hint="eastAsia" w:hAnsi="宋体"/>
          <w:kern w:val="2"/>
          <w:szCs w:val="30"/>
        </w:rPr>
        <w:t>构建政府公共服务、市场化服务和公益性服务协同促进的服务体系，广泛开展产品质量可靠性基础培训，普及产品质量可靠性基本知识，提升企业产品质量可靠性意识，鼓励企业学习产品质量可靠性的先进理念和方法，培养产品质量可靠性专业人才，应用产品质量可靠性先进技术、方法和工具。</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ascii="楷体_GB2312" w:hAnsi="楷体_GB2312" w:eastAsia="楷体_GB2312" w:cs="楷体_GB2312"/>
          <w:kern w:val="2"/>
          <w:szCs w:val="30"/>
        </w:rPr>
        <w:t>（二）梯次培育</w:t>
      </w:r>
      <w:r>
        <w:rPr>
          <w:rFonts w:hint="eastAsia" w:ascii="楷体_GB2312" w:hAnsi="楷体_GB2312" w:eastAsia="楷体_GB2312" w:cs="楷体_GB2312"/>
          <w:kern w:val="2"/>
          <w:szCs w:val="30"/>
          <w:lang w:eastAsia="zh-CN"/>
        </w:rPr>
        <w:t>。</w:t>
      </w:r>
      <w:r>
        <w:rPr>
          <w:rFonts w:hint="eastAsia" w:hAnsi="宋体"/>
          <w:kern w:val="2"/>
          <w:szCs w:val="30"/>
        </w:rPr>
        <w:t>构建产品质量可靠性</w:t>
      </w:r>
      <w:r>
        <w:rPr>
          <w:rFonts w:hint="eastAsia" w:hAnsi="宋体"/>
          <w:kern w:val="2"/>
          <w:szCs w:val="30"/>
          <w:lang w:eastAsia="zh-CN"/>
        </w:rPr>
        <w:t>创新</w:t>
      </w:r>
      <w:r>
        <w:rPr>
          <w:rFonts w:hint="eastAsia" w:hAnsi="宋体"/>
          <w:kern w:val="2"/>
          <w:szCs w:val="30"/>
        </w:rPr>
        <w:t>“最佳实践”梯次培育体系，将基本符合“最佳实践”推荐条件的纳入第一梯</w:t>
      </w:r>
      <w:r>
        <w:rPr>
          <w:rFonts w:hint="eastAsia" w:hAnsi="宋体"/>
          <w:kern w:val="2"/>
          <w:szCs w:val="30"/>
          <w:lang w:eastAsia="zh-CN"/>
        </w:rPr>
        <w:t>队</w:t>
      </w:r>
      <w:r>
        <w:rPr>
          <w:rFonts w:hint="eastAsia" w:hAnsi="宋体"/>
          <w:kern w:val="2"/>
          <w:szCs w:val="30"/>
        </w:rPr>
        <w:t>，重点培育；将主要推荐条件尚有欠缺的纳入第二梯队，进行动态跟踪培育；将主要推荐条件缺失较大的纳入第三梯队，进行夯实基础培育。</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r>
        <w:rPr>
          <w:rFonts w:hint="eastAsia" w:ascii="楷体_GB2312" w:hAnsi="楷体_GB2312" w:eastAsia="楷体_GB2312" w:cs="楷体_GB2312"/>
          <w:kern w:val="2"/>
          <w:szCs w:val="30"/>
        </w:rPr>
        <w:t>（三）服务指导</w:t>
      </w:r>
      <w:r>
        <w:rPr>
          <w:rFonts w:hint="eastAsia" w:ascii="楷体_GB2312" w:hAnsi="楷体_GB2312" w:eastAsia="楷体_GB2312" w:cs="楷体_GB2312"/>
          <w:kern w:val="2"/>
          <w:szCs w:val="30"/>
          <w:lang w:eastAsia="zh-CN"/>
        </w:rPr>
        <w:t>。</w:t>
      </w:r>
      <w:r>
        <w:rPr>
          <w:rFonts w:hint="eastAsia" w:hAnsi="宋体"/>
          <w:kern w:val="2"/>
          <w:szCs w:val="30"/>
        </w:rPr>
        <w:t>建立“企业直通车”制度，各区（县）市场监管部门组织专人做好对接服务，组织专家深入企业，对口包联，针对产品质量关键环节，开展“一企一诊”的技术帮扶。</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eastAsia="仿宋_GB2312"/>
          <w:kern w:val="2"/>
          <w:szCs w:val="30"/>
          <w:lang w:eastAsia="zh-CN"/>
        </w:rPr>
      </w:pPr>
      <w:r>
        <w:rPr>
          <w:rFonts w:hint="eastAsia" w:ascii="楷体_GB2312" w:hAnsi="楷体_GB2312" w:eastAsia="楷体_GB2312" w:cs="楷体_GB2312"/>
          <w:kern w:val="2"/>
          <w:szCs w:val="30"/>
        </w:rPr>
        <w:t>（四）提质升级</w:t>
      </w:r>
      <w:r>
        <w:rPr>
          <w:rFonts w:hint="eastAsia" w:ascii="楷体_GB2312" w:hAnsi="楷体_GB2312" w:eastAsia="楷体_GB2312" w:cs="楷体_GB2312"/>
          <w:kern w:val="2"/>
          <w:szCs w:val="30"/>
          <w:lang w:eastAsia="zh-CN"/>
        </w:rPr>
        <w:t>。</w:t>
      </w:r>
      <w:r>
        <w:rPr>
          <w:rFonts w:hint="eastAsia" w:hAnsi="宋体"/>
          <w:kern w:val="2"/>
          <w:szCs w:val="30"/>
        </w:rPr>
        <w:t>鼓励企业开展产品质量可靠性自我评价，补齐产品全生命周期可靠性工程中的短板弱项，提升产品质量可靠性创新能力，提高产品质量可靠性水平，形成一批可复制可推广的创新实践样板。</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rPr>
          <w:rFonts w:hint="eastAsia" w:hAnsi="宋体"/>
          <w:kern w:val="2"/>
          <w:szCs w:val="30"/>
        </w:rPr>
      </w:pPr>
      <w:r>
        <w:rPr>
          <w:rFonts w:hint="eastAsia" w:hAnsi="宋体"/>
          <w:kern w:val="2"/>
          <w:szCs w:val="30"/>
        </w:rPr>
        <w:br w:type="page"/>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36" w:lineRule="auto"/>
        <w:ind w:firstLine="624"/>
        <w:jc w:val="both"/>
        <w:textAlignment w:val="auto"/>
        <w:rPr>
          <w:rFonts w:hint="eastAsia" w:hAnsi="宋体"/>
          <w:kern w:val="2"/>
          <w:szCs w:val="30"/>
        </w:rPr>
      </w:pP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after="120" w:line="336" w:lineRule="auto"/>
        <w:ind w:firstLine="624"/>
        <w:textAlignment w:val="auto"/>
        <w:rPr>
          <w:rFonts w:hint="eastAsia" w:hAnsi="宋体"/>
          <w:kern w:val="2"/>
          <w:szCs w:val="30"/>
        </w:rPr>
      </w:pPr>
    </w:p>
    <w:p>
      <w:pPr>
        <w:overflowPunct w:val="0"/>
        <w:adjustRightInd w:val="0"/>
        <w:snapToGrid w:val="0"/>
        <w:spacing w:line="336" w:lineRule="auto"/>
        <w:ind w:firstLine="284"/>
        <w:rPr>
          <w:rFonts w:hint="eastAsia" w:hAnsi="宋体"/>
          <w:kern w:val="2"/>
          <w:sz w:val="28"/>
          <w:szCs w:val="28"/>
        </w:rPr>
      </w:pPr>
      <w:r>
        <w:rPr>
          <w:rFonts w:hint="eastAsia"/>
          <w:kern w:val="2"/>
          <w:sz w:val="28"/>
          <w:szCs w:val="28"/>
        </w:rPr>
        <mc:AlternateContent>
          <mc:Choice Requires="wps">
            <w:drawing>
              <wp:anchor distT="0" distB="0" distL="114300" distR="114300" simplePos="0" relativeHeight="251668480" behindDoc="0" locked="1" layoutInCell="1" allowOverlap="1">
                <wp:simplePos x="0" y="0"/>
                <wp:positionH relativeFrom="column">
                  <wp:posOffset>0</wp:posOffset>
                </wp:positionH>
                <wp:positionV relativeFrom="paragraph">
                  <wp:posOffset>272415</wp:posOffset>
                </wp:positionV>
                <wp:extent cx="5615940"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pt;margin-top:21.45pt;height:0pt;width:442.2pt;z-index:251668480;mso-width-relative:page;mso-height-relative:page;" filled="f" stroked="t" coordsize="21600,21600" o:gfxdata="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I5/ey7VAAAABgEAAA8AAAAAAAAAAQAgAAAAOAAAAGRycy9kb3ducmV2LnhtbFBLAQIUABQA&#10;AAAIAIdO4kA4q7JI3QEAAJwDAAAOAAAAAAAAAAEAIAAAADoBAABkcnMvZTJvRG9jLnhtbFBLBQYA&#10;AAAABgAGAFkBAACJBQAAAAA=&#10;">
                <v:fill on="f" focussize="0,0"/>
                <v:stroke weight="1pt" color="#000000" joinstyle="round"/>
                <v:imagedata o:title=""/>
                <o:lock v:ext="edit" aspectratio="f"/>
                <w10:anchorlock/>
              </v:line>
            </w:pict>
          </mc:Fallback>
        </mc:AlternateContent>
      </w:r>
      <w:r>
        <w:rPr>
          <w:rFonts w:hint="eastAsia"/>
          <w:kern w:val="2"/>
          <w:sz w:val="28"/>
          <w:szCs w:val="28"/>
        </w:rPr>
        <mc:AlternateContent>
          <mc:Choice Requires="wps">
            <w:drawing>
              <wp:anchor distT="0" distB="0" distL="114300" distR="114300" simplePos="0" relativeHeight="251667456" behindDoc="0" locked="1" layoutInCell="1" allowOverlap="1">
                <wp:simplePos x="0" y="0"/>
                <wp:positionH relativeFrom="column">
                  <wp:posOffset>0</wp:posOffset>
                </wp:positionH>
                <wp:positionV relativeFrom="paragraph">
                  <wp:posOffset>-40640</wp:posOffset>
                </wp:positionV>
                <wp:extent cx="561594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pt;margin-top:-3.2pt;height:0pt;width:442.2pt;z-index:251667456;mso-width-relative:page;mso-height-relative:page;" filled="f" stroked="t" coordsize="21600,21600" o:gfxdata="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BmA/ma1QAAAAYBAAAPAAAAAAAAAAEAIAAAADgAAABkcnMvZG93bnJldi54bWxQSwECFAAU&#10;AAAACACHTuJA0BE+QN4BAACcAwAADgAAAAAAAAABACAAAAA6AQAAZHJzL2Uyb0RvYy54bWxQSwUG&#10;AAAAAAYABgBZAQAAigUAAAAA&#10;">
                <v:fill on="f" focussize="0,0"/>
                <v:stroke weight="1pt" color="#000000" joinstyle="round"/>
                <v:imagedata o:title=""/>
                <o:lock v:ext="edit" aspectratio="f"/>
                <w10:anchorlock/>
              </v:line>
            </w:pict>
          </mc:Fallback>
        </mc:AlternateContent>
      </w:r>
      <w:r>
        <w:rPr>
          <w:rFonts w:hint="eastAsia" w:hAnsi="宋体"/>
          <w:kern w:val="2"/>
          <w:sz w:val="28"/>
          <w:szCs w:val="28"/>
        </w:rPr>
        <w:t>上海市市场监督管理局办公室</w:t>
      </w:r>
      <w:r>
        <w:rPr>
          <w:rFonts w:hint="eastAsia" w:hAnsi="宋体"/>
          <w:spacing w:val="-2"/>
          <w:kern w:val="2"/>
          <w:sz w:val="28"/>
          <w:szCs w:val="28"/>
        </w:rPr>
        <w:t xml:space="preserve">               </w:t>
      </w:r>
      <w:r>
        <w:rPr>
          <w:rFonts w:hint="eastAsia" w:hAnsi="宋体"/>
          <w:kern w:val="2"/>
          <w:sz w:val="28"/>
          <w:szCs w:val="28"/>
        </w:rPr>
        <w:t>202</w:t>
      </w:r>
      <w:r>
        <w:rPr>
          <w:rFonts w:hint="default" w:hAnsi="宋体"/>
          <w:kern w:val="2"/>
          <w:sz w:val="28"/>
          <w:szCs w:val="28"/>
          <w:lang w:val="en"/>
        </w:rPr>
        <w:t>4</w:t>
      </w:r>
      <w:r>
        <w:rPr>
          <w:rFonts w:hint="eastAsia" w:hAnsi="宋体"/>
          <w:kern w:val="2"/>
          <w:sz w:val="28"/>
          <w:szCs w:val="28"/>
        </w:rPr>
        <w:t>年</w:t>
      </w:r>
      <w:r>
        <w:rPr>
          <w:rFonts w:hint="eastAsia" w:hAnsi="宋体"/>
          <w:kern w:val="2"/>
          <w:sz w:val="28"/>
          <w:szCs w:val="28"/>
          <w:lang w:val="en-US" w:eastAsia="zh-CN"/>
        </w:rPr>
        <w:t>3</w:t>
      </w:r>
      <w:r>
        <w:rPr>
          <w:rFonts w:hint="eastAsia" w:hAnsi="宋体"/>
          <w:kern w:val="2"/>
          <w:sz w:val="28"/>
          <w:szCs w:val="28"/>
        </w:rPr>
        <w:t>月</w:t>
      </w:r>
      <w:r>
        <w:rPr>
          <w:rFonts w:hint="eastAsia" w:hAnsi="宋体"/>
          <w:kern w:val="2"/>
          <w:sz w:val="28"/>
          <w:szCs w:val="28"/>
          <w:lang w:val="en-US" w:eastAsia="zh-CN"/>
        </w:rPr>
        <w:t>27</w:t>
      </w:r>
      <w:r>
        <w:rPr>
          <w:rFonts w:hint="eastAsia" w:hAnsi="宋体"/>
          <w:kern w:val="2"/>
          <w:sz w:val="28"/>
          <w:szCs w:val="28"/>
        </w:rPr>
        <w:t xml:space="preserve">日印发  </w:t>
      </w:r>
    </w:p>
    <w:sectPr>
      <w:footerReference r:id="rId3" w:type="default"/>
      <w:footerReference r:id="rId4" w:type="even"/>
      <w:pgSz w:w="11906" w:h="16838"/>
      <w:pgMar w:top="2098" w:right="1474" w:bottom="1984" w:left="1587" w:header="851" w:footer="1417" w:gutter="0"/>
      <w:pgBorders>
        <w:top w:val="none" w:sz="0" w:space="0"/>
        <w:left w:val="none" w:sz="0" w:space="0"/>
        <w:bottom w:val="none" w:sz="0" w:space="0"/>
        <w:right w:val="none" w:sz="0" w:space="0"/>
      </w:pgBorders>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等线 Light">
    <w:altName w:val="汉仪中圆B5"/>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中圆B5">
    <w:panose1 w:val="02010600000101010101"/>
    <w:charset w:val="88"/>
    <w:family w:val="auto"/>
    <w:pitch w:val="default"/>
    <w:sig w:usb0="00000001" w:usb1="080E0800" w:usb2="00000002" w:usb3="00000000" w:csb0="001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12" w:right="312"/>
      <w:jc w:val="right"/>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w:instrText>
    </w:r>
    <w:r>
      <w:rPr>
        <w:rFonts w:hint="eastAsia" w:ascii="宋体" w:hAnsi="宋体" w:eastAsia="宋体"/>
        <w:sz w:val="28"/>
        <w:szCs w:val="28"/>
      </w:rPr>
      <w:fldChar w:fldCharType="separate"/>
    </w:r>
    <w:r>
      <w:rPr>
        <w:rFonts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12" w:right="312"/>
      <w:jc w:val="both"/>
      <w:rPr>
        <w:rFonts w:hint="eastAsia" w:ascii="宋体" w:hAnsi="宋体" w:eastAsia="宋体"/>
        <w:kern w:val="2"/>
        <w:sz w:val="28"/>
        <w:szCs w:val="28"/>
      </w:rPr>
    </w:pPr>
    <w:r>
      <w:rPr>
        <w:rFonts w:hint="eastAsia" w:ascii="宋体" w:hAnsi="宋体" w:eastAsia="宋体"/>
        <w:kern w:val="2"/>
        <w:sz w:val="28"/>
        <w:szCs w:val="28"/>
      </w:rPr>
      <w:t xml:space="preserve">— </w:t>
    </w:r>
    <w:r>
      <w:rPr>
        <w:rFonts w:hint="eastAsia" w:ascii="宋体" w:hAnsi="宋体" w:eastAsia="宋体"/>
        <w:kern w:val="2"/>
        <w:sz w:val="28"/>
        <w:szCs w:val="28"/>
      </w:rPr>
      <w:fldChar w:fldCharType="begin"/>
    </w:r>
    <w:r>
      <w:rPr>
        <w:rFonts w:hint="eastAsia" w:ascii="宋体" w:hAnsi="宋体" w:eastAsia="宋体"/>
        <w:kern w:val="2"/>
        <w:sz w:val="28"/>
        <w:szCs w:val="28"/>
      </w:rPr>
      <w:instrText xml:space="preserve"> PAGE </w:instrText>
    </w:r>
    <w:r>
      <w:rPr>
        <w:rFonts w:hint="eastAsia" w:ascii="宋体" w:hAnsi="宋体" w:eastAsia="宋体"/>
        <w:kern w:val="2"/>
        <w:sz w:val="28"/>
        <w:szCs w:val="28"/>
      </w:rPr>
      <w:fldChar w:fldCharType="separate"/>
    </w:r>
    <w:r>
      <w:rPr>
        <w:rFonts w:hint="eastAsia" w:ascii="宋体" w:hAnsi="宋体" w:eastAsia="宋体"/>
        <w:kern w:val="2"/>
        <w:sz w:val="28"/>
        <w:szCs w:val="28"/>
      </w:rPr>
      <w:t>1</w:t>
    </w:r>
    <w:r>
      <w:rPr>
        <w:rFonts w:hint="eastAsia" w:ascii="宋体" w:hAnsi="宋体" w:eastAsia="宋体"/>
        <w:kern w:val="2"/>
        <w:sz w:val="28"/>
        <w:szCs w:val="28"/>
      </w:rPr>
      <w:fldChar w:fldCharType="end"/>
    </w:r>
    <w:r>
      <w:rPr>
        <w:rFonts w:hint="eastAsia" w:ascii="宋体" w:hAnsi="宋体" w:eastAsia="宋体"/>
        <w:kern w:val="2"/>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mZWIzNDg2MmIzZjExOTIzMmViNTBmYTMwYTk0ZWYifQ=="/>
  </w:docVars>
  <w:rsids>
    <w:rsidRoot w:val="00AF0844"/>
    <w:rsid w:val="00066938"/>
    <w:rsid w:val="000C6228"/>
    <w:rsid w:val="001C1BE7"/>
    <w:rsid w:val="00224F1A"/>
    <w:rsid w:val="00270D71"/>
    <w:rsid w:val="0032497E"/>
    <w:rsid w:val="003E3D7D"/>
    <w:rsid w:val="00435033"/>
    <w:rsid w:val="004F6614"/>
    <w:rsid w:val="00654DCB"/>
    <w:rsid w:val="006936BE"/>
    <w:rsid w:val="006970E3"/>
    <w:rsid w:val="006A28EF"/>
    <w:rsid w:val="007666AA"/>
    <w:rsid w:val="007A31E8"/>
    <w:rsid w:val="00827D72"/>
    <w:rsid w:val="00860AD6"/>
    <w:rsid w:val="00894B4B"/>
    <w:rsid w:val="0089708D"/>
    <w:rsid w:val="008E2BD0"/>
    <w:rsid w:val="008F06F6"/>
    <w:rsid w:val="00987100"/>
    <w:rsid w:val="009B7483"/>
    <w:rsid w:val="009F66BE"/>
    <w:rsid w:val="00A47E56"/>
    <w:rsid w:val="00A62C19"/>
    <w:rsid w:val="00AA38E3"/>
    <w:rsid w:val="00AB40E8"/>
    <w:rsid w:val="00AF0844"/>
    <w:rsid w:val="00B512CC"/>
    <w:rsid w:val="00B709AF"/>
    <w:rsid w:val="00B9166A"/>
    <w:rsid w:val="00C12956"/>
    <w:rsid w:val="00D067E3"/>
    <w:rsid w:val="00D66284"/>
    <w:rsid w:val="00E57A34"/>
    <w:rsid w:val="00F06473"/>
    <w:rsid w:val="00F312DB"/>
    <w:rsid w:val="00F35151"/>
    <w:rsid w:val="00F409CF"/>
    <w:rsid w:val="00FE34AD"/>
    <w:rsid w:val="27FF6946"/>
    <w:rsid w:val="2BEEE2CF"/>
    <w:rsid w:val="50851A22"/>
    <w:rsid w:val="6BB5BADB"/>
    <w:rsid w:val="7D9F9587"/>
    <w:rsid w:val="7F3FCA3A"/>
    <w:rsid w:val="AFFD936C"/>
    <w:rsid w:val="B3FF2ECE"/>
    <w:rsid w:val="DDFE2AE6"/>
    <w:rsid w:val="DF7FF7BC"/>
    <w:rsid w:val="EF367D1E"/>
    <w:rsid w:val="F56E0598"/>
    <w:rsid w:val="F6BF66F4"/>
    <w:rsid w:val="F6FF41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heme="minorBidi"/>
      <w:kern w:val="2"/>
      <w:sz w:val="32"/>
      <w:szCs w:val="22"/>
      <w:lang w:val="en-US" w:eastAsia="zh-CN" w:bidi="ar-SA"/>
      <w14:ligatures w14:val="standardContextual"/>
    </w:rPr>
  </w:style>
  <w:style w:type="paragraph" w:styleId="2">
    <w:name w:val="heading 1"/>
    <w:basedOn w:val="1"/>
    <w:next w:val="1"/>
    <w:link w:val="15"/>
    <w:qFormat/>
    <w:uiPriority w:val="9"/>
    <w:pPr>
      <w:keepNext/>
      <w:keepLines/>
      <w:spacing w:before="340" w:after="330" w:line="578" w:lineRule="auto"/>
      <w:outlineLvl w:val="0"/>
    </w:pPr>
    <w:rPr>
      <w:rFonts w:ascii="仿宋_GB2312" w:hAnsi="仿宋_GB2312" w:eastAsia="仿宋_GB2312"/>
      <w:b/>
      <w:bCs/>
      <w:kern w:val="44"/>
      <w:sz w:val="44"/>
      <w:szCs w:val="44"/>
      <w14:ligatures w14:val="none"/>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0"/>
    <w:semiHidden/>
    <w:unhideWhenUsed/>
    <w:qFormat/>
    <w:uiPriority w:val="99"/>
    <w:pPr>
      <w:spacing w:after="120"/>
    </w:pPr>
    <w:rPr>
      <w14:ligatures w14:val="none"/>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tabs>
        <w:tab w:val="center" w:pos="4153"/>
        <w:tab w:val="right" w:pos="8306"/>
      </w:tabs>
      <w:snapToGrid w:val="0"/>
      <w:jc w:val="center"/>
    </w:pPr>
    <w:rPr>
      <w:sz w:val="18"/>
      <w:szCs w:val="18"/>
    </w:rPr>
  </w:style>
  <w:style w:type="paragraph" w:styleId="6">
    <w:name w:val="Title"/>
    <w:basedOn w:val="1"/>
    <w:next w:val="1"/>
    <w:link w:val="11"/>
    <w:qFormat/>
    <w:uiPriority w:val="10"/>
    <w:pPr>
      <w:spacing w:before="240" w:after="60" w:line="360" w:lineRule="auto"/>
      <w:jc w:val="center"/>
      <w:outlineLvl w:val="0"/>
    </w:pPr>
    <w:rPr>
      <w:rFonts w:eastAsia="宋体" w:asciiTheme="majorHAnsi" w:hAnsiTheme="majorHAnsi" w:cstheme="majorBidi"/>
      <w:b/>
      <w:bCs/>
      <w:sz w:val="32"/>
      <w:szCs w:val="32"/>
      <w14:ligatures w14:val="non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正文文本 字符"/>
    <w:basedOn w:val="9"/>
    <w:link w:val="3"/>
    <w:semiHidden/>
    <w:qFormat/>
    <w:uiPriority w:val="99"/>
    <w:rPr>
      <w14:ligatures w14:val="none"/>
    </w:rPr>
  </w:style>
  <w:style w:type="character" w:customStyle="1" w:styleId="11">
    <w:name w:val="标题 字符"/>
    <w:basedOn w:val="9"/>
    <w:link w:val="6"/>
    <w:qFormat/>
    <w:uiPriority w:val="10"/>
    <w:rPr>
      <w:rFonts w:eastAsia="宋体" w:asciiTheme="majorHAnsi" w:hAnsiTheme="majorHAnsi" w:cstheme="majorBidi"/>
      <w:b/>
      <w:bCs/>
      <w:sz w:val="32"/>
      <w:szCs w:val="32"/>
      <w14:ligatures w14:val="none"/>
    </w:rPr>
  </w:style>
  <w:style w:type="paragraph" w:styleId="12">
    <w:name w:val="List Paragraph"/>
    <w:basedOn w:val="1"/>
    <w:qFormat/>
    <w:uiPriority w:val="34"/>
    <w:pPr>
      <w:ind w:firstLine="420" w:firstLineChars="200"/>
    </w:pPr>
    <w:rPr>
      <w14:ligatures w14:val="none"/>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character" w:customStyle="1" w:styleId="15">
    <w:name w:val="标题 1 字符"/>
    <w:basedOn w:val="9"/>
    <w:link w:val="2"/>
    <w:qFormat/>
    <w:uiPriority w:val="9"/>
    <w:rPr>
      <w:rFonts w:ascii="仿宋_GB2312" w:hAnsi="仿宋_GB2312" w:eastAsia="仿宋_GB2312"/>
      <w:b/>
      <w:bCs/>
      <w:kern w:val="44"/>
      <w:sz w:val="44"/>
      <w:szCs w:val="44"/>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730</Words>
  <Characters>4166</Characters>
  <Lines>34</Lines>
  <Paragraphs>9</Paragraphs>
  <TotalTime>2</TotalTime>
  <ScaleCrop>false</ScaleCrop>
  <LinksUpToDate>false</LinksUpToDate>
  <CharactersWithSpaces>4887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2024-02-23T13:07:00Z</dcterms:created>
  <dc:creator>ben_qianqian@126.com</dc:creator>
  <cp:lastModifiedBy>scjuser</cp:lastModifiedBy>
  <cp:lastPrinted>2024-02-09T14:33:00Z</cp:lastPrinted>
  <dcterms:modified xsi:type="dcterms:W3CDTF">2024-03-27T14:39:07Z</dcterms:modified>
  <dc:title>上海市市场监督管理局 北京市市场监督管理局 天津市市场监督管理委员会 重庆市市场监督管理局关于印发《产品质量可靠性评价通用要求》和《产品质量可靠性创新“最佳实践”培育孵化工作指南》的通知</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FF56A2DB95BE4F52A05CBB9F010F5C32_12</vt:lpwstr>
  </property>
</Properties>
</file>